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585EE5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华文宋体" w:hAnsi="华文宋体" w:eastAsia="华文宋体" w:cs="华文宋体"/>
          <w:b/>
          <w:bCs/>
          <w:color w:val="auto"/>
          <w:sz w:val="44"/>
          <w:szCs w:val="44"/>
          <w:lang w:val="en-US" w:eastAsia="zh-CN"/>
        </w:rPr>
      </w:pPr>
    </w:p>
    <w:p w14:paraId="7995FF81">
      <w:pPr>
        <w:keepNext w:val="0"/>
        <w:keepLines w:val="0"/>
        <w:pageBreakBefore w:val="0"/>
        <w:kinsoku/>
        <w:wordWrap/>
        <w:overflowPunct/>
        <w:topLinePunct w:val="0"/>
        <w:autoSpaceDE/>
        <w:autoSpaceDN/>
        <w:bidi w:val="0"/>
        <w:adjustRightInd/>
        <w:snapToGrid/>
        <w:ind w:left="0" w:leftChars="0" w:firstLine="0" w:firstLineChars="0"/>
        <w:jc w:val="center"/>
        <w:textAlignment w:val="auto"/>
        <w:rPr>
          <w:rFonts w:hint="eastAsia" w:ascii="宋体" w:hAnsi="宋体" w:eastAsia="宋体"/>
          <w:b/>
          <w:bCs/>
          <w:color w:val="auto"/>
          <w:sz w:val="44"/>
          <w:szCs w:val="44"/>
          <w:lang w:eastAsia="zh-CN"/>
        </w:rPr>
      </w:pPr>
      <w:r>
        <w:rPr>
          <w:rFonts w:hint="eastAsia" w:ascii="宋体" w:hAnsi="宋体" w:eastAsia="宋体"/>
          <w:b/>
          <w:bCs/>
          <w:color w:val="auto"/>
          <w:sz w:val="44"/>
          <w:szCs w:val="44"/>
          <w:lang w:eastAsia="zh-CN"/>
        </w:rPr>
        <w:t>中国石化销售股份有限公司</w:t>
      </w:r>
    </w:p>
    <w:p w14:paraId="21B106EE">
      <w:pPr>
        <w:keepNext w:val="0"/>
        <w:keepLines w:val="0"/>
        <w:pageBreakBefore w:val="0"/>
        <w:kinsoku/>
        <w:wordWrap/>
        <w:overflowPunct/>
        <w:topLinePunct w:val="0"/>
        <w:autoSpaceDE/>
        <w:autoSpaceDN/>
        <w:bidi w:val="0"/>
        <w:adjustRightInd/>
        <w:snapToGrid/>
        <w:ind w:left="0" w:leftChars="0" w:firstLine="0" w:firstLineChars="0"/>
        <w:jc w:val="center"/>
        <w:textAlignment w:val="auto"/>
        <w:rPr>
          <w:rFonts w:hint="eastAsia" w:ascii="宋体" w:hAnsi="宋体" w:eastAsia="宋体"/>
          <w:b/>
          <w:bCs/>
          <w:color w:val="auto"/>
          <w:sz w:val="44"/>
          <w:szCs w:val="44"/>
          <w:lang w:eastAsia="zh-CN"/>
        </w:rPr>
      </w:pPr>
      <w:r>
        <w:rPr>
          <w:rFonts w:hint="eastAsia" w:ascii="宋体" w:hAnsi="宋体" w:eastAsia="宋体"/>
          <w:b/>
          <w:bCs/>
          <w:color w:val="auto"/>
          <w:sz w:val="44"/>
          <w:szCs w:val="44"/>
          <w:lang w:eastAsia="zh-CN"/>
        </w:rPr>
        <w:t>江西宜春铜鼓</w:t>
      </w:r>
      <w:r>
        <w:rPr>
          <w:rFonts w:hint="eastAsia" w:ascii="宋体" w:hAnsi="宋体" w:eastAsia="宋体"/>
          <w:b/>
          <w:bCs/>
          <w:color w:val="auto"/>
          <w:sz w:val="44"/>
          <w:szCs w:val="44"/>
          <w:lang w:val="en-US" w:eastAsia="zh-CN"/>
        </w:rPr>
        <w:t>县城</w:t>
      </w:r>
      <w:r>
        <w:rPr>
          <w:rFonts w:hint="eastAsia" w:ascii="宋体" w:hAnsi="宋体" w:eastAsia="宋体"/>
          <w:b/>
          <w:bCs/>
          <w:color w:val="auto"/>
          <w:sz w:val="44"/>
          <w:szCs w:val="44"/>
          <w:lang w:eastAsia="zh-CN"/>
        </w:rPr>
        <w:t>加油站</w:t>
      </w:r>
    </w:p>
    <w:p w14:paraId="20D97C1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华文宋体" w:hAnsi="华文宋体" w:eastAsia="华文宋体" w:cs="华文宋体"/>
          <w:b/>
          <w:bCs/>
          <w:color w:val="auto"/>
          <w:sz w:val="44"/>
          <w:szCs w:val="44"/>
          <w:lang w:val="en-US" w:eastAsia="zh-CN"/>
        </w:rPr>
      </w:pPr>
      <w:r>
        <w:rPr>
          <w:rFonts w:hint="eastAsia" w:ascii="宋体" w:hAnsi="宋体" w:eastAsia="宋体"/>
          <w:b/>
          <w:bCs/>
          <w:color w:val="auto"/>
          <w:sz w:val="44"/>
          <w:szCs w:val="44"/>
          <w:lang w:val="en-US" w:eastAsia="zh-CN"/>
        </w:rPr>
        <w:t>单罐</w:t>
      </w:r>
      <w:r>
        <w:rPr>
          <w:rFonts w:hint="eastAsia" w:ascii="宋体" w:hAnsi="宋体" w:eastAsia="宋体"/>
          <w:b/>
          <w:bCs/>
          <w:color w:val="auto"/>
          <w:sz w:val="44"/>
          <w:szCs w:val="44"/>
          <w:lang w:eastAsia="zh-CN"/>
        </w:rPr>
        <w:t>单线改造项目</w:t>
      </w:r>
    </w:p>
    <w:p w14:paraId="747B9D93">
      <w:pPr>
        <w:widowControl w:val="0"/>
        <w:spacing w:line="360" w:lineRule="auto"/>
        <w:ind w:firstLine="0" w:firstLineChars="0"/>
        <w:jc w:val="center"/>
        <w:rPr>
          <w:rFonts w:ascii="华文中宋" w:hAnsi="华文中宋" w:eastAsia="华文中宋" w:cs="华文中宋"/>
          <w:b/>
          <w:bCs/>
          <w:color w:val="auto"/>
          <w:spacing w:val="-2"/>
          <w:sz w:val="52"/>
          <w:szCs w:val="52"/>
        </w:rPr>
      </w:pPr>
      <w:r>
        <w:rPr>
          <w:rFonts w:hint="eastAsia" w:ascii="华文中宋" w:hAnsi="华文中宋" w:eastAsia="华文中宋" w:cs="华文中宋"/>
          <w:b/>
          <w:bCs/>
          <w:color w:val="auto"/>
          <w:spacing w:val="-1"/>
          <w:sz w:val="52"/>
          <w:szCs w:val="52"/>
          <w:lang w:eastAsia="zh-CN"/>
        </w:rPr>
        <w:t>安全验收评价</w:t>
      </w:r>
      <w:r>
        <w:rPr>
          <w:rFonts w:ascii="华文中宋" w:hAnsi="华文中宋" w:eastAsia="华文中宋" w:cs="华文中宋"/>
          <w:b/>
          <w:bCs/>
          <w:color w:val="auto"/>
          <w:spacing w:val="-2"/>
          <w:sz w:val="52"/>
          <w:szCs w:val="52"/>
        </w:rPr>
        <w:t>报告</w:t>
      </w:r>
    </w:p>
    <w:p w14:paraId="5AAEEE21">
      <w:pPr>
        <w:widowControl w:val="0"/>
        <w:spacing w:line="360" w:lineRule="auto"/>
        <w:ind w:firstLine="0" w:firstLineChars="0"/>
        <w:jc w:val="center"/>
        <w:rPr>
          <w:rFonts w:hint="eastAsia" w:ascii="华文中宋" w:hAnsi="华文中宋" w:eastAsia="华文中宋" w:cs="华文中宋"/>
          <w:b/>
          <w:bCs/>
          <w:color w:val="auto"/>
          <w:spacing w:val="-2"/>
          <w:sz w:val="52"/>
          <w:szCs w:val="52"/>
          <w:lang w:eastAsia="zh-CN"/>
        </w:rPr>
      </w:pPr>
      <w:r>
        <w:rPr>
          <w:rFonts w:hint="eastAsia" w:ascii="华文中宋" w:hAnsi="华文中宋" w:eastAsia="华文中宋" w:cs="华文中宋"/>
          <w:b/>
          <w:bCs/>
          <w:color w:val="auto"/>
          <w:spacing w:val="-2"/>
          <w:sz w:val="52"/>
          <w:szCs w:val="52"/>
          <w:lang w:eastAsia="zh-CN"/>
        </w:rPr>
        <w:t>（</w:t>
      </w:r>
      <w:r>
        <w:rPr>
          <w:rFonts w:hint="eastAsia" w:ascii="华文中宋" w:hAnsi="华文中宋" w:eastAsia="华文中宋" w:cs="华文中宋"/>
          <w:b/>
          <w:bCs/>
          <w:color w:val="auto"/>
          <w:spacing w:val="-2"/>
          <w:sz w:val="52"/>
          <w:szCs w:val="52"/>
          <w:lang w:val="en-US" w:eastAsia="zh-CN"/>
        </w:rPr>
        <w:t>终稿</w:t>
      </w:r>
      <w:r>
        <w:rPr>
          <w:rFonts w:hint="eastAsia" w:ascii="华文中宋" w:hAnsi="华文中宋" w:eastAsia="华文中宋" w:cs="华文中宋"/>
          <w:b/>
          <w:bCs/>
          <w:color w:val="auto"/>
          <w:spacing w:val="-2"/>
          <w:sz w:val="52"/>
          <w:szCs w:val="52"/>
          <w:lang w:eastAsia="zh-CN"/>
        </w:rPr>
        <w:t>）</w:t>
      </w:r>
    </w:p>
    <w:p w14:paraId="77AE5C5B">
      <w:pPr>
        <w:widowControl w:val="0"/>
        <w:tabs>
          <w:tab w:val="center" w:pos="4153"/>
          <w:tab w:val="right" w:pos="8306"/>
        </w:tabs>
        <w:snapToGrid w:val="0"/>
        <w:spacing w:line="600" w:lineRule="exact"/>
        <w:ind w:left="0" w:leftChars="0" w:firstLine="0" w:firstLineChars="0"/>
        <w:jc w:val="both"/>
        <w:rPr>
          <w:rFonts w:ascii="Times New Roman" w:hAnsi="Times New Roman" w:eastAsia="宋体" w:cs="Times New Roman"/>
          <w:color w:val="auto"/>
          <w:kern w:val="2"/>
          <w:sz w:val="28"/>
          <w:szCs w:val="28"/>
          <w:lang w:val="en-US" w:eastAsia="zh-CN" w:bidi="ar-SA"/>
        </w:rPr>
      </w:pPr>
    </w:p>
    <w:p w14:paraId="69476D5D">
      <w:pPr>
        <w:ind w:left="0" w:leftChars="0" w:firstLine="0" w:firstLineChars="0"/>
        <w:rPr>
          <w:color w:val="auto"/>
          <w:lang w:val="en-US" w:eastAsia="zh-CN"/>
        </w:rPr>
      </w:pPr>
    </w:p>
    <w:p w14:paraId="05EC4645">
      <w:pPr>
        <w:keepNext w:val="0"/>
        <w:keepLines w:val="0"/>
        <w:pageBreakBefore w:val="0"/>
        <w:kinsoku/>
        <w:wordWrap/>
        <w:overflowPunct/>
        <w:topLinePunct w:val="0"/>
        <w:autoSpaceDE/>
        <w:autoSpaceDN/>
        <w:bidi w:val="0"/>
        <w:adjustRightInd/>
        <w:snapToGrid/>
        <w:spacing w:line="360" w:lineRule="auto"/>
        <w:ind w:firstLine="320" w:firstLineChars="100"/>
        <w:jc w:val="left"/>
        <w:textAlignment w:val="auto"/>
        <w:rPr>
          <w:rFonts w:hint="eastAsia" w:ascii="Times New Roman" w:hAnsi="Times New Roman" w:eastAsia="仿宋_GB2312" w:cs="Times New Roman"/>
          <w:color w:val="auto"/>
          <w:kern w:val="0"/>
          <w:sz w:val="32"/>
        </w:rPr>
      </w:pPr>
      <w:r>
        <w:rPr>
          <w:rFonts w:hint="eastAsia" w:ascii="Times New Roman" w:hAnsi="Times New Roman" w:eastAsia="仿宋_GB2312" w:cs="Times New Roman"/>
          <w:color w:val="auto"/>
          <w:kern w:val="0"/>
          <w:sz w:val="32"/>
        </w:rPr>
        <w:t>建设单位：</w:t>
      </w:r>
      <w:r>
        <w:rPr>
          <w:rFonts w:hint="eastAsia" w:ascii="Times New Roman" w:hAnsi="Times New Roman" w:eastAsia="仿宋_GB2312" w:cs="Times New Roman"/>
          <w:color w:val="auto"/>
          <w:kern w:val="0"/>
          <w:sz w:val="32"/>
          <w:lang w:val="en-US" w:eastAsia="zh-CN"/>
        </w:rPr>
        <w:t>中国石化销售股份有限公司江西宜春石油分公司</w:t>
      </w:r>
    </w:p>
    <w:p w14:paraId="4C047BC3">
      <w:pPr>
        <w:keepNext w:val="0"/>
        <w:keepLines w:val="0"/>
        <w:pageBreakBefore w:val="0"/>
        <w:kinsoku/>
        <w:wordWrap/>
        <w:overflowPunct/>
        <w:topLinePunct w:val="0"/>
        <w:autoSpaceDE/>
        <w:autoSpaceDN/>
        <w:bidi w:val="0"/>
        <w:adjustRightInd/>
        <w:snapToGrid/>
        <w:spacing w:line="360" w:lineRule="auto"/>
        <w:ind w:firstLine="320" w:firstLineChars="100"/>
        <w:jc w:val="left"/>
        <w:textAlignment w:val="auto"/>
        <w:rPr>
          <w:rFonts w:hint="default" w:ascii="Times New Roman" w:hAnsi="Times New Roman" w:eastAsia="仿宋_GB2312" w:cs="Times New Roman"/>
          <w:color w:val="auto"/>
          <w:kern w:val="0"/>
          <w:sz w:val="32"/>
          <w:lang w:eastAsia="zh-CN"/>
        </w:rPr>
      </w:pPr>
      <w:r>
        <w:rPr>
          <w:rFonts w:hint="eastAsia" w:ascii="Times New Roman" w:hAnsi="Times New Roman" w:eastAsia="仿宋_GB2312" w:cs="Times New Roman"/>
          <w:color w:val="auto"/>
          <w:kern w:val="0"/>
          <w:sz w:val="32"/>
        </w:rPr>
        <w:t>建设单位法定代表人：</w:t>
      </w:r>
      <w:r>
        <w:rPr>
          <w:rFonts w:hint="default" w:ascii="Times New Roman" w:hAnsi="Times New Roman" w:eastAsia="仿宋_GB2312" w:cs="Times New Roman"/>
          <w:color w:val="auto"/>
          <w:kern w:val="0"/>
          <w:sz w:val="32"/>
          <w:lang w:eastAsia="zh-CN"/>
        </w:rPr>
        <w:t>李晶</w:t>
      </w:r>
    </w:p>
    <w:p w14:paraId="0AFFC15A">
      <w:pPr>
        <w:keepNext w:val="0"/>
        <w:keepLines w:val="0"/>
        <w:pageBreakBefore w:val="0"/>
        <w:kinsoku/>
        <w:wordWrap/>
        <w:overflowPunct/>
        <w:topLinePunct w:val="0"/>
        <w:autoSpaceDE/>
        <w:autoSpaceDN/>
        <w:bidi w:val="0"/>
        <w:adjustRightInd/>
        <w:snapToGrid/>
        <w:spacing w:line="360" w:lineRule="auto"/>
        <w:ind w:firstLine="320" w:firstLineChars="100"/>
        <w:jc w:val="left"/>
        <w:textAlignment w:val="auto"/>
        <w:rPr>
          <w:rFonts w:hint="eastAsia" w:ascii="Times New Roman" w:hAnsi="Times New Roman" w:eastAsia="仿宋_GB2312" w:cs="Times New Roman"/>
          <w:color w:val="auto"/>
          <w:kern w:val="0"/>
          <w:sz w:val="32"/>
          <w:lang w:eastAsia="zh-CN"/>
        </w:rPr>
      </w:pPr>
      <w:r>
        <w:rPr>
          <w:rFonts w:hint="eastAsia" w:ascii="Times New Roman" w:hAnsi="Times New Roman" w:eastAsia="仿宋_GB2312" w:cs="Times New Roman"/>
          <w:color w:val="auto"/>
          <w:kern w:val="0"/>
          <w:sz w:val="32"/>
        </w:rPr>
        <w:t>建设项目单位：</w:t>
      </w:r>
      <w:r>
        <w:rPr>
          <w:rFonts w:hint="eastAsia" w:ascii="Times New Roman" w:hAnsi="Times New Roman" w:eastAsia="仿宋_GB2312" w:cs="Times New Roman"/>
          <w:color w:val="auto"/>
          <w:kern w:val="0"/>
          <w:sz w:val="32"/>
          <w:lang w:val="en-US" w:eastAsia="zh-CN"/>
        </w:rPr>
        <w:t>中国石化销售股份有限公司江西宜春石油分公司</w:t>
      </w:r>
    </w:p>
    <w:p w14:paraId="03A33653">
      <w:pPr>
        <w:keepNext w:val="0"/>
        <w:keepLines w:val="0"/>
        <w:pageBreakBefore w:val="0"/>
        <w:kinsoku/>
        <w:wordWrap/>
        <w:overflowPunct/>
        <w:topLinePunct w:val="0"/>
        <w:autoSpaceDE/>
        <w:autoSpaceDN/>
        <w:bidi w:val="0"/>
        <w:adjustRightInd/>
        <w:snapToGrid/>
        <w:spacing w:line="360" w:lineRule="auto"/>
        <w:ind w:firstLine="320" w:firstLineChars="100"/>
        <w:jc w:val="left"/>
        <w:textAlignment w:val="auto"/>
        <w:rPr>
          <w:rFonts w:hint="default" w:ascii="Times New Roman" w:hAnsi="Times New Roman" w:eastAsia="仿宋_GB2312" w:cs="Times New Roman"/>
          <w:color w:val="auto"/>
          <w:kern w:val="0"/>
          <w:sz w:val="32"/>
          <w:lang w:eastAsia="zh-CN"/>
        </w:rPr>
      </w:pPr>
      <w:r>
        <w:rPr>
          <w:rFonts w:hint="eastAsia" w:ascii="Times New Roman" w:hAnsi="Times New Roman" w:eastAsia="仿宋_GB2312" w:cs="Times New Roman"/>
          <w:color w:val="auto"/>
          <w:kern w:val="0"/>
          <w:sz w:val="32"/>
        </w:rPr>
        <w:t>建设项目单位主要负责人：</w:t>
      </w:r>
      <w:r>
        <w:rPr>
          <w:rFonts w:hint="default" w:ascii="Times New Roman" w:hAnsi="Times New Roman" w:eastAsia="仿宋_GB2312" w:cs="Times New Roman"/>
          <w:color w:val="auto"/>
          <w:kern w:val="0"/>
          <w:sz w:val="32"/>
          <w:lang w:eastAsia="zh-CN"/>
        </w:rPr>
        <w:t>金长青</w:t>
      </w:r>
    </w:p>
    <w:p w14:paraId="22415434">
      <w:pPr>
        <w:keepNext w:val="0"/>
        <w:keepLines w:val="0"/>
        <w:pageBreakBefore w:val="0"/>
        <w:kinsoku/>
        <w:wordWrap/>
        <w:overflowPunct/>
        <w:topLinePunct w:val="0"/>
        <w:autoSpaceDE/>
        <w:autoSpaceDN/>
        <w:bidi w:val="0"/>
        <w:adjustRightInd/>
        <w:snapToGrid/>
        <w:spacing w:line="360" w:lineRule="auto"/>
        <w:ind w:firstLine="320" w:firstLineChars="100"/>
        <w:jc w:val="left"/>
        <w:textAlignment w:val="auto"/>
        <w:rPr>
          <w:rFonts w:hint="default" w:ascii="Times New Roman" w:hAnsi="Times New Roman" w:eastAsia="仿宋_GB2312" w:cs="Times New Roman"/>
          <w:color w:val="auto"/>
          <w:kern w:val="0"/>
          <w:sz w:val="32"/>
          <w:lang w:eastAsia="zh-CN"/>
        </w:rPr>
      </w:pPr>
      <w:r>
        <w:rPr>
          <w:rFonts w:hint="eastAsia" w:ascii="Times New Roman" w:hAnsi="Times New Roman" w:eastAsia="仿宋_GB2312" w:cs="Times New Roman"/>
          <w:color w:val="auto"/>
          <w:kern w:val="0"/>
          <w:sz w:val="32"/>
          <w:lang w:val="en-US" w:eastAsia="zh-CN"/>
        </w:rPr>
        <w:t>建设项目单位联系人：</w:t>
      </w:r>
      <w:r>
        <w:rPr>
          <w:rFonts w:hint="default" w:ascii="Times New Roman" w:hAnsi="Times New Roman" w:eastAsia="仿宋_GB2312" w:cs="Times New Roman"/>
          <w:color w:val="auto"/>
          <w:kern w:val="0"/>
          <w:sz w:val="32"/>
          <w:lang w:eastAsia="zh-CN"/>
        </w:rPr>
        <w:t>黄昌兰</w:t>
      </w:r>
    </w:p>
    <w:p w14:paraId="70552AD2">
      <w:pPr>
        <w:spacing w:line="360" w:lineRule="auto"/>
        <w:ind w:firstLine="320" w:firstLineChars="100"/>
        <w:jc w:val="left"/>
        <w:rPr>
          <w:rFonts w:hint="eastAsia" w:eastAsia="仿宋_GB2312"/>
          <w:color w:val="auto"/>
          <w:kern w:val="0"/>
          <w:sz w:val="32"/>
        </w:rPr>
      </w:pPr>
      <w:r>
        <w:rPr>
          <w:rFonts w:hint="eastAsia" w:ascii="Times New Roman" w:hAnsi="Times New Roman" w:eastAsia="仿宋_GB2312" w:cs="Times New Roman"/>
          <w:color w:val="auto"/>
          <w:kern w:val="0"/>
          <w:sz w:val="32"/>
          <w:lang w:val="en-US" w:eastAsia="zh-CN"/>
        </w:rPr>
        <w:t>建设项目单位联系电话：</w:t>
      </w:r>
      <w:r>
        <w:rPr>
          <w:rFonts w:hint="eastAsia" w:ascii="Times New Roman" w:hAnsi="Times New Roman" w:eastAsia="仿宋_GB2312" w:cs="Times New Roman"/>
          <w:color w:val="auto"/>
          <w:kern w:val="0"/>
          <w:sz w:val="32"/>
        </w:rPr>
        <w:t>15297951079</w:t>
      </w:r>
    </w:p>
    <w:p w14:paraId="1AA2CABC">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22"/>
          <w:lang w:val="en-US" w:eastAsia="zh-CN" w:bidi="ar-SA"/>
        </w:rPr>
      </w:pPr>
    </w:p>
    <w:p w14:paraId="38B516AB">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22"/>
          <w:lang w:val="en-US" w:eastAsia="zh-CN" w:bidi="ar-SA"/>
        </w:rPr>
      </w:pPr>
    </w:p>
    <w:p w14:paraId="0AC00181">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22"/>
          <w:lang w:val="en-US" w:eastAsia="zh-CN" w:bidi="ar-SA"/>
        </w:rPr>
      </w:pPr>
    </w:p>
    <w:p w14:paraId="5D44D3FD">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22"/>
          <w:lang w:val="en-US" w:eastAsia="zh-CN" w:bidi="ar-SA"/>
        </w:rPr>
      </w:pPr>
    </w:p>
    <w:p w14:paraId="7E337CA5">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22"/>
          <w:lang w:val="en-US" w:eastAsia="zh-CN" w:bidi="ar-SA"/>
        </w:rPr>
      </w:pPr>
    </w:p>
    <w:p w14:paraId="2446DF40">
      <w:pPr>
        <w:jc w:val="center"/>
        <w:rPr>
          <w:rFonts w:eastAsia="仿宋_GB2312"/>
          <w:color w:val="auto"/>
          <w:kern w:val="0"/>
          <w:sz w:val="32"/>
        </w:rPr>
      </w:pPr>
      <w:r>
        <w:rPr>
          <w:rFonts w:eastAsia="仿宋_GB2312"/>
          <w:color w:val="auto"/>
          <w:kern w:val="0"/>
          <w:sz w:val="32"/>
        </w:rPr>
        <w:t>（建设项目单位公章）</w:t>
      </w:r>
    </w:p>
    <w:p w14:paraId="3252286F">
      <w:pPr>
        <w:jc w:val="center"/>
        <w:rPr>
          <w:rFonts w:hint="eastAsia" w:eastAsia="仿宋_GB2312"/>
          <w:b/>
          <w:bCs/>
          <w:color w:val="auto"/>
          <w:kern w:val="0"/>
          <w:sz w:val="52"/>
        </w:rPr>
      </w:pPr>
      <w:r>
        <w:rPr>
          <w:rFonts w:eastAsia="仿宋_GB2312"/>
          <w:color w:val="auto"/>
          <w:kern w:val="0"/>
          <w:sz w:val="32"/>
        </w:rPr>
        <w:t>202</w:t>
      </w:r>
      <w:r>
        <w:rPr>
          <w:rFonts w:hint="eastAsia" w:eastAsia="仿宋_GB2312"/>
          <w:color w:val="auto"/>
          <w:kern w:val="0"/>
          <w:sz w:val="32"/>
          <w:lang w:val="en-US" w:eastAsia="zh-CN"/>
        </w:rPr>
        <w:t>5</w:t>
      </w:r>
      <w:r>
        <w:rPr>
          <w:rFonts w:eastAsia="仿宋_GB2312"/>
          <w:color w:val="auto"/>
          <w:kern w:val="0"/>
          <w:sz w:val="32"/>
        </w:rPr>
        <w:t>年</w:t>
      </w:r>
      <w:r>
        <w:rPr>
          <w:rFonts w:hint="eastAsia" w:eastAsia="仿宋_GB2312"/>
          <w:color w:val="auto"/>
          <w:kern w:val="0"/>
          <w:sz w:val="32"/>
          <w:lang w:val="en-US" w:eastAsia="zh-CN"/>
        </w:rPr>
        <w:t>6</w:t>
      </w:r>
      <w:r>
        <w:rPr>
          <w:rFonts w:eastAsia="仿宋_GB2312"/>
          <w:color w:val="auto"/>
          <w:kern w:val="0"/>
          <w:sz w:val="32"/>
        </w:rPr>
        <w:t>月</w:t>
      </w:r>
      <w:r>
        <w:rPr>
          <w:rFonts w:hint="eastAsia" w:eastAsia="仿宋_GB2312"/>
          <w:color w:val="auto"/>
          <w:kern w:val="0"/>
          <w:sz w:val="32"/>
          <w:lang w:val="en-US" w:eastAsia="zh-CN"/>
        </w:rPr>
        <w:t>24</w:t>
      </w:r>
      <w:r>
        <w:rPr>
          <w:rFonts w:eastAsia="仿宋_GB2312"/>
          <w:color w:val="auto"/>
          <w:kern w:val="0"/>
          <w:sz w:val="32"/>
        </w:rPr>
        <w:t>日</w:t>
      </w:r>
    </w:p>
    <w:p w14:paraId="3B7A7ACA">
      <w:pPr>
        <w:pageBreakBefore w:val="0"/>
        <w:widowControl w:val="0"/>
        <w:tabs>
          <w:tab w:val="center" w:pos="4153"/>
          <w:tab w:val="right" w:pos="8306"/>
        </w:tabs>
        <w:kinsoku/>
        <w:overflowPunct/>
        <w:topLinePunct w:val="0"/>
        <w:bidi w:val="0"/>
        <w:snapToGrid w:val="0"/>
        <w:spacing w:line="360" w:lineRule="auto"/>
        <w:ind w:firstLine="360" w:firstLineChars="200"/>
        <w:jc w:val="left"/>
        <w:textAlignment w:val="auto"/>
        <w:rPr>
          <w:rFonts w:ascii="Times New Roman" w:hAnsi="Times New Roman" w:eastAsia="宋体" w:cs="Times New Roman"/>
          <w:color w:val="auto"/>
          <w:kern w:val="2"/>
          <w:sz w:val="18"/>
          <w:szCs w:val="18"/>
          <w:lang w:val="en-US" w:eastAsia="zh-CN" w:bidi="ar-SA"/>
        </w:rPr>
      </w:pPr>
    </w:p>
    <w:p w14:paraId="58526935">
      <w:pPr>
        <w:widowControl w:val="0"/>
        <w:tabs>
          <w:tab w:val="center" w:pos="4153"/>
          <w:tab w:val="right" w:pos="8306"/>
        </w:tabs>
        <w:snapToGrid w:val="0"/>
        <w:jc w:val="left"/>
        <w:rPr>
          <w:rFonts w:ascii="Times New Roman" w:hAnsi="Times New Roman" w:eastAsia="宋体" w:cs="Times New Roman"/>
          <w:color w:val="auto"/>
          <w:kern w:val="2"/>
          <w:sz w:val="18"/>
          <w:szCs w:val="18"/>
          <w:lang w:val="en-US" w:eastAsia="zh-CN" w:bidi="ar-SA"/>
        </w:rPr>
      </w:pPr>
    </w:p>
    <w:p w14:paraId="51AB450D">
      <w:pPr>
        <w:jc w:val="center"/>
        <w:rPr>
          <w:rFonts w:ascii="宋体" w:hAnsi="宋体" w:cs="宋体"/>
          <w:b/>
          <w:bCs/>
          <w:color w:val="auto"/>
          <w:sz w:val="32"/>
          <w:szCs w:val="32"/>
        </w:rPr>
        <w:sectPr>
          <w:footerReference r:id="rId6" w:type="first"/>
          <w:headerReference r:id="rId5" w:type="default"/>
          <w:pgSz w:w="11905" w:h="16838"/>
          <w:pgMar w:top="1417" w:right="1134" w:bottom="1225" w:left="1587" w:header="896" w:footer="986" w:gutter="0"/>
          <w:pgBorders>
            <w:top w:val="none" w:sz="0" w:space="0"/>
            <w:left w:val="none" w:sz="0" w:space="0"/>
            <w:bottom w:val="none" w:sz="0" w:space="0"/>
            <w:right w:val="none" w:sz="0" w:space="0"/>
          </w:pgBorders>
          <w:pgNumType w:fmt="upperRoman"/>
          <w:cols w:space="0" w:num="1"/>
          <w:rtlGutter w:val="0"/>
          <w:docGrid w:linePitch="312" w:charSpace="0"/>
        </w:sectPr>
      </w:pPr>
    </w:p>
    <w:p w14:paraId="26A0227A">
      <w:pPr>
        <w:widowControl w:val="0"/>
        <w:tabs>
          <w:tab w:val="center" w:pos="4153"/>
          <w:tab w:val="right" w:pos="8306"/>
        </w:tabs>
        <w:snapToGrid w:val="0"/>
        <w:ind w:left="0" w:leftChars="0" w:firstLine="0" w:firstLineChars="0"/>
        <w:jc w:val="left"/>
        <w:rPr>
          <w:rFonts w:ascii="Times New Roman" w:hAnsi="Times New Roman" w:eastAsia="宋体" w:cs="Times New Roman"/>
          <w:color w:val="auto"/>
          <w:kern w:val="2"/>
          <w:sz w:val="18"/>
          <w:szCs w:val="18"/>
          <w:lang w:val="en-US" w:eastAsia="zh-CN" w:bidi="ar-SA"/>
        </w:rPr>
      </w:pPr>
    </w:p>
    <w:p w14:paraId="490C5E41">
      <w:pPr>
        <w:widowControl w:val="0"/>
        <w:tabs>
          <w:tab w:val="center" w:pos="4153"/>
          <w:tab w:val="right" w:pos="8306"/>
        </w:tabs>
        <w:snapToGrid w:val="0"/>
        <w:jc w:val="left"/>
        <w:rPr>
          <w:rFonts w:ascii="Times New Roman" w:hAnsi="Times New Roman" w:eastAsia="宋体" w:cs="Times New Roman"/>
          <w:color w:val="auto"/>
          <w:kern w:val="2"/>
          <w:sz w:val="18"/>
          <w:szCs w:val="18"/>
          <w:lang w:val="en-US" w:eastAsia="zh-CN" w:bidi="ar-SA"/>
        </w:rPr>
      </w:pPr>
    </w:p>
    <w:p w14:paraId="433844E4">
      <w:pPr>
        <w:widowControl w:val="0"/>
        <w:spacing w:line="360" w:lineRule="auto"/>
        <w:ind w:firstLine="0" w:firstLineChars="0"/>
        <w:jc w:val="center"/>
        <w:rPr>
          <w:rFonts w:hint="eastAsia" w:ascii="宋体" w:hAnsi="宋体" w:cs="宋体"/>
          <w:b/>
          <w:bCs/>
          <w:color w:val="auto"/>
          <w:sz w:val="36"/>
          <w:szCs w:val="36"/>
          <w:lang w:val="en-US" w:eastAsia="zh-CN"/>
        </w:rPr>
      </w:pPr>
      <w:r>
        <w:rPr>
          <w:rFonts w:hint="eastAsia" w:ascii="宋体" w:hAnsi="宋体" w:cs="宋体"/>
          <w:b/>
          <w:bCs/>
          <w:color w:val="auto"/>
          <w:sz w:val="36"/>
          <w:szCs w:val="36"/>
          <w:lang w:val="en-US" w:eastAsia="zh-CN"/>
        </w:rPr>
        <w:t>中国石化销售股份有限公司</w:t>
      </w:r>
    </w:p>
    <w:p w14:paraId="70A46439">
      <w:pPr>
        <w:widowControl w:val="0"/>
        <w:spacing w:line="360" w:lineRule="auto"/>
        <w:ind w:firstLine="0" w:firstLineChars="0"/>
        <w:jc w:val="center"/>
        <w:rPr>
          <w:rFonts w:hint="eastAsia" w:ascii="宋体" w:hAnsi="宋体" w:cs="宋体"/>
          <w:b/>
          <w:bCs/>
          <w:color w:val="auto"/>
          <w:sz w:val="36"/>
          <w:szCs w:val="36"/>
          <w:lang w:val="en-US" w:eastAsia="zh-CN"/>
        </w:rPr>
      </w:pPr>
      <w:r>
        <w:rPr>
          <w:rFonts w:hint="eastAsia" w:ascii="宋体" w:hAnsi="宋体" w:cs="宋体"/>
          <w:b/>
          <w:bCs/>
          <w:color w:val="auto"/>
          <w:sz w:val="36"/>
          <w:szCs w:val="36"/>
          <w:lang w:val="en-US" w:eastAsia="zh-CN"/>
        </w:rPr>
        <w:t>江西宜春铜鼓县城加油站单罐单线改造项目</w:t>
      </w:r>
    </w:p>
    <w:p w14:paraId="5083FCDD">
      <w:pPr>
        <w:widowControl w:val="0"/>
        <w:spacing w:line="360" w:lineRule="auto"/>
        <w:ind w:firstLine="0" w:firstLineChars="0"/>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lang w:eastAsia="zh-CN"/>
        </w:rPr>
        <w:t>安全验收评价</w:t>
      </w:r>
      <w:r>
        <w:rPr>
          <w:rFonts w:hint="eastAsia" w:ascii="宋体" w:hAnsi="宋体" w:eastAsia="宋体" w:cs="宋体"/>
          <w:b/>
          <w:bCs/>
          <w:color w:val="auto"/>
          <w:sz w:val="44"/>
          <w:szCs w:val="44"/>
        </w:rPr>
        <w:t>报告</w:t>
      </w:r>
    </w:p>
    <w:p w14:paraId="0DB72EC1">
      <w:pPr>
        <w:widowControl w:val="0"/>
        <w:spacing w:line="360" w:lineRule="auto"/>
        <w:ind w:firstLine="0" w:firstLineChars="0"/>
        <w:jc w:val="center"/>
        <w:rPr>
          <w:rFonts w:hint="eastAsia" w:ascii="宋体" w:hAnsi="宋体" w:eastAsia="宋体" w:cs="宋体"/>
          <w:b/>
          <w:bCs/>
          <w:color w:val="auto"/>
          <w:sz w:val="44"/>
          <w:szCs w:val="44"/>
          <w:lang w:eastAsia="zh-CN"/>
        </w:rPr>
      </w:pPr>
      <w:r>
        <w:rPr>
          <w:rFonts w:hint="eastAsia" w:ascii="宋体" w:hAnsi="宋体" w:eastAsia="宋体" w:cs="宋体"/>
          <w:b/>
          <w:bCs/>
          <w:color w:val="auto"/>
          <w:sz w:val="44"/>
          <w:szCs w:val="44"/>
          <w:lang w:eastAsia="zh-CN"/>
        </w:rPr>
        <w:t>（</w:t>
      </w:r>
      <w:r>
        <w:rPr>
          <w:rFonts w:hint="eastAsia" w:ascii="宋体" w:hAnsi="宋体" w:cs="宋体"/>
          <w:b/>
          <w:bCs/>
          <w:color w:val="auto"/>
          <w:sz w:val="44"/>
          <w:szCs w:val="44"/>
          <w:lang w:val="en-US" w:eastAsia="zh-CN"/>
        </w:rPr>
        <w:t>终</w:t>
      </w:r>
      <w:r>
        <w:rPr>
          <w:rFonts w:hint="eastAsia" w:ascii="宋体" w:hAnsi="宋体" w:eastAsia="宋体" w:cs="宋体"/>
          <w:b/>
          <w:bCs/>
          <w:color w:val="auto"/>
          <w:sz w:val="44"/>
          <w:szCs w:val="44"/>
          <w:lang w:val="en-US" w:eastAsia="zh-CN"/>
        </w:rPr>
        <w:t>稿</w:t>
      </w:r>
      <w:r>
        <w:rPr>
          <w:rFonts w:hint="eastAsia" w:ascii="宋体" w:hAnsi="宋体" w:eastAsia="宋体" w:cs="宋体"/>
          <w:b/>
          <w:bCs/>
          <w:color w:val="auto"/>
          <w:sz w:val="44"/>
          <w:szCs w:val="44"/>
          <w:lang w:eastAsia="zh-CN"/>
        </w:rPr>
        <w:t>）</w:t>
      </w:r>
    </w:p>
    <w:p w14:paraId="7791DF20">
      <w:pPr>
        <w:widowControl w:val="0"/>
        <w:tabs>
          <w:tab w:val="center" w:pos="4153"/>
          <w:tab w:val="right" w:pos="8306"/>
        </w:tabs>
        <w:snapToGrid w:val="0"/>
        <w:jc w:val="left"/>
        <w:rPr>
          <w:rFonts w:ascii="黑体" w:hAnsi="黑体" w:eastAsia="黑体" w:cs="黑体"/>
          <w:b/>
          <w:bCs/>
          <w:color w:val="auto"/>
          <w:kern w:val="2"/>
          <w:sz w:val="44"/>
          <w:szCs w:val="44"/>
          <w:lang w:val="en-US" w:eastAsia="zh-CN" w:bidi="ar-SA"/>
        </w:rPr>
      </w:pPr>
    </w:p>
    <w:p w14:paraId="36C80683">
      <w:pPr>
        <w:widowControl w:val="0"/>
        <w:tabs>
          <w:tab w:val="center" w:pos="4153"/>
          <w:tab w:val="right" w:pos="8306"/>
        </w:tabs>
        <w:snapToGrid w:val="0"/>
        <w:jc w:val="left"/>
        <w:rPr>
          <w:rFonts w:ascii="黑体" w:hAnsi="黑体" w:eastAsia="黑体" w:cs="黑体"/>
          <w:b/>
          <w:bCs/>
          <w:color w:val="auto"/>
          <w:kern w:val="2"/>
          <w:sz w:val="44"/>
          <w:szCs w:val="44"/>
          <w:lang w:val="en-US" w:eastAsia="zh-CN" w:bidi="ar-SA"/>
        </w:rPr>
      </w:pPr>
    </w:p>
    <w:p w14:paraId="238DBC9F">
      <w:pPr>
        <w:widowControl w:val="0"/>
        <w:spacing w:line="360" w:lineRule="auto"/>
        <w:ind w:firstLine="1280" w:firstLineChars="400"/>
        <w:rPr>
          <w:rFonts w:hint="default" w:ascii="Times New Roman" w:hAnsi="Times New Roman" w:eastAsia="仿宋_GB2312" w:cs="Times New Roman"/>
          <w:color w:val="auto"/>
          <w:kern w:val="0"/>
          <w:sz w:val="32"/>
        </w:rPr>
      </w:pPr>
      <w:r>
        <w:rPr>
          <w:rFonts w:hint="default" w:ascii="Times New Roman" w:hAnsi="Times New Roman" w:eastAsia="仿宋_GB2312" w:cs="Times New Roman"/>
          <w:color w:val="auto"/>
          <w:kern w:val="0"/>
          <w:sz w:val="32"/>
        </w:rPr>
        <w:t>评价机构名称：江西赣安安全生产科学技术咨询服务中心</w:t>
      </w:r>
    </w:p>
    <w:p w14:paraId="7E633F91">
      <w:pPr>
        <w:widowControl w:val="0"/>
        <w:spacing w:line="360" w:lineRule="auto"/>
        <w:ind w:firstLine="1280" w:firstLineChars="400"/>
        <w:rPr>
          <w:rFonts w:hint="default" w:ascii="Times New Roman" w:hAnsi="Times New Roman" w:eastAsia="仿宋_GB2312" w:cs="Times New Roman"/>
          <w:color w:val="auto"/>
          <w:kern w:val="0"/>
          <w:sz w:val="32"/>
          <w:lang w:eastAsia="zh-CN"/>
        </w:rPr>
      </w:pPr>
      <w:r>
        <w:rPr>
          <w:rFonts w:hint="default" w:ascii="Times New Roman" w:hAnsi="Times New Roman" w:eastAsia="仿宋_GB2312" w:cs="Times New Roman"/>
          <w:color w:val="auto"/>
          <w:kern w:val="0"/>
          <w:sz w:val="32"/>
        </w:rPr>
        <w:t>资质证书编号：APJ-（赣）-00</w:t>
      </w:r>
      <w:r>
        <w:rPr>
          <w:rFonts w:hint="default" w:ascii="Times New Roman" w:hAnsi="Times New Roman" w:eastAsia="仿宋_GB2312" w:cs="Times New Roman"/>
          <w:color w:val="auto"/>
          <w:kern w:val="0"/>
          <w:sz w:val="32"/>
          <w:lang w:val="en-US" w:eastAsia="zh-CN"/>
        </w:rPr>
        <w:t>2</w:t>
      </w:r>
    </w:p>
    <w:p w14:paraId="59530FF3">
      <w:pPr>
        <w:widowControl w:val="0"/>
        <w:spacing w:line="360" w:lineRule="auto"/>
        <w:ind w:firstLine="1280" w:firstLineChars="400"/>
        <w:rPr>
          <w:rFonts w:hint="default" w:ascii="Times New Roman" w:hAnsi="Times New Roman" w:eastAsia="仿宋_GB2312" w:cs="Times New Roman"/>
          <w:color w:val="auto"/>
          <w:kern w:val="0"/>
          <w:sz w:val="32"/>
          <w:lang w:eastAsia="zh-CN"/>
        </w:rPr>
      </w:pPr>
      <w:r>
        <w:rPr>
          <w:rFonts w:hint="default" w:ascii="Times New Roman" w:hAnsi="Times New Roman" w:eastAsia="仿宋_GB2312" w:cs="Times New Roman"/>
          <w:color w:val="auto"/>
          <w:kern w:val="0"/>
          <w:sz w:val="32"/>
        </w:rPr>
        <w:t>法定代表人：</w:t>
      </w:r>
      <w:r>
        <w:rPr>
          <w:rFonts w:hint="default" w:ascii="Times New Roman" w:hAnsi="Times New Roman" w:eastAsia="仿宋_GB2312" w:cs="Times New Roman"/>
          <w:color w:val="auto"/>
          <w:kern w:val="0"/>
          <w:sz w:val="32"/>
          <w:lang w:val="en-US" w:eastAsia="zh-CN"/>
        </w:rPr>
        <w:t>应  宏</w:t>
      </w:r>
    </w:p>
    <w:p w14:paraId="604CE539">
      <w:pPr>
        <w:widowControl w:val="0"/>
        <w:spacing w:line="360" w:lineRule="auto"/>
        <w:ind w:firstLine="1280" w:firstLineChars="400"/>
        <w:rPr>
          <w:rFonts w:hint="default" w:ascii="Times New Roman" w:hAnsi="Times New Roman" w:eastAsia="仿宋_GB2312" w:cs="Times New Roman"/>
          <w:color w:val="auto"/>
          <w:kern w:val="0"/>
          <w:sz w:val="32"/>
          <w:lang w:val="en-US" w:eastAsia="zh-CN"/>
        </w:rPr>
      </w:pPr>
      <w:r>
        <w:rPr>
          <w:rFonts w:hint="default" w:ascii="Times New Roman" w:hAnsi="Times New Roman" w:eastAsia="仿宋_GB2312" w:cs="Times New Roman"/>
          <w:color w:val="auto"/>
          <w:kern w:val="0"/>
          <w:sz w:val="32"/>
          <w:lang w:val="en-US" w:eastAsia="zh-CN"/>
        </w:rPr>
        <w:t>技术负责人</w:t>
      </w:r>
      <w:r>
        <w:rPr>
          <w:rFonts w:hint="default" w:ascii="Times New Roman" w:hAnsi="Times New Roman" w:eastAsia="仿宋_GB2312" w:cs="Times New Roman"/>
          <w:color w:val="auto"/>
          <w:kern w:val="0"/>
          <w:sz w:val="32"/>
        </w:rPr>
        <w:t>：</w:t>
      </w:r>
      <w:r>
        <w:rPr>
          <w:rFonts w:hint="default" w:ascii="Times New Roman" w:hAnsi="Times New Roman" w:eastAsia="仿宋_GB2312" w:cs="Times New Roman"/>
          <w:color w:val="auto"/>
          <w:kern w:val="0"/>
          <w:sz w:val="32"/>
          <w:lang w:val="en-US" w:eastAsia="zh-CN"/>
        </w:rPr>
        <w:t>周红波</w:t>
      </w:r>
    </w:p>
    <w:p w14:paraId="58334770">
      <w:pPr>
        <w:widowControl w:val="0"/>
        <w:spacing w:line="360" w:lineRule="auto"/>
        <w:ind w:firstLine="1280" w:firstLineChars="400"/>
        <w:rPr>
          <w:rFonts w:hint="default" w:ascii="Times New Roman" w:hAnsi="Times New Roman" w:eastAsia="仿宋_GB2312" w:cs="Times New Roman"/>
          <w:color w:val="auto"/>
          <w:kern w:val="0"/>
          <w:sz w:val="32"/>
          <w:lang w:val="en-US" w:eastAsia="zh-CN"/>
        </w:rPr>
      </w:pPr>
      <w:r>
        <w:rPr>
          <w:rFonts w:hint="default" w:ascii="Times New Roman" w:hAnsi="Times New Roman" w:eastAsia="仿宋_GB2312" w:cs="Times New Roman"/>
          <w:color w:val="auto"/>
          <w:kern w:val="0"/>
          <w:sz w:val="32"/>
        </w:rPr>
        <w:t>评价负责人：</w:t>
      </w:r>
      <w:r>
        <w:rPr>
          <w:rFonts w:hint="eastAsia" w:ascii="Times New Roman" w:hAnsi="Times New Roman" w:eastAsia="仿宋_GB2312" w:cs="Times New Roman"/>
          <w:color w:val="auto"/>
          <w:kern w:val="0"/>
          <w:sz w:val="32"/>
          <w:lang w:val="en-US" w:eastAsia="zh-CN"/>
        </w:rPr>
        <w:t>谢寒梅</w:t>
      </w:r>
    </w:p>
    <w:p w14:paraId="32F765AF">
      <w:pPr>
        <w:widowControl w:val="0"/>
        <w:spacing w:line="360" w:lineRule="auto"/>
        <w:ind w:firstLine="1280" w:firstLineChars="400"/>
        <w:rPr>
          <w:rFonts w:hint="default" w:ascii="仿宋_GB2312" w:hAnsi="宋体" w:eastAsia="仿宋_GB2312" w:cs="Times New Roman"/>
          <w:color w:val="auto"/>
          <w:kern w:val="0"/>
          <w:sz w:val="32"/>
          <w:lang w:val="en-US" w:eastAsia="zh-CN"/>
        </w:rPr>
      </w:pPr>
      <w:r>
        <w:rPr>
          <w:rFonts w:hint="default" w:ascii="Times New Roman" w:hAnsi="Times New Roman" w:eastAsia="仿宋_GB2312" w:cs="Times New Roman"/>
          <w:color w:val="auto"/>
          <w:kern w:val="0"/>
          <w:sz w:val="32"/>
        </w:rPr>
        <w:t>评价机构联系电话：0791-873793</w:t>
      </w:r>
      <w:r>
        <w:rPr>
          <w:rFonts w:hint="eastAsia" w:ascii="Times New Roman" w:hAnsi="Times New Roman" w:eastAsia="仿宋_GB2312" w:cs="Times New Roman"/>
          <w:color w:val="auto"/>
          <w:kern w:val="0"/>
          <w:sz w:val="32"/>
          <w:lang w:val="en-US" w:eastAsia="zh-CN"/>
        </w:rPr>
        <w:t>77</w:t>
      </w:r>
    </w:p>
    <w:p w14:paraId="235E6311">
      <w:pPr>
        <w:widowControl w:val="0"/>
        <w:tabs>
          <w:tab w:val="center" w:pos="4153"/>
          <w:tab w:val="right" w:pos="8306"/>
        </w:tabs>
        <w:snapToGrid w:val="0"/>
        <w:jc w:val="left"/>
        <w:rPr>
          <w:rFonts w:ascii="宋体" w:hAnsi="宋体" w:eastAsia="宋体" w:cs="宋体"/>
          <w:color w:val="auto"/>
          <w:kern w:val="2"/>
          <w:sz w:val="32"/>
          <w:szCs w:val="32"/>
          <w:lang w:val="en-US" w:eastAsia="zh-CN" w:bidi="ar-SA"/>
        </w:rPr>
      </w:pPr>
    </w:p>
    <w:p w14:paraId="563E2807">
      <w:pPr>
        <w:widowControl w:val="0"/>
        <w:spacing w:line="240" w:lineRule="auto"/>
        <w:ind w:firstLine="0" w:firstLineChars="0"/>
        <w:rPr>
          <w:rFonts w:ascii="黑体" w:hAnsi="黑体" w:eastAsia="黑体" w:cs="黑体"/>
          <w:b/>
          <w:bCs/>
          <w:color w:val="auto"/>
          <w:sz w:val="52"/>
          <w:szCs w:val="52"/>
        </w:rPr>
      </w:pPr>
    </w:p>
    <w:p w14:paraId="6CD5DF81">
      <w:pPr>
        <w:widowControl w:val="0"/>
        <w:tabs>
          <w:tab w:val="center" w:pos="4153"/>
          <w:tab w:val="right" w:pos="8306"/>
        </w:tabs>
        <w:snapToGrid w:val="0"/>
        <w:jc w:val="left"/>
        <w:rPr>
          <w:rFonts w:ascii="Times New Roman" w:hAnsi="Times New Roman" w:eastAsia="宋体" w:cs="Times New Roman"/>
          <w:color w:val="auto"/>
          <w:kern w:val="2"/>
          <w:sz w:val="18"/>
          <w:szCs w:val="18"/>
          <w:lang w:val="en-US" w:eastAsia="zh-CN" w:bidi="ar-SA"/>
        </w:rPr>
      </w:pPr>
    </w:p>
    <w:p w14:paraId="281F6E91">
      <w:pPr>
        <w:pStyle w:val="21"/>
        <w:rPr>
          <w:color w:val="auto"/>
          <w:lang w:val="en-US" w:eastAsia="zh-CN"/>
        </w:rPr>
      </w:pPr>
    </w:p>
    <w:p w14:paraId="047AFDD7">
      <w:pPr>
        <w:widowControl w:val="0"/>
        <w:spacing w:line="360" w:lineRule="auto"/>
        <w:ind w:firstLine="0" w:firstLineChars="0"/>
        <w:jc w:val="center"/>
        <w:rPr>
          <w:rFonts w:hint="default" w:ascii="Times New Roman" w:hAnsi="Times New Roman" w:eastAsia="仿宋_GB2312" w:cs="Times New Roman"/>
          <w:color w:val="auto"/>
          <w:kern w:val="0"/>
          <w:sz w:val="32"/>
          <w:lang w:eastAsia="zh-CN"/>
        </w:rPr>
      </w:pPr>
      <w:r>
        <w:rPr>
          <w:rFonts w:hint="default" w:ascii="Times New Roman" w:hAnsi="Times New Roman" w:eastAsia="仿宋_GB2312" w:cs="Times New Roman"/>
          <w:color w:val="auto"/>
          <w:kern w:val="0"/>
          <w:sz w:val="32"/>
          <w:lang w:eastAsia="zh-CN"/>
        </w:rPr>
        <w:t>江西赣安安全生产科学技术咨询服务中心</w:t>
      </w:r>
    </w:p>
    <w:p w14:paraId="1590C11A">
      <w:pPr>
        <w:widowControl w:val="0"/>
        <w:spacing w:line="360" w:lineRule="auto"/>
        <w:ind w:firstLine="0" w:firstLineChars="0"/>
        <w:jc w:val="center"/>
        <w:rPr>
          <w:rFonts w:hint="default" w:ascii="Times New Roman" w:hAnsi="Times New Roman" w:eastAsia="宋体" w:cs="Times New Roman"/>
          <w:color w:val="auto"/>
          <w:sz w:val="21"/>
        </w:rPr>
      </w:pPr>
      <w:r>
        <w:rPr>
          <w:rFonts w:hint="default" w:ascii="Times New Roman" w:hAnsi="Times New Roman" w:eastAsia="仿宋_GB2312" w:cs="Times New Roman"/>
          <w:color w:val="auto"/>
          <w:kern w:val="0"/>
          <w:sz w:val="32"/>
        </w:rPr>
        <w:t>20</w:t>
      </w:r>
      <w:r>
        <w:rPr>
          <w:rFonts w:hint="default" w:ascii="Times New Roman" w:hAnsi="Times New Roman" w:eastAsia="仿宋_GB2312" w:cs="Times New Roman"/>
          <w:color w:val="auto"/>
          <w:kern w:val="0"/>
          <w:sz w:val="32"/>
          <w:lang w:val="en-US" w:eastAsia="zh-CN"/>
        </w:rPr>
        <w:t>25</w:t>
      </w:r>
      <w:r>
        <w:rPr>
          <w:rFonts w:hint="default" w:ascii="Times New Roman" w:hAnsi="Times New Roman" w:eastAsia="仿宋_GB2312" w:cs="Times New Roman"/>
          <w:color w:val="auto"/>
          <w:kern w:val="0"/>
          <w:sz w:val="32"/>
        </w:rPr>
        <w:t>年</w:t>
      </w:r>
      <w:r>
        <w:rPr>
          <w:rFonts w:hint="default" w:ascii="Times New Roman" w:hAnsi="Times New Roman" w:eastAsia="仿宋_GB2312" w:cs="Times New Roman"/>
          <w:color w:val="auto"/>
          <w:kern w:val="0"/>
          <w:sz w:val="32"/>
          <w:lang w:val="en-US" w:eastAsia="zh-CN"/>
        </w:rPr>
        <w:t>6</w:t>
      </w:r>
      <w:r>
        <w:rPr>
          <w:rFonts w:hint="default" w:ascii="Times New Roman" w:hAnsi="Times New Roman" w:eastAsia="仿宋_GB2312" w:cs="Times New Roman"/>
          <w:color w:val="auto"/>
          <w:kern w:val="0"/>
          <w:sz w:val="32"/>
        </w:rPr>
        <w:t>月</w:t>
      </w:r>
      <w:r>
        <w:rPr>
          <w:rFonts w:hint="eastAsia" w:ascii="Times New Roman" w:hAnsi="Times New Roman" w:eastAsia="仿宋_GB2312" w:cs="Times New Roman"/>
          <w:color w:val="auto"/>
          <w:kern w:val="0"/>
          <w:sz w:val="32"/>
          <w:lang w:val="en-US" w:eastAsia="zh-CN"/>
        </w:rPr>
        <w:t>2</w:t>
      </w:r>
      <w:r>
        <w:rPr>
          <w:rFonts w:hint="eastAsia" w:eastAsia="仿宋_GB2312" w:cs="Times New Roman"/>
          <w:color w:val="auto"/>
          <w:kern w:val="0"/>
          <w:sz w:val="32"/>
          <w:lang w:val="en-US" w:eastAsia="zh-CN"/>
        </w:rPr>
        <w:t>4</w:t>
      </w:r>
      <w:r>
        <w:rPr>
          <w:rFonts w:hint="default" w:ascii="Times New Roman" w:hAnsi="Times New Roman" w:eastAsia="仿宋_GB2312" w:cs="Times New Roman"/>
          <w:color w:val="auto"/>
          <w:kern w:val="0"/>
          <w:sz w:val="32"/>
        </w:rPr>
        <w:t>日</w:t>
      </w:r>
    </w:p>
    <w:p w14:paraId="56AC3B99">
      <w:pPr>
        <w:widowControl w:val="0"/>
        <w:tabs>
          <w:tab w:val="center" w:pos="4153"/>
          <w:tab w:val="right" w:pos="8306"/>
        </w:tabs>
        <w:snapToGrid w:val="0"/>
        <w:ind w:left="0" w:leftChars="0" w:firstLine="0" w:firstLineChars="0"/>
        <w:jc w:val="both"/>
        <w:rPr>
          <w:rFonts w:ascii="Times New Roman" w:hAnsi="Times New Roman" w:eastAsia="宋体" w:cs="Times New Roman"/>
          <w:color w:val="auto"/>
          <w:kern w:val="2"/>
          <w:sz w:val="18"/>
          <w:szCs w:val="18"/>
          <w:lang w:val="en-US" w:eastAsia="zh-CN" w:bidi="ar-SA"/>
        </w:rPr>
      </w:pPr>
    </w:p>
    <w:p w14:paraId="5EC99798">
      <w:pPr>
        <w:pStyle w:val="21"/>
        <w:rPr>
          <w:rFonts w:ascii="Times New Roman" w:hAnsi="Times New Roman" w:eastAsia="宋体" w:cs="Times New Roman"/>
          <w:color w:val="auto"/>
          <w:kern w:val="2"/>
          <w:sz w:val="18"/>
          <w:szCs w:val="18"/>
          <w:lang w:val="en-US" w:eastAsia="zh-CN" w:bidi="ar-SA"/>
        </w:rPr>
      </w:pPr>
    </w:p>
    <w:p w14:paraId="0B82055C">
      <w:pPr>
        <w:rPr>
          <w:rFonts w:ascii="Times New Roman" w:hAnsi="Times New Roman" w:eastAsia="宋体" w:cs="Times New Roman"/>
          <w:color w:val="auto"/>
          <w:kern w:val="2"/>
          <w:sz w:val="18"/>
          <w:szCs w:val="18"/>
          <w:lang w:val="en-US" w:eastAsia="zh-CN" w:bidi="ar-SA"/>
        </w:rPr>
      </w:pPr>
    </w:p>
    <w:p w14:paraId="1BD336D7">
      <w:pPr>
        <w:pStyle w:val="21"/>
        <w:rPr>
          <w:rFonts w:ascii="Times New Roman" w:hAnsi="Times New Roman" w:eastAsia="宋体" w:cs="Times New Roman"/>
          <w:color w:val="auto"/>
          <w:kern w:val="2"/>
          <w:sz w:val="18"/>
          <w:szCs w:val="18"/>
          <w:lang w:val="en-US" w:eastAsia="zh-CN" w:bidi="ar-SA"/>
        </w:rPr>
      </w:pPr>
    </w:p>
    <w:p w14:paraId="6A0A9FDA">
      <w:pPr>
        <w:rPr>
          <w:color w:val="auto"/>
          <w:lang w:val="en-US" w:eastAsia="zh-CN"/>
        </w:rPr>
      </w:pPr>
      <w:r>
        <w:rPr>
          <w:color w:val="auto"/>
          <w:lang w:val="en-US" w:eastAsia="zh-CN"/>
        </w:rPr>
        <w:br w:type="page"/>
      </w:r>
    </w:p>
    <w:p w14:paraId="41B315ED">
      <w:pPr>
        <w:keepNext w:val="0"/>
        <w:keepLines w:val="0"/>
        <w:pageBreakBefore w:val="0"/>
        <w:widowControl/>
        <w:kinsoku/>
        <w:wordWrap/>
        <w:overflowPunct/>
        <w:topLinePunct w:val="0"/>
        <w:autoSpaceDE/>
        <w:autoSpaceDN/>
        <w:bidi w:val="0"/>
        <w:adjustRightInd/>
        <w:snapToGrid/>
        <w:spacing w:before="120" w:beforeLines="50" w:line="240" w:lineRule="auto"/>
        <w:ind w:firstLine="0" w:firstLineChars="0"/>
        <w:jc w:val="center"/>
        <w:textAlignment w:val="auto"/>
        <w:rPr>
          <w:rFonts w:hint="eastAsia" w:cs="Times New Roman"/>
          <w:b/>
          <w:color w:val="auto"/>
          <w:kern w:val="0"/>
          <w:sz w:val="32"/>
          <w:szCs w:val="32"/>
          <w:lang w:val="en-US" w:eastAsia="zh-CN"/>
        </w:rPr>
      </w:pPr>
    </w:p>
    <w:p w14:paraId="39C795C5">
      <w:pPr>
        <w:keepNext w:val="0"/>
        <w:keepLines w:val="0"/>
        <w:pageBreakBefore w:val="0"/>
        <w:widowControl/>
        <w:kinsoku/>
        <w:wordWrap/>
        <w:overflowPunct/>
        <w:topLinePunct w:val="0"/>
        <w:autoSpaceDE/>
        <w:autoSpaceDN/>
        <w:bidi w:val="0"/>
        <w:adjustRightInd/>
        <w:snapToGrid/>
        <w:spacing w:before="120" w:beforeLines="50" w:line="240" w:lineRule="auto"/>
        <w:ind w:firstLine="0" w:firstLineChars="0"/>
        <w:jc w:val="center"/>
        <w:textAlignment w:val="auto"/>
        <w:rPr>
          <w:rFonts w:hint="eastAsia" w:cs="Times New Roman"/>
          <w:b/>
          <w:color w:val="auto"/>
          <w:kern w:val="0"/>
          <w:sz w:val="32"/>
          <w:szCs w:val="32"/>
          <w:lang w:val="en-US" w:eastAsia="zh-CN"/>
        </w:rPr>
      </w:pPr>
      <w:r>
        <w:rPr>
          <w:rFonts w:hint="eastAsia" w:cs="Times New Roman"/>
          <w:b/>
          <w:color w:val="auto"/>
          <w:kern w:val="0"/>
          <w:sz w:val="32"/>
          <w:szCs w:val="32"/>
          <w:lang w:val="en-US" w:eastAsia="zh-CN"/>
        </w:rPr>
        <w:t>中国石化销售股份有限公司</w:t>
      </w:r>
    </w:p>
    <w:p w14:paraId="16216FD3">
      <w:pPr>
        <w:keepNext w:val="0"/>
        <w:keepLines w:val="0"/>
        <w:pageBreakBefore w:val="0"/>
        <w:widowControl/>
        <w:kinsoku/>
        <w:wordWrap/>
        <w:overflowPunct/>
        <w:topLinePunct w:val="0"/>
        <w:autoSpaceDE/>
        <w:autoSpaceDN/>
        <w:bidi w:val="0"/>
        <w:adjustRightInd/>
        <w:snapToGrid/>
        <w:spacing w:before="120" w:beforeLines="50" w:line="240" w:lineRule="auto"/>
        <w:ind w:firstLine="0" w:firstLineChars="0"/>
        <w:jc w:val="center"/>
        <w:textAlignment w:val="auto"/>
        <w:rPr>
          <w:rFonts w:hint="eastAsia" w:cs="Times New Roman"/>
          <w:b/>
          <w:color w:val="auto"/>
          <w:kern w:val="0"/>
          <w:sz w:val="32"/>
          <w:szCs w:val="32"/>
          <w:lang w:val="en-US" w:eastAsia="zh-CN"/>
        </w:rPr>
      </w:pPr>
      <w:r>
        <w:rPr>
          <w:rFonts w:hint="eastAsia" w:cs="Times New Roman"/>
          <w:b/>
          <w:color w:val="auto"/>
          <w:kern w:val="0"/>
          <w:sz w:val="32"/>
          <w:szCs w:val="32"/>
          <w:lang w:val="en-US" w:eastAsia="zh-CN"/>
        </w:rPr>
        <w:t>江西宜春铜鼓县城加油站</w:t>
      </w:r>
    </w:p>
    <w:p w14:paraId="50963B5F">
      <w:pPr>
        <w:keepNext w:val="0"/>
        <w:keepLines w:val="0"/>
        <w:pageBreakBefore w:val="0"/>
        <w:widowControl/>
        <w:kinsoku/>
        <w:wordWrap/>
        <w:overflowPunct/>
        <w:topLinePunct w:val="0"/>
        <w:autoSpaceDE/>
        <w:autoSpaceDN/>
        <w:bidi w:val="0"/>
        <w:adjustRightInd/>
        <w:snapToGrid/>
        <w:spacing w:before="120" w:beforeLines="50" w:line="240" w:lineRule="auto"/>
        <w:ind w:firstLine="0" w:firstLineChars="0"/>
        <w:jc w:val="center"/>
        <w:textAlignment w:val="auto"/>
        <w:rPr>
          <w:rFonts w:hint="eastAsia" w:ascii="Times New Roman" w:hAnsi="Times New Roman" w:eastAsia="宋体" w:cs="Times New Roman"/>
          <w:b/>
          <w:color w:val="auto"/>
          <w:kern w:val="0"/>
          <w:sz w:val="32"/>
          <w:szCs w:val="32"/>
          <w:lang w:val="en-US" w:eastAsia="zh-CN"/>
        </w:rPr>
      </w:pPr>
      <w:r>
        <w:rPr>
          <w:rFonts w:hint="eastAsia" w:cs="Times New Roman"/>
          <w:b/>
          <w:color w:val="auto"/>
          <w:kern w:val="0"/>
          <w:sz w:val="32"/>
          <w:szCs w:val="32"/>
          <w:lang w:val="en-US" w:eastAsia="zh-CN"/>
        </w:rPr>
        <w:t>单罐单线改造项目</w:t>
      </w:r>
    </w:p>
    <w:p w14:paraId="2EC7B9E0">
      <w:pPr>
        <w:keepNext w:val="0"/>
        <w:keepLines w:val="0"/>
        <w:pageBreakBefore w:val="0"/>
        <w:widowControl/>
        <w:kinsoku/>
        <w:wordWrap/>
        <w:overflowPunct/>
        <w:topLinePunct w:val="0"/>
        <w:autoSpaceDE/>
        <w:autoSpaceDN/>
        <w:bidi w:val="0"/>
        <w:adjustRightInd/>
        <w:snapToGrid/>
        <w:spacing w:before="120" w:beforeLines="50" w:line="240" w:lineRule="auto"/>
        <w:ind w:firstLine="0" w:firstLineChars="0"/>
        <w:jc w:val="center"/>
        <w:textAlignment w:val="auto"/>
        <w:rPr>
          <w:rFonts w:ascii="Times New Roman" w:hAnsi="Times New Roman" w:eastAsia="宋体" w:cs="Times New Roman"/>
          <w:b/>
          <w:color w:val="auto"/>
          <w:kern w:val="0"/>
          <w:sz w:val="32"/>
          <w:szCs w:val="32"/>
        </w:rPr>
      </w:pPr>
      <w:r>
        <w:rPr>
          <w:rFonts w:hint="eastAsia" w:ascii="Times New Roman" w:hAnsi="Times New Roman" w:eastAsia="宋体" w:cs="Times New Roman"/>
          <w:b/>
          <w:color w:val="auto"/>
          <w:kern w:val="0"/>
          <w:sz w:val="32"/>
          <w:szCs w:val="32"/>
        </w:rPr>
        <w:t>安全验收评价</w:t>
      </w:r>
      <w:r>
        <w:rPr>
          <w:rFonts w:ascii="Times New Roman" w:hAnsi="Times New Roman" w:eastAsia="宋体" w:cs="Times New Roman"/>
          <w:b/>
          <w:color w:val="auto"/>
          <w:kern w:val="0"/>
          <w:sz w:val="32"/>
          <w:szCs w:val="32"/>
        </w:rPr>
        <w:t>技术服务承诺书</w:t>
      </w:r>
    </w:p>
    <w:p w14:paraId="0E6FF5DA">
      <w:pPr>
        <w:widowControl w:val="0"/>
        <w:autoSpaceDE w:val="0"/>
        <w:autoSpaceDN w:val="0"/>
        <w:adjustRightInd w:val="0"/>
        <w:spacing w:line="360" w:lineRule="auto"/>
        <w:ind w:firstLine="480" w:firstLineChars="200"/>
        <w:rPr>
          <w:rFonts w:ascii="Times New Roman" w:hAnsi="Times New Roman" w:eastAsia="宋体" w:cs="Times New Roman"/>
          <w:color w:val="auto"/>
          <w:sz w:val="24"/>
        </w:rPr>
      </w:pPr>
    </w:p>
    <w:p w14:paraId="6A6AAB56">
      <w:pPr>
        <w:widowControl/>
        <w:suppressAutoHyphens/>
        <w:spacing w:line="360" w:lineRule="auto"/>
        <w:ind w:firstLine="640" w:firstLineChars="200"/>
        <w:rPr>
          <w:rFonts w:ascii="Times New Roman" w:hAnsi="Times New Roman" w:eastAsia="仿宋" w:cs="Times New Roman"/>
          <w:bCs/>
          <w:color w:val="auto"/>
          <w:kern w:val="0"/>
          <w:sz w:val="32"/>
          <w:szCs w:val="32"/>
          <w:lang w:bidi="hi-IN"/>
        </w:rPr>
      </w:pPr>
      <w:r>
        <w:rPr>
          <w:rFonts w:ascii="Times New Roman" w:hAnsi="Times New Roman" w:eastAsia="仿宋" w:cs="Times New Roman"/>
          <w:bCs/>
          <w:color w:val="auto"/>
          <w:kern w:val="0"/>
          <w:sz w:val="32"/>
          <w:szCs w:val="32"/>
          <w:lang w:bidi="hi-IN"/>
        </w:rPr>
        <w:t>一、在该项目安全评价活动过程中，我单位严格遵守《中华人民共和国安全生产法》及相关法律、法规和标准的要求。</w:t>
      </w:r>
    </w:p>
    <w:p w14:paraId="72C5EBA5">
      <w:pPr>
        <w:widowControl/>
        <w:suppressAutoHyphens/>
        <w:spacing w:line="360" w:lineRule="auto"/>
        <w:ind w:firstLine="640" w:firstLineChars="200"/>
        <w:rPr>
          <w:rFonts w:ascii="Times New Roman" w:hAnsi="Times New Roman" w:eastAsia="仿宋" w:cs="Times New Roman"/>
          <w:bCs/>
          <w:color w:val="auto"/>
          <w:kern w:val="0"/>
          <w:sz w:val="32"/>
          <w:szCs w:val="32"/>
          <w:lang w:bidi="hi-IN"/>
        </w:rPr>
      </w:pPr>
      <w:r>
        <w:rPr>
          <w:rFonts w:ascii="Times New Roman" w:hAnsi="Times New Roman" w:eastAsia="仿宋" w:cs="Times New Roman"/>
          <w:bCs/>
          <w:color w:val="auto"/>
          <w:kern w:val="0"/>
          <w:sz w:val="32"/>
          <w:szCs w:val="32"/>
          <w:lang w:bidi="hi-IN"/>
        </w:rPr>
        <w:t>二、在该项目安全评价活动过程中，我单位作为第三方，未受到任何组织和个人的干预和影响，依法独立开展工作，保证了技术服务活动的客观公正性。</w:t>
      </w:r>
    </w:p>
    <w:p w14:paraId="46185C3F">
      <w:pPr>
        <w:widowControl/>
        <w:suppressAutoHyphens/>
        <w:spacing w:line="360" w:lineRule="auto"/>
        <w:ind w:firstLine="640" w:firstLineChars="200"/>
        <w:rPr>
          <w:rFonts w:ascii="Times New Roman" w:hAnsi="Times New Roman" w:eastAsia="仿宋" w:cs="Times New Roman"/>
          <w:bCs/>
          <w:color w:val="auto"/>
          <w:kern w:val="0"/>
          <w:sz w:val="32"/>
          <w:szCs w:val="32"/>
          <w:lang w:bidi="hi-IN"/>
        </w:rPr>
      </w:pPr>
      <w:r>
        <w:rPr>
          <w:rFonts w:ascii="Times New Roman" w:hAnsi="Times New Roman" w:eastAsia="仿宋" w:cs="Times New Roman"/>
          <w:bCs/>
          <w:color w:val="auto"/>
          <w:kern w:val="0"/>
          <w:sz w:val="32"/>
          <w:szCs w:val="32"/>
          <w:lang w:bidi="hi-IN"/>
        </w:rPr>
        <w:t>三、我单位按照实事求是的原则，对该项目进行安全评价，确保出具的报告真实有效，报告所提出的措施具有针对性、有效性和可行性。</w:t>
      </w:r>
    </w:p>
    <w:p w14:paraId="3289C7DE">
      <w:pPr>
        <w:widowControl/>
        <w:suppressAutoHyphens/>
        <w:spacing w:line="360" w:lineRule="auto"/>
        <w:ind w:firstLine="640" w:firstLineChars="200"/>
        <w:rPr>
          <w:rFonts w:ascii="Times New Roman" w:hAnsi="Times New Roman" w:eastAsia="仿宋" w:cs="Times New Roman"/>
          <w:bCs/>
          <w:color w:val="auto"/>
          <w:kern w:val="0"/>
          <w:sz w:val="32"/>
          <w:szCs w:val="32"/>
          <w:lang w:bidi="hi-IN"/>
        </w:rPr>
      </w:pPr>
      <w:r>
        <w:rPr>
          <w:rFonts w:ascii="Times New Roman" w:hAnsi="Times New Roman" w:eastAsia="仿宋" w:cs="Times New Roman"/>
          <w:bCs/>
          <w:color w:val="auto"/>
          <w:kern w:val="0"/>
          <w:sz w:val="32"/>
          <w:szCs w:val="32"/>
          <w:lang w:bidi="hi-IN"/>
        </w:rPr>
        <w:t>四、我单位对该项目安全评价报告中结论性内容承担法律责任。</w:t>
      </w:r>
    </w:p>
    <w:p w14:paraId="22700437">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firstLine="0" w:firstLineChars="0"/>
        <w:jc w:val="left"/>
        <w:textAlignment w:val="auto"/>
        <w:rPr>
          <w:rFonts w:ascii="Times New Roman" w:hAnsi="Times New Roman" w:eastAsia="宋体" w:cs="Times New Roman"/>
          <w:color w:val="auto"/>
          <w:kern w:val="0"/>
          <w:sz w:val="28"/>
          <w:szCs w:val="21"/>
        </w:rPr>
      </w:pPr>
    </w:p>
    <w:p w14:paraId="6F28AEB3">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firstLine="0" w:firstLineChars="0"/>
        <w:jc w:val="left"/>
        <w:textAlignment w:val="auto"/>
        <w:rPr>
          <w:rFonts w:ascii="Times New Roman" w:hAnsi="Times New Roman" w:eastAsia="宋体" w:cs="Times New Roman"/>
          <w:color w:val="auto"/>
          <w:kern w:val="0"/>
          <w:sz w:val="32"/>
          <w:szCs w:val="28"/>
        </w:rPr>
      </w:pPr>
    </w:p>
    <w:p w14:paraId="2A6FC2B3">
      <w:pPr>
        <w:keepNext w:val="0"/>
        <w:keepLines w:val="0"/>
        <w:pageBreakBefore w:val="0"/>
        <w:widowControl/>
        <w:tabs>
          <w:tab w:val="left" w:pos="0"/>
        </w:tabs>
        <w:kinsoku/>
        <w:wordWrap/>
        <w:overflowPunct/>
        <w:topLinePunct w:val="0"/>
        <w:autoSpaceDE/>
        <w:autoSpaceDN/>
        <w:bidi w:val="0"/>
        <w:adjustRightInd/>
        <w:snapToGrid w:val="0"/>
        <w:spacing w:before="0" w:beforeAutospacing="0" w:after="0" w:afterAutospacing="0" w:line="500" w:lineRule="exact"/>
        <w:ind w:firstLine="0" w:firstLineChars="0"/>
        <w:jc w:val="left"/>
        <w:textAlignment w:val="auto"/>
        <w:rPr>
          <w:rFonts w:ascii="Times New Roman" w:hAnsi="Times New Roman" w:eastAsia="宋体" w:cs="宋体"/>
          <w:color w:val="auto"/>
          <w:spacing w:val="11"/>
          <w:kern w:val="2"/>
          <w:sz w:val="28"/>
          <w:szCs w:val="20"/>
          <w:lang w:val="en-US" w:eastAsia="zh-CN" w:bidi="ar-SA"/>
        </w:rPr>
      </w:pPr>
    </w:p>
    <w:p w14:paraId="6FE1411E">
      <w:pPr>
        <w:keepNext w:val="0"/>
        <w:keepLines w:val="0"/>
        <w:pageBreakBefore w:val="0"/>
        <w:widowControl/>
        <w:kinsoku/>
        <w:wordWrap/>
        <w:overflowPunct/>
        <w:topLinePunct w:val="0"/>
        <w:autoSpaceDE/>
        <w:autoSpaceDN/>
        <w:bidi w:val="0"/>
        <w:adjustRightInd/>
        <w:spacing w:line="500" w:lineRule="exact"/>
        <w:ind w:firstLine="560" w:firstLineChars="200"/>
        <w:jc w:val="right"/>
        <w:textAlignment w:val="auto"/>
        <w:rPr>
          <w:rFonts w:hint="eastAsia" w:ascii="Times New Roman" w:hAnsi="Times New Roman" w:eastAsia="宋体" w:cs="Times New Roman"/>
          <w:color w:val="auto"/>
          <w:kern w:val="0"/>
          <w:sz w:val="28"/>
          <w:szCs w:val="21"/>
          <w:lang w:eastAsia="zh-CN"/>
        </w:rPr>
      </w:pPr>
      <w:r>
        <w:rPr>
          <w:rFonts w:hint="eastAsia" w:ascii="Times New Roman" w:hAnsi="Times New Roman" w:eastAsia="宋体" w:cs="Times New Roman"/>
          <w:color w:val="auto"/>
          <w:kern w:val="0"/>
          <w:sz w:val="28"/>
          <w:szCs w:val="21"/>
          <w:lang w:eastAsia="zh-CN"/>
        </w:rPr>
        <w:t>江西赣安安全生产科学技术咨询服务中心</w:t>
      </w:r>
    </w:p>
    <w:p w14:paraId="1DFB6312">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right"/>
        <w:textAlignment w:val="auto"/>
        <w:rPr>
          <w:rFonts w:ascii="Times New Roman" w:hAnsi="Times New Roman" w:eastAsia="宋体" w:cs="Times New Roman"/>
          <w:color w:val="auto"/>
          <w:kern w:val="0"/>
          <w:sz w:val="28"/>
          <w:szCs w:val="21"/>
          <w:lang w:val="en-US" w:eastAsia="zh-CN" w:bidi="ar-SA"/>
        </w:rPr>
      </w:pPr>
      <w:r>
        <w:rPr>
          <w:rFonts w:hint="eastAsia" w:ascii="Times New Roman" w:hAnsi="Times New Roman" w:eastAsia="宋体" w:cs="Times New Roman"/>
          <w:color w:val="auto"/>
          <w:kern w:val="0"/>
          <w:sz w:val="28"/>
          <w:szCs w:val="21"/>
          <w:lang w:val="en-US" w:eastAsia="zh-CN" w:bidi="ar-SA"/>
        </w:rPr>
        <w:t>202</w:t>
      </w:r>
      <w:r>
        <w:rPr>
          <w:rFonts w:hint="eastAsia" w:cs="Times New Roman"/>
          <w:color w:val="auto"/>
          <w:kern w:val="0"/>
          <w:sz w:val="28"/>
          <w:szCs w:val="21"/>
          <w:lang w:val="en-US" w:eastAsia="zh-CN" w:bidi="ar-SA"/>
        </w:rPr>
        <w:t>5</w:t>
      </w:r>
      <w:r>
        <w:rPr>
          <w:rFonts w:ascii="Times New Roman" w:hAnsi="Times New Roman" w:eastAsia="宋体" w:cs="Times New Roman"/>
          <w:color w:val="auto"/>
          <w:kern w:val="0"/>
          <w:sz w:val="28"/>
          <w:szCs w:val="21"/>
          <w:lang w:val="en-US" w:eastAsia="zh-CN" w:bidi="ar-SA"/>
        </w:rPr>
        <w:t>年</w:t>
      </w:r>
      <w:r>
        <w:rPr>
          <w:rFonts w:hint="eastAsia" w:cs="Times New Roman"/>
          <w:color w:val="auto"/>
          <w:kern w:val="0"/>
          <w:sz w:val="28"/>
          <w:szCs w:val="21"/>
          <w:lang w:val="en-US" w:eastAsia="zh-CN" w:bidi="ar-SA"/>
        </w:rPr>
        <w:t>6</w:t>
      </w:r>
      <w:r>
        <w:rPr>
          <w:rFonts w:ascii="Times New Roman" w:hAnsi="Times New Roman" w:eastAsia="宋体" w:cs="Times New Roman"/>
          <w:color w:val="auto"/>
          <w:kern w:val="0"/>
          <w:sz w:val="28"/>
          <w:szCs w:val="21"/>
          <w:lang w:val="en-US" w:eastAsia="zh-CN" w:bidi="ar-SA"/>
        </w:rPr>
        <w:t>月</w:t>
      </w:r>
      <w:r>
        <w:rPr>
          <w:rFonts w:hint="eastAsia" w:cs="Times New Roman"/>
          <w:color w:val="auto"/>
          <w:kern w:val="0"/>
          <w:sz w:val="28"/>
          <w:szCs w:val="21"/>
          <w:lang w:val="en-US" w:eastAsia="zh-CN" w:bidi="ar-SA"/>
        </w:rPr>
        <w:t>24</w:t>
      </w:r>
      <w:r>
        <w:rPr>
          <w:rFonts w:ascii="Times New Roman" w:hAnsi="Times New Roman" w:eastAsia="宋体" w:cs="Times New Roman"/>
          <w:color w:val="auto"/>
          <w:kern w:val="0"/>
          <w:sz w:val="28"/>
          <w:szCs w:val="21"/>
          <w:lang w:val="en-US" w:eastAsia="zh-CN" w:bidi="ar-SA"/>
        </w:rPr>
        <w:t>日</w:t>
      </w:r>
    </w:p>
    <w:p w14:paraId="7FD2AECB">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both"/>
        <w:textAlignment w:val="auto"/>
        <w:rPr>
          <w:rFonts w:ascii="Times New Roman" w:hAnsi="Times New Roman" w:eastAsia="宋体" w:cs="Times New Roman"/>
          <w:color w:val="auto"/>
          <w:kern w:val="0"/>
          <w:sz w:val="28"/>
          <w:szCs w:val="21"/>
          <w:lang w:val="en-US" w:eastAsia="zh-CN" w:bidi="ar-SA"/>
        </w:rPr>
      </w:pPr>
    </w:p>
    <w:p w14:paraId="5068A01A">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both"/>
        <w:textAlignment w:val="auto"/>
        <w:rPr>
          <w:rFonts w:ascii="Times New Roman" w:hAnsi="Times New Roman" w:eastAsia="宋体" w:cs="Times New Roman"/>
          <w:color w:val="auto"/>
          <w:kern w:val="0"/>
          <w:sz w:val="28"/>
          <w:szCs w:val="21"/>
          <w:lang w:val="en-US" w:eastAsia="zh-CN" w:bidi="ar-SA"/>
        </w:rPr>
      </w:pPr>
    </w:p>
    <w:p w14:paraId="3654FECA">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both"/>
        <w:textAlignment w:val="auto"/>
        <w:rPr>
          <w:rFonts w:ascii="Times New Roman" w:hAnsi="Times New Roman" w:eastAsia="宋体" w:cs="Times New Roman"/>
          <w:color w:val="auto"/>
          <w:kern w:val="0"/>
          <w:sz w:val="28"/>
          <w:szCs w:val="21"/>
          <w:lang w:val="en-US" w:eastAsia="zh-CN" w:bidi="ar-SA"/>
        </w:rPr>
      </w:pPr>
    </w:p>
    <w:p w14:paraId="26098485">
      <w:pPr>
        <w:keepNext w:val="0"/>
        <w:keepLines w:val="0"/>
        <w:pageBreakBefore w:val="0"/>
        <w:widowControl w:val="0"/>
        <w:kinsoku/>
        <w:wordWrap/>
        <w:overflowPunct/>
        <w:topLinePunct w:val="0"/>
        <w:autoSpaceDE/>
        <w:autoSpaceDN/>
        <w:bidi w:val="0"/>
        <w:adjustRightInd/>
        <w:snapToGrid w:val="0"/>
        <w:spacing w:line="500" w:lineRule="exact"/>
        <w:ind w:firstLine="0" w:firstLineChars="0"/>
        <w:jc w:val="both"/>
        <w:textAlignment w:val="auto"/>
        <w:rPr>
          <w:rFonts w:hint="eastAsia" w:ascii="Times New Roman" w:hAnsi="Times New Roman" w:eastAsia="宋体" w:cs="Times New Roman"/>
          <w:color w:val="auto"/>
          <w:kern w:val="0"/>
          <w:sz w:val="28"/>
          <w:szCs w:val="21"/>
          <w:lang w:val="en-US" w:eastAsia="zh-CN" w:bidi="ar-SA"/>
        </w:rPr>
      </w:pPr>
    </w:p>
    <w:p w14:paraId="77DCF9DD">
      <w:pPr>
        <w:rPr>
          <w:rFonts w:ascii="Times New Roman" w:hAnsi="Times New Roman" w:eastAsia="宋体" w:cs="Times New Roman"/>
          <w:color w:val="auto"/>
          <w:kern w:val="0"/>
          <w:sz w:val="44"/>
          <w:szCs w:val="44"/>
        </w:rPr>
      </w:pPr>
      <w:r>
        <w:rPr>
          <w:rFonts w:ascii="Times New Roman" w:hAnsi="Times New Roman" w:eastAsia="宋体" w:cs="Times New Roman"/>
          <w:color w:val="auto"/>
          <w:kern w:val="0"/>
          <w:sz w:val="44"/>
          <w:szCs w:val="44"/>
        </w:rPr>
        <w:br w:type="page"/>
      </w:r>
    </w:p>
    <w:p w14:paraId="623B1C9C">
      <w:pPr>
        <w:widowControl/>
        <w:spacing w:line="360" w:lineRule="auto"/>
        <w:ind w:firstLine="0" w:firstLineChars="0"/>
        <w:jc w:val="center"/>
        <w:rPr>
          <w:rFonts w:ascii="Times New Roman" w:hAnsi="Times New Roman" w:eastAsia="微软雅黑" w:cs="Times New Roman"/>
          <w:color w:val="auto"/>
          <w:kern w:val="0"/>
          <w:sz w:val="12"/>
          <w:szCs w:val="12"/>
        </w:rPr>
      </w:pPr>
      <w:r>
        <w:rPr>
          <w:rFonts w:ascii="Times New Roman" w:hAnsi="Times New Roman" w:eastAsia="宋体" w:cs="Times New Roman"/>
          <w:color w:val="auto"/>
          <w:kern w:val="0"/>
          <w:sz w:val="44"/>
          <w:szCs w:val="44"/>
        </w:rPr>
        <w:t>规范安全生产中介行为的九条禁令</w:t>
      </w:r>
    </w:p>
    <w:p w14:paraId="14EF9E3A">
      <w:pPr>
        <w:widowControl/>
        <w:spacing w:line="360" w:lineRule="auto"/>
        <w:ind w:firstLine="0" w:firstLineChars="0"/>
        <w:jc w:val="center"/>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赣安监管规划字〔2017〕178号</w:t>
      </w:r>
    </w:p>
    <w:p w14:paraId="1160410A">
      <w:pPr>
        <w:widowControl w:val="0"/>
        <w:spacing w:line="360" w:lineRule="auto"/>
        <w:ind w:firstLine="560" w:firstLineChars="200"/>
        <w:rPr>
          <w:rFonts w:ascii="Times New Roman" w:hAnsi="Times New Roman" w:eastAsia="宋体" w:cs="Times New Roman"/>
          <w:color w:val="auto"/>
          <w:sz w:val="28"/>
          <w:szCs w:val="28"/>
        </w:rPr>
      </w:pPr>
      <w:r>
        <w:rPr>
          <w:rFonts w:ascii="Times New Roman" w:hAnsi="Times New Roman" w:eastAsia="宋体" w:cs="Times New Roman"/>
          <w:color w:val="auto"/>
          <w:sz w:val="28"/>
          <w:szCs w:val="28"/>
        </w:rPr>
        <w:t>一、禁止从事安全生产和职业卫生服务的中介服务机构（以下统称中介机构）租借资质证书、非法挂靠、转包服务项目的行为；</w:t>
      </w:r>
    </w:p>
    <w:p w14:paraId="326CEE06">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二、禁止中介机构假借、冒用他人名义要求服务对象接受有偿服务，或者恶意低价竞争以及采取串标、围标等不正当竞争手段，扰乱技术服务市场秩序的行为；</w:t>
      </w:r>
    </w:p>
    <w:p w14:paraId="25C45015">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三、禁止中介机构出具虚假或漏项、缺项技术报告的行为；</w:t>
      </w:r>
    </w:p>
    <w:p w14:paraId="70F18B2C">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四、禁止中介机构出租、出借资格证书、在报告上冒用他人签名的行为；</w:t>
      </w:r>
    </w:p>
    <w:p w14:paraId="03DC11E4">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五、禁止中介机构有应到而不到现场开展技术服务的行为；</w:t>
      </w:r>
    </w:p>
    <w:p w14:paraId="3E0D1CF2">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六、禁止安全生产监管部门及其工作人员要求生产经营单位接受指定的中介机构开展技术服务的行为；</w:t>
      </w:r>
    </w:p>
    <w:p w14:paraId="0938E447">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七、禁止安全生产监管部门及其工作人员没有法律依据组织由生产经营单位或机构支付费用的行政性评审的行为；</w:t>
      </w:r>
    </w:p>
    <w:p w14:paraId="205192FC">
      <w:pPr>
        <w:widowControl/>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八、禁止安全生产监管部门及其工作人员干预市场定价，违规擅自出台技术服务收费标准的行为；</w:t>
      </w:r>
    </w:p>
    <w:p w14:paraId="674F5CF3">
      <w:pPr>
        <w:widowControl w:val="0"/>
        <w:tabs>
          <w:tab w:val="center" w:pos="4153"/>
          <w:tab w:val="right" w:pos="8306"/>
        </w:tabs>
        <w:snapToGrid w:val="0"/>
        <w:spacing w:line="360" w:lineRule="auto"/>
        <w:ind w:firstLine="560" w:firstLineChars="200"/>
        <w:jc w:val="left"/>
        <w:rPr>
          <w:rFonts w:ascii="Times New Roman" w:hAnsi="Times New Roman" w:eastAsia="宋体" w:cs="Times New Roman"/>
          <w:color w:val="auto"/>
          <w:kern w:val="0"/>
          <w:sz w:val="28"/>
          <w:szCs w:val="28"/>
        </w:rPr>
      </w:pPr>
      <w:r>
        <w:rPr>
          <w:rFonts w:ascii="Times New Roman" w:hAnsi="Times New Roman" w:eastAsia="宋体" w:cs="Times New Roman"/>
          <w:color w:val="auto"/>
          <w:kern w:val="0"/>
          <w:sz w:val="28"/>
          <w:szCs w:val="28"/>
        </w:rPr>
        <w:t>九、禁止安全生产监管部门及其工作人员参与、擅自干预中介机构从业活动，或者有获取不正当利益的行为。</w:t>
      </w:r>
    </w:p>
    <w:p w14:paraId="0097BD79">
      <w:pPr>
        <w:widowControl w:val="0"/>
        <w:tabs>
          <w:tab w:val="center" w:pos="4153"/>
          <w:tab w:val="right" w:pos="8306"/>
        </w:tabs>
        <w:snapToGrid w:val="0"/>
        <w:jc w:val="left"/>
        <w:rPr>
          <w:rFonts w:ascii="Times New Roman" w:hAnsi="Times New Roman" w:eastAsia="宋体" w:cs="Times New Roman"/>
          <w:color w:val="auto"/>
          <w:kern w:val="0"/>
          <w:sz w:val="28"/>
          <w:szCs w:val="28"/>
          <w:lang w:val="en-US" w:eastAsia="zh-CN" w:bidi="ar-SA"/>
        </w:rPr>
      </w:pPr>
    </w:p>
    <w:p w14:paraId="761995EE">
      <w:pPr>
        <w:widowControl w:val="0"/>
        <w:tabs>
          <w:tab w:val="center" w:pos="4153"/>
          <w:tab w:val="right" w:pos="8306"/>
        </w:tabs>
        <w:snapToGrid w:val="0"/>
        <w:spacing w:line="240" w:lineRule="auto"/>
        <w:ind w:left="0" w:leftChars="0" w:firstLine="0" w:firstLineChars="0"/>
        <w:jc w:val="both"/>
        <w:rPr>
          <w:rFonts w:ascii="Times New Roman" w:hAnsi="Times New Roman" w:eastAsia="宋体" w:cs="Times New Roman"/>
          <w:color w:val="auto"/>
          <w:kern w:val="0"/>
          <w:sz w:val="28"/>
          <w:szCs w:val="28"/>
          <w:lang w:val="en-US" w:eastAsia="zh-CN" w:bidi="ar-SA"/>
        </w:rPr>
      </w:pPr>
    </w:p>
    <w:p w14:paraId="61BE7AAB">
      <w:pPr>
        <w:widowControl w:val="0"/>
        <w:tabs>
          <w:tab w:val="center" w:pos="4153"/>
          <w:tab w:val="right" w:pos="8306"/>
        </w:tabs>
        <w:snapToGrid w:val="0"/>
        <w:spacing w:line="360" w:lineRule="auto"/>
        <w:ind w:firstLine="560"/>
        <w:jc w:val="left"/>
        <w:rPr>
          <w:color w:val="auto"/>
          <w:kern w:val="0"/>
          <w:szCs w:val="28"/>
        </w:rPr>
        <w:sectPr>
          <w:headerReference r:id="rId7" w:type="default"/>
          <w:footerReference r:id="rId8" w:type="default"/>
          <w:pgSz w:w="11905" w:h="16838"/>
          <w:pgMar w:top="1417" w:right="1134" w:bottom="1225" w:left="1587" w:header="850" w:footer="964" w:gutter="0"/>
          <w:pgBorders>
            <w:top w:val="none" w:sz="0" w:space="0"/>
            <w:left w:val="none" w:sz="0" w:space="0"/>
            <w:bottom w:val="none" w:sz="0" w:space="0"/>
            <w:right w:val="none" w:sz="0" w:space="0"/>
          </w:pgBorders>
          <w:pgNumType w:fmt="upperRoman" w:start="1"/>
          <w:cols w:space="0" w:num="1"/>
          <w:rtlGutter w:val="0"/>
          <w:docGrid w:linePitch="350" w:charSpace="0"/>
        </w:sectPr>
      </w:pPr>
    </w:p>
    <w:p w14:paraId="1619237C">
      <w:pPr>
        <w:spacing w:line="600" w:lineRule="exact"/>
        <w:jc w:val="center"/>
        <w:rPr>
          <w:rFonts w:hint="eastAsia"/>
          <w:b/>
          <w:bCs/>
          <w:color w:val="auto"/>
          <w:sz w:val="32"/>
          <w:szCs w:val="32"/>
        </w:rPr>
      </w:pPr>
      <w:r>
        <w:rPr>
          <w:b/>
          <w:bCs/>
          <w:color w:val="auto"/>
          <w:sz w:val="32"/>
          <w:szCs w:val="32"/>
        </w:rPr>
        <w:t>评</w:t>
      </w:r>
      <w:r>
        <w:rPr>
          <w:rFonts w:hint="eastAsia"/>
          <w:b/>
          <w:bCs/>
          <w:color w:val="auto"/>
          <w:sz w:val="32"/>
          <w:szCs w:val="32"/>
        </w:rPr>
        <w:t xml:space="preserve"> </w:t>
      </w:r>
      <w:r>
        <w:rPr>
          <w:b/>
          <w:bCs/>
          <w:color w:val="auto"/>
          <w:sz w:val="32"/>
          <w:szCs w:val="32"/>
        </w:rPr>
        <w:t>价</w:t>
      </w:r>
      <w:r>
        <w:rPr>
          <w:rFonts w:hint="eastAsia"/>
          <w:b/>
          <w:bCs/>
          <w:color w:val="auto"/>
          <w:sz w:val="32"/>
          <w:szCs w:val="32"/>
        </w:rPr>
        <w:t xml:space="preserve"> </w:t>
      </w:r>
      <w:r>
        <w:rPr>
          <w:b/>
          <w:bCs/>
          <w:color w:val="auto"/>
          <w:sz w:val="32"/>
          <w:szCs w:val="32"/>
        </w:rPr>
        <w:t>人</w:t>
      </w:r>
      <w:r>
        <w:rPr>
          <w:rFonts w:hint="eastAsia"/>
          <w:b/>
          <w:bCs/>
          <w:color w:val="auto"/>
          <w:sz w:val="32"/>
          <w:szCs w:val="32"/>
        </w:rPr>
        <w:t xml:space="preserve"> </w:t>
      </w:r>
      <w:r>
        <w:rPr>
          <w:b/>
          <w:bCs/>
          <w:color w:val="auto"/>
          <w:sz w:val="32"/>
          <w:szCs w:val="32"/>
        </w:rPr>
        <w:t>员</w:t>
      </w:r>
    </w:p>
    <w:tbl>
      <w:tblPr>
        <w:tblStyle w:val="48"/>
        <w:tblW w:w="899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33"/>
        <w:gridCol w:w="988"/>
        <w:gridCol w:w="3044"/>
        <w:gridCol w:w="1584"/>
        <w:gridCol w:w="1442"/>
      </w:tblGrid>
      <w:tr w14:paraId="462BCC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7" w:hRule="atLeast"/>
          <w:jc w:val="center"/>
        </w:trPr>
        <w:tc>
          <w:tcPr>
            <w:tcW w:w="1933" w:type="dxa"/>
            <w:noWrap w:val="0"/>
            <w:vAlign w:val="center"/>
          </w:tcPr>
          <w:p w14:paraId="7890F464">
            <w:pPr>
              <w:keepNext w:val="0"/>
              <w:keepLines w:val="0"/>
              <w:widowControl/>
              <w:suppressLineNumbers w:val="0"/>
              <w:spacing w:before="0" w:beforeAutospacing="0" w:after="0" w:afterAutospacing="0"/>
              <w:ind w:left="0" w:right="0"/>
              <w:jc w:val="center"/>
              <w:rPr>
                <w:rFonts w:hint="default" w:ascii="Times New Roman" w:hAnsi="Times New Roman" w:cs="Times New Roman"/>
                <w:sz w:val="24"/>
              </w:rPr>
            </w:pPr>
          </w:p>
        </w:tc>
        <w:tc>
          <w:tcPr>
            <w:tcW w:w="988" w:type="dxa"/>
            <w:noWrap w:val="0"/>
            <w:vAlign w:val="center"/>
          </w:tcPr>
          <w:p w14:paraId="3687B14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姓名</w:t>
            </w:r>
          </w:p>
        </w:tc>
        <w:tc>
          <w:tcPr>
            <w:tcW w:w="3044" w:type="dxa"/>
            <w:noWrap w:val="0"/>
            <w:vAlign w:val="center"/>
          </w:tcPr>
          <w:p w14:paraId="3FD41A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职业资格证书编号</w:t>
            </w:r>
          </w:p>
        </w:tc>
        <w:tc>
          <w:tcPr>
            <w:tcW w:w="1584" w:type="dxa"/>
            <w:noWrap w:val="0"/>
            <w:vAlign w:val="center"/>
          </w:tcPr>
          <w:p w14:paraId="0578845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从业信息识别卡编号</w:t>
            </w:r>
          </w:p>
        </w:tc>
        <w:tc>
          <w:tcPr>
            <w:tcW w:w="1442" w:type="dxa"/>
            <w:noWrap w:val="0"/>
            <w:vAlign w:val="center"/>
          </w:tcPr>
          <w:p w14:paraId="555D800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签字</w:t>
            </w:r>
          </w:p>
        </w:tc>
      </w:tr>
      <w:tr w14:paraId="74491F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noWrap w:val="0"/>
            <w:vAlign w:val="center"/>
          </w:tcPr>
          <w:p w14:paraId="72A9D6A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项目负责人</w:t>
            </w:r>
          </w:p>
        </w:tc>
        <w:tc>
          <w:tcPr>
            <w:tcW w:w="988" w:type="dxa"/>
            <w:noWrap w:val="0"/>
            <w:vAlign w:val="center"/>
          </w:tcPr>
          <w:p w14:paraId="56BFF29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谢寒梅</w:t>
            </w:r>
          </w:p>
        </w:tc>
        <w:tc>
          <w:tcPr>
            <w:tcW w:w="3044" w:type="dxa"/>
            <w:noWrap w:val="0"/>
            <w:vAlign w:val="center"/>
          </w:tcPr>
          <w:p w14:paraId="749AB0A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S011035000110192001584</w:t>
            </w:r>
          </w:p>
        </w:tc>
        <w:tc>
          <w:tcPr>
            <w:tcW w:w="1584" w:type="dxa"/>
            <w:noWrap w:val="0"/>
            <w:vAlign w:val="center"/>
          </w:tcPr>
          <w:p w14:paraId="769D27A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027089</w:t>
            </w:r>
          </w:p>
        </w:tc>
        <w:tc>
          <w:tcPr>
            <w:tcW w:w="1442" w:type="dxa"/>
            <w:noWrap w:val="0"/>
            <w:vAlign w:val="center"/>
          </w:tcPr>
          <w:p w14:paraId="3CDAA4E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p>
        </w:tc>
      </w:tr>
      <w:tr w14:paraId="4702EE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vMerge w:val="restart"/>
            <w:noWrap w:val="0"/>
            <w:vAlign w:val="center"/>
          </w:tcPr>
          <w:p w14:paraId="0C463DF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项目组成员</w:t>
            </w:r>
          </w:p>
        </w:tc>
        <w:tc>
          <w:tcPr>
            <w:tcW w:w="988" w:type="dxa"/>
            <w:noWrap w:val="0"/>
            <w:vAlign w:val="center"/>
          </w:tcPr>
          <w:p w14:paraId="1027C36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谢寒梅</w:t>
            </w:r>
          </w:p>
        </w:tc>
        <w:tc>
          <w:tcPr>
            <w:tcW w:w="3044" w:type="dxa"/>
            <w:noWrap w:val="0"/>
            <w:vAlign w:val="center"/>
          </w:tcPr>
          <w:p w14:paraId="11F293E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S011035000110192001584</w:t>
            </w:r>
          </w:p>
        </w:tc>
        <w:tc>
          <w:tcPr>
            <w:tcW w:w="1584" w:type="dxa"/>
            <w:noWrap w:val="0"/>
            <w:vAlign w:val="center"/>
          </w:tcPr>
          <w:p w14:paraId="6C253A3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027089</w:t>
            </w:r>
          </w:p>
        </w:tc>
        <w:tc>
          <w:tcPr>
            <w:tcW w:w="1442" w:type="dxa"/>
            <w:noWrap w:val="0"/>
            <w:vAlign w:val="center"/>
          </w:tcPr>
          <w:p w14:paraId="132EAC0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20FC6F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vMerge w:val="continue"/>
            <w:noWrap w:val="0"/>
            <w:vAlign w:val="center"/>
          </w:tcPr>
          <w:p w14:paraId="619BEE7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c>
          <w:tcPr>
            <w:tcW w:w="988" w:type="dxa"/>
            <w:noWrap w:val="0"/>
            <w:vAlign w:val="center"/>
          </w:tcPr>
          <w:p w14:paraId="0A28EC0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王  冠</w:t>
            </w:r>
          </w:p>
        </w:tc>
        <w:tc>
          <w:tcPr>
            <w:tcW w:w="3044" w:type="dxa"/>
            <w:noWrap w:val="0"/>
            <w:vAlign w:val="center"/>
          </w:tcPr>
          <w:p w14:paraId="5DE0138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S011035000110192001523</w:t>
            </w:r>
          </w:p>
        </w:tc>
        <w:tc>
          <w:tcPr>
            <w:tcW w:w="1584" w:type="dxa"/>
            <w:noWrap w:val="0"/>
            <w:vAlign w:val="center"/>
          </w:tcPr>
          <w:p w14:paraId="779F05B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027086</w:t>
            </w:r>
          </w:p>
        </w:tc>
        <w:tc>
          <w:tcPr>
            <w:tcW w:w="1442" w:type="dxa"/>
            <w:noWrap w:val="0"/>
            <w:vAlign w:val="center"/>
          </w:tcPr>
          <w:p w14:paraId="6E77CB2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284B61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vMerge w:val="continue"/>
            <w:noWrap w:val="0"/>
            <w:vAlign w:val="center"/>
          </w:tcPr>
          <w:p w14:paraId="2CECE51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c>
          <w:tcPr>
            <w:tcW w:w="988" w:type="dxa"/>
            <w:noWrap w:val="0"/>
            <w:vAlign w:val="center"/>
          </w:tcPr>
          <w:p w14:paraId="45A53B6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eastAsia" w:ascii="Times New Roman" w:hAnsi="Times New Roman" w:eastAsia="宋体" w:cs="Times New Roman"/>
                <w:sz w:val="24"/>
                <w:szCs w:val="21"/>
                <w:lang w:val="en-US" w:eastAsia="zh-CN"/>
              </w:rPr>
              <w:t>黄伯扬</w:t>
            </w:r>
          </w:p>
        </w:tc>
        <w:tc>
          <w:tcPr>
            <w:tcW w:w="3044" w:type="dxa"/>
            <w:noWrap w:val="0"/>
            <w:vAlign w:val="center"/>
          </w:tcPr>
          <w:p w14:paraId="0A9429B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lang w:val="en-US" w:eastAsia="zh-CN"/>
              </w:rPr>
              <w:t>1800000000300643</w:t>
            </w:r>
          </w:p>
        </w:tc>
        <w:tc>
          <w:tcPr>
            <w:tcW w:w="1584" w:type="dxa"/>
            <w:noWrap w:val="0"/>
            <w:vAlign w:val="center"/>
          </w:tcPr>
          <w:p w14:paraId="7BFA37C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lang w:val="en-US" w:eastAsia="zh-CN"/>
              </w:rPr>
              <w:t>032737</w:t>
            </w:r>
          </w:p>
        </w:tc>
        <w:tc>
          <w:tcPr>
            <w:tcW w:w="1442" w:type="dxa"/>
            <w:noWrap w:val="0"/>
            <w:vAlign w:val="center"/>
          </w:tcPr>
          <w:p w14:paraId="324CA3C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1ED4C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vMerge w:val="continue"/>
            <w:noWrap w:val="0"/>
            <w:vAlign w:val="center"/>
          </w:tcPr>
          <w:p w14:paraId="3239FBB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c>
          <w:tcPr>
            <w:tcW w:w="988" w:type="dxa"/>
            <w:noWrap w:val="0"/>
            <w:vAlign w:val="center"/>
          </w:tcPr>
          <w:p w14:paraId="09801D0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王  波</w:t>
            </w:r>
          </w:p>
        </w:tc>
        <w:tc>
          <w:tcPr>
            <w:tcW w:w="3044" w:type="dxa"/>
            <w:noWrap w:val="0"/>
            <w:vAlign w:val="center"/>
          </w:tcPr>
          <w:p w14:paraId="6025255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S011035000110202001263</w:t>
            </w:r>
          </w:p>
        </w:tc>
        <w:tc>
          <w:tcPr>
            <w:tcW w:w="1584" w:type="dxa"/>
            <w:noWrap w:val="0"/>
            <w:vAlign w:val="center"/>
          </w:tcPr>
          <w:p w14:paraId="719DD02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r>
              <w:rPr>
                <w:rFonts w:hint="default" w:ascii="Times New Roman" w:hAnsi="Times New Roman" w:eastAsia="宋体" w:cs="Times New Roman"/>
                <w:sz w:val="24"/>
                <w:szCs w:val="21"/>
              </w:rPr>
              <w:t>040122</w:t>
            </w:r>
          </w:p>
        </w:tc>
        <w:tc>
          <w:tcPr>
            <w:tcW w:w="1442" w:type="dxa"/>
            <w:noWrap w:val="0"/>
            <w:vAlign w:val="center"/>
          </w:tcPr>
          <w:p w14:paraId="1D0CBCF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2708CB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vMerge w:val="continue"/>
            <w:noWrap w:val="0"/>
            <w:vAlign w:val="center"/>
          </w:tcPr>
          <w:p w14:paraId="36CBF64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c>
          <w:tcPr>
            <w:tcW w:w="988" w:type="dxa"/>
            <w:noWrap w:val="0"/>
            <w:vAlign w:val="center"/>
          </w:tcPr>
          <w:p w14:paraId="7C0AEE6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李景龙</w:t>
            </w:r>
          </w:p>
        </w:tc>
        <w:tc>
          <w:tcPr>
            <w:tcW w:w="3044" w:type="dxa"/>
            <w:noWrap w:val="0"/>
            <w:vAlign w:val="center"/>
          </w:tcPr>
          <w:p w14:paraId="66E7B49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20231004636000000141</w:t>
            </w:r>
          </w:p>
        </w:tc>
        <w:tc>
          <w:tcPr>
            <w:tcW w:w="1584" w:type="dxa"/>
            <w:noWrap w:val="0"/>
            <w:vAlign w:val="center"/>
          </w:tcPr>
          <w:p w14:paraId="6D3FC4F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36250406364</w:t>
            </w:r>
          </w:p>
        </w:tc>
        <w:tc>
          <w:tcPr>
            <w:tcW w:w="1442" w:type="dxa"/>
            <w:noWrap w:val="0"/>
            <w:vAlign w:val="center"/>
          </w:tcPr>
          <w:p w14:paraId="0231994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7657F0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noWrap w:val="0"/>
            <w:vAlign w:val="center"/>
          </w:tcPr>
          <w:p w14:paraId="677A333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报告编制人</w:t>
            </w:r>
          </w:p>
        </w:tc>
        <w:tc>
          <w:tcPr>
            <w:tcW w:w="988" w:type="dxa"/>
            <w:noWrap w:val="0"/>
            <w:vAlign w:val="center"/>
          </w:tcPr>
          <w:p w14:paraId="0C123DD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谢寒梅</w:t>
            </w:r>
          </w:p>
        </w:tc>
        <w:tc>
          <w:tcPr>
            <w:tcW w:w="3044" w:type="dxa"/>
            <w:noWrap w:val="0"/>
            <w:vAlign w:val="center"/>
          </w:tcPr>
          <w:p w14:paraId="4E12735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S011035000110192001584</w:t>
            </w:r>
          </w:p>
        </w:tc>
        <w:tc>
          <w:tcPr>
            <w:tcW w:w="1584" w:type="dxa"/>
            <w:noWrap w:val="0"/>
            <w:vAlign w:val="center"/>
          </w:tcPr>
          <w:p w14:paraId="520ABCD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027089</w:t>
            </w:r>
          </w:p>
        </w:tc>
        <w:tc>
          <w:tcPr>
            <w:tcW w:w="1442" w:type="dxa"/>
            <w:noWrap w:val="0"/>
            <w:vAlign w:val="center"/>
          </w:tcPr>
          <w:p w14:paraId="5AE308F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70401C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noWrap w:val="0"/>
            <w:vAlign w:val="center"/>
          </w:tcPr>
          <w:p w14:paraId="550DBCC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报告</w:t>
            </w:r>
            <w:r>
              <w:rPr>
                <w:rFonts w:hint="eastAsia" w:ascii="Times New Roman" w:hAnsi="Times New Roman" w:eastAsia="宋体" w:cs="Times New Roman"/>
                <w:sz w:val="24"/>
                <w:szCs w:val="21"/>
                <w:lang w:val="en-US" w:eastAsia="zh-CN"/>
              </w:rPr>
              <w:t>审核</w:t>
            </w:r>
            <w:r>
              <w:rPr>
                <w:rFonts w:hint="default" w:ascii="Times New Roman" w:hAnsi="Times New Roman" w:eastAsia="宋体" w:cs="Times New Roman"/>
                <w:sz w:val="24"/>
                <w:szCs w:val="21"/>
                <w:lang w:val="en-US" w:eastAsia="zh-CN"/>
              </w:rPr>
              <w:t>人</w:t>
            </w:r>
          </w:p>
        </w:tc>
        <w:tc>
          <w:tcPr>
            <w:tcW w:w="988" w:type="dxa"/>
            <w:noWrap w:val="0"/>
            <w:vAlign w:val="center"/>
          </w:tcPr>
          <w:p w14:paraId="44B198E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檀廷斌</w:t>
            </w:r>
          </w:p>
        </w:tc>
        <w:tc>
          <w:tcPr>
            <w:tcW w:w="3044" w:type="dxa"/>
            <w:noWrap w:val="0"/>
            <w:vAlign w:val="center"/>
          </w:tcPr>
          <w:p w14:paraId="2B3183A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1600000000200717</w:t>
            </w:r>
          </w:p>
        </w:tc>
        <w:tc>
          <w:tcPr>
            <w:tcW w:w="1584" w:type="dxa"/>
            <w:noWrap w:val="0"/>
            <w:vAlign w:val="center"/>
          </w:tcPr>
          <w:p w14:paraId="7D4759F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029648</w:t>
            </w:r>
          </w:p>
        </w:tc>
        <w:tc>
          <w:tcPr>
            <w:tcW w:w="1442" w:type="dxa"/>
            <w:noWrap w:val="0"/>
            <w:vAlign w:val="center"/>
          </w:tcPr>
          <w:p w14:paraId="2225BC6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2E572C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8" w:hRule="atLeast"/>
          <w:jc w:val="center"/>
        </w:trPr>
        <w:tc>
          <w:tcPr>
            <w:tcW w:w="1933" w:type="dxa"/>
            <w:noWrap w:val="0"/>
            <w:vAlign w:val="center"/>
          </w:tcPr>
          <w:p w14:paraId="008E369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过程控制负责人</w:t>
            </w:r>
          </w:p>
        </w:tc>
        <w:tc>
          <w:tcPr>
            <w:tcW w:w="988" w:type="dxa"/>
            <w:noWrap w:val="0"/>
            <w:vAlign w:val="center"/>
          </w:tcPr>
          <w:p w14:paraId="44E6C0C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黄香港</w:t>
            </w:r>
          </w:p>
        </w:tc>
        <w:tc>
          <w:tcPr>
            <w:tcW w:w="3044" w:type="dxa"/>
            <w:noWrap w:val="0"/>
            <w:vAlign w:val="center"/>
          </w:tcPr>
          <w:p w14:paraId="3BBDCEF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S011035000110191000617</w:t>
            </w:r>
          </w:p>
        </w:tc>
        <w:tc>
          <w:tcPr>
            <w:tcW w:w="1584" w:type="dxa"/>
            <w:noWrap w:val="0"/>
            <w:vAlign w:val="center"/>
          </w:tcPr>
          <w:p w14:paraId="1967B14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rPr>
              <w:t>024436</w:t>
            </w:r>
          </w:p>
        </w:tc>
        <w:tc>
          <w:tcPr>
            <w:tcW w:w="1442" w:type="dxa"/>
            <w:noWrap w:val="0"/>
            <w:vAlign w:val="center"/>
          </w:tcPr>
          <w:p w14:paraId="7B1869B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r w14:paraId="4A3B31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5" w:hRule="atLeast"/>
          <w:jc w:val="center"/>
        </w:trPr>
        <w:tc>
          <w:tcPr>
            <w:tcW w:w="1933" w:type="dxa"/>
            <w:noWrap w:val="0"/>
            <w:vAlign w:val="center"/>
          </w:tcPr>
          <w:p w14:paraId="558AF5E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技术负责人</w:t>
            </w:r>
          </w:p>
        </w:tc>
        <w:tc>
          <w:tcPr>
            <w:tcW w:w="988" w:type="dxa"/>
            <w:noWrap w:val="0"/>
            <w:vAlign w:val="center"/>
          </w:tcPr>
          <w:p w14:paraId="3734CD1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周红波</w:t>
            </w:r>
          </w:p>
        </w:tc>
        <w:tc>
          <w:tcPr>
            <w:tcW w:w="3044" w:type="dxa"/>
            <w:noWrap w:val="0"/>
            <w:vAlign w:val="center"/>
          </w:tcPr>
          <w:p w14:paraId="3B5632A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1700000000100121</w:t>
            </w:r>
          </w:p>
        </w:tc>
        <w:tc>
          <w:tcPr>
            <w:tcW w:w="1584" w:type="dxa"/>
            <w:noWrap w:val="0"/>
            <w:vAlign w:val="center"/>
          </w:tcPr>
          <w:p w14:paraId="02DD961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020702</w:t>
            </w:r>
          </w:p>
        </w:tc>
        <w:tc>
          <w:tcPr>
            <w:tcW w:w="1442" w:type="dxa"/>
            <w:noWrap w:val="0"/>
            <w:vAlign w:val="center"/>
          </w:tcPr>
          <w:p w14:paraId="56DDE1A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4"/>
                <w:szCs w:val="21"/>
              </w:rPr>
            </w:pPr>
          </w:p>
        </w:tc>
      </w:tr>
    </w:tbl>
    <w:p w14:paraId="407A1B0E">
      <w:pPr>
        <w:autoSpaceDE w:val="0"/>
        <w:autoSpaceDN w:val="0"/>
        <w:adjustRightInd w:val="0"/>
        <w:ind w:firstLine="643"/>
        <w:jc w:val="center"/>
        <w:rPr>
          <w:rFonts w:hint="eastAsia" w:cs="宋体"/>
          <w:b/>
          <w:bCs/>
          <w:color w:val="auto"/>
          <w:sz w:val="32"/>
          <w:szCs w:val="32"/>
        </w:rPr>
      </w:pPr>
    </w:p>
    <w:p w14:paraId="77FE8492">
      <w:pPr>
        <w:autoSpaceDE w:val="0"/>
        <w:autoSpaceDN w:val="0"/>
        <w:adjustRightInd w:val="0"/>
        <w:ind w:firstLine="643"/>
        <w:jc w:val="center"/>
        <w:rPr>
          <w:color w:val="auto"/>
        </w:rPr>
      </w:pPr>
      <w:r>
        <w:rPr>
          <w:rFonts w:hint="eastAsia" w:cs="宋体"/>
          <w:b/>
          <w:bCs/>
          <w:color w:val="auto"/>
          <w:sz w:val="32"/>
          <w:szCs w:val="32"/>
        </w:rPr>
        <w:t>参</w:t>
      </w:r>
      <w:r>
        <w:rPr>
          <w:b/>
          <w:bCs/>
          <w:color w:val="auto"/>
          <w:sz w:val="32"/>
          <w:szCs w:val="32"/>
        </w:rPr>
        <w:t xml:space="preserve">  </w:t>
      </w:r>
      <w:r>
        <w:rPr>
          <w:rFonts w:hint="eastAsia" w:cs="宋体"/>
          <w:b/>
          <w:bCs/>
          <w:color w:val="auto"/>
          <w:sz w:val="32"/>
          <w:szCs w:val="32"/>
        </w:rPr>
        <w:t>与</w:t>
      </w:r>
      <w:r>
        <w:rPr>
          <w:b/>
          <w:bCs/>
          <w:color w:val="auto"/>
          <w:sz w:val="32"/>
          <w:szCs w:val="32"/>
        </w:rPr>
        <w:t xml:space="preserve">  </w:t>
      </w:r>
      <w:r>
        <w:rPr>
          <w:rFonts w:hint="eastAsia" w:cs="宋体"/>
          <w:b/>
          <w:bCs/>
          <w:color w:val="auto"/>
          <w:sz w:val="32"/>
          <w:szCs w:val="32"/>
        </w:rPr>
        <w:t>人</w:t>
      </w:r>
      <w:r>
        <w:rPr>
          <w:b/>
          <w:bCs/>
          <w:color w:val="auto"/>
          <w:sz w:val="32"/>
          <w:szCs w:val="32"/>
        </w:rPr>
        <w:t xml:space="preserve">  </w:t>
      </w:r>
      <w:r>
        <w:rPr>
          <w:rFonts w:hint="eastAsia" w:cs="宋体"/>
          <w:b/>
          <w:bCs/>
          <w:color w:val="auto"/>
          <w:sz w:val="32"/>
          <w:szCs w:val="32"/>
        </w:rPr>
        <w:t>员</w:t>
      </w:r>
    </w:p>
    <w:tbl>
      <w:tblPr>
        <w:tblStyle w:val="48"/>
        <w:tblW w:w="8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3180"/>
        <w:gridCol w:w="2741"/>
      </w:tblGrid>
      <w:tr w14:paraId="710BE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92" w:type="dxa"/>
            <w:noWrap w:val="0"/>
            <w:vAlign w:val="center"/>
          </w:tcPr>
          <w:p w14:paraId="2765BEA4">
            <w:pPr>
              <w:keepNext w:val="0"/>
              <w:keepLines w:val="0"/>
              <w:widowControl w:val="0"/>
              <w:suppressLineNumbers w:val="0"/>
              <w:spacing w:before="0" w:beforeAutospacing="0" w:after="0" w:afterAutospacing="0" w:line="400" w:lineRule="exact"/>
              <w:ind w:left="0" w:right="0" w:firstLine="0" w:firstLineChars="0"/>
              <w:jc w:val="center"/>
              <w:rPr>
                <w:rFonts w:hint="eastAsia"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姓  名</w:t>
            </w:r>
          </w:p>
        </w:tc>
        <w:tc>
          <w:tcPr>
            <w:tcW w:w="3180" w:type="dxa"/>
            <w:noWrap w:val="0"/>
            <w:vAlign w:val="center"/>
          </w:tcPr>
          <w:p w14:paraId="6667ED4B">
            <w:pPr>
              <w:keepNext w:val="0"/>
              <w:keepLines w:val="0"/>
              <w:widowControl w:val="0"/>
              <w:suppressLineNumbers w:val="0"/>
              <w:spacing w:before="0" w:beforeAutospacing="0" w:after="0" w:afterAutospacing="0" w:line="400" w:lineRule="exact"/>
              <w:ind w:left="0" w:right="0" w:firstLine="0" w:firstLineChars="0"/>
              <w:jc w:val="center"/>
              <w:rPr>
                <w:rFonts w:hint="eastAsia"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专  业</w:t>
            </w:r>
          </w:p>
        </w:tc>
        <w:tc>
          <w:tcPr>
            <w:tcW w:w="2741" w:type="dxa"/>
            <w:noWrap w:val="0"/>
            <w:vAlign w:val="center"/>
          </w:tcPr>
          <w:p w14:paraId="14212076">
            <w:pPr>
              <w:keepNext w:val="0"/>
              <w:keepLines w:val="0"/>
              <w:widowControl w:val="0"/>
              <w:suppressLineNumbers w:val="0"/>
              <w:spacing w:before="0" w:beforeAutospacing="0" w:after="0" w:afterAutospacing="0" w:line="400" w:lineRule="exact"/>
              <w:ind w:left="0" w:right="0" w:firstLine="0" w:firstLineChars="0"/>
              <w:jc w:val="center"/>
              <w:rPr>
                <w:rFonts w:hint="eastAsia" w:ascii="Times New Roman" w:hAnsi="Times New Roman" w:eastAsia="宋体" w:cs="Times New Roman"/>
                <w:sz w:val="24"/>
                <w:szCs w:val="21"/>
                <w:lang w:val="en-US" w:eastAsia="zh-CN"/>
              </w:rPr>
            </w:pPr>
            <w:r>
              <w:rPr>
                <w:rFonts w:hint="eastAsia" w:ascii="Times New Roman" w:hAnsi="Times New Roman" w:eastAsia="宋体" w:cs="Times New Roman"/>
                <w:sz w:val="24"/>
                <w:szCs w:val="21"/>
                <w:lang w:val="en-US" w:eastAsia="zh-CN"/>
              </w:rPr>
              <w:t>签  字</w:t>
            </w:r>
          </w:p>
        </w:tc>
      </w:tr>
      <w:tr w14:paraId="77355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92" w:type="dxa"/>
            <w:noWrap w:val="0"/>
            <w:vAlign w:val="center"/>
          </w:tcPr>
          <w:p w14:paraId="7D1854D2">
            <w:pPr>
              <w:keepNext w:val="0"/>
              <w:keepLines w:val="0"/>
              <w:widowControl w:val="0"/>
              <w:suppressLineNumbers w:val="0"/>
              <w:spacing w:before="0" w:beforeAutospacing="0" w:after="0" w:afterAutospacing="0" w:line="400" w:lineRule="exact"/>
              <w:ind w:left="0" w:right="0" w:firstLine="0" w:firstLineChars="0"/>
              <w:jc w:val="center"/>
              <w:rPr>
                <w:rFonts w:hint="default"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刘秋红</w:t>
            </w:r>
          </w:p>
        </w:tc>
        <w:tc>
          <w:tcPr>
            <w:tcW w:w="3180" w:type="dxa"/>
            <w:noWrap w:val="0"/>
            <w:vAlign w:val="center"/>
          </w:tcPr>
          <w:p w14:paraId="473240C4">
            <w:pPr>
              <w:keepNext w:val="0"/>
              <w:keepLines w:val="0"/>
              <w:widowControl w:val="0"/>
              <w:suppressLineNumbers w:val="0"/>
              <w:spacing w:before="0" w:beforeAutospacing="0" w:after="0" w:afterAutospacing="0" w:line="400" w:lineRule="exact"/>
              <w:ind w:left="0" w:right="0" w:firstLine="0" w:firstLineChars="0"/>
              <w:jc w:val="center"/>
              <w:rPr>
                <w:rFonts w:hint="eastAsia" w:ascii="Times New Roman" w:hAnsi="Times New Roman" w:eastAsia="宋体" w:cs="Times New Roman"/>
                <w:sz w:val="24"/>
                <w:szCs w:val="21"/>
                <w:lang w:val="en-US" w:eastAsia="zh-CN"/>
              </w:rPr>
            </w:pPr>
            <w:r>
              <w:rPr>
                <w:rFonts w:hint="default" w:ascii="Times New Roman" w:hAnsi="Times New Roman" w:eastAsia="宋体" w:cs="Times New Roman"/>
                <w:sz w:val="24"/>
                <w:szCs w:val="21"/>
                <w:lang w:val="en-US" w:eastAsia="zh-CN"/>
              </w:rPr>
              <w:t>化学</w:t>
            </w:r>
          </w:p>
        </w:tc>
        <w:tc>
          <w:tcPr>
            <w:tcW w:w="2741" w:type="dxa"/>
            <w:noWrap w:val="0"/>
            <w:vAlign w:val="center"/>
          </w:tcPr>
          <w:p w14:paraId="02E6E2EE">
            <w:pPr>
              <w:keepNext w:val="0"/>
              <w:keepLines w:val="0"/>
              <w:widowControl w:val="0"/>
              <w:suppressLineNumbers w:val="0"/>
              <w:spacing w:before="0" w:beforeAutospacing="0" w:after="0" w:afterAutospacing="0" w:line="400" w:lineRule="exact"/>
              <w:ind w:left="0" w:right="0" w:firstLine="0" w:firstLineChars="0"/>
              <w:jc w:val="center"/>
              <w:rPr>
                <w:rFonts w:hint="eastAsia" w:ascii="Times New Roman" w:hAnsi="Times New Roman" w:eastAsia="宋体" w:cs="Times New Roman"/>
                <w:sz w:val="24"/>
                <w:szCs w:val="21"/>
                <w:lang w:val="en-US" w:eastAsia="zh-CN"/>
              </w:rPr>
            </w:pPr>
          </w:p>
        </w:tc>
      </w:tr>
    </w:tbl>
    <w:p w14:paraId="2ACA4D8E">
      <w:pPr>
        <w:jc w:val="center"/>
        <w:rPr>
          <w:rFonts w:ascii="Times New Roman" w:hAnsi="Times New Roman" w:eastAsia="黑体" w:cs="Times New Roman"/>
          <w:color w:val="auto"/>
          <w:sz w:val="36"/>
          <w:szCs w:val="36"/>
        </w:rPr>
      </w:pPr>
    </w:p>
    <w:p w14:paraId="13F01D15">
      <w:pPr>
        <w:widowControl w:val="0"/>
        <w:snapToGrid w:val="0"/>
        <w:spacing w:line="240" w:lineRule="auto"/>
        <w:ind w:firstLine="0" w:firstLineChars="0"/>
        <w:jc w:val="both"/>
        <w:rPr>
          <w:rFonts w:hint="eastAsia" w:ascii="Times New Roman" w:hAnsi="Times New Roman" w:eastAsia="宋体" w:cs="Times New Roman"/>
          <w:color w:val="auto"/>
          <w:kern w:val="2"/>
          <w:sz w:val="18"/>
          <w:szCs w:val="18"/>
          <w:lang w:val="en-US" w:eastAsia="zh-CN" w:bidi="ar-SA"/>
        </w:rPr>
      </w:pPr>
    </w:p>
    <w:p w14:paraId="7357144E">
      <w:pPr>
        <w:keepNext w:val="0"/>
        <w:keepLines w:val="0"/>
        <w:pageBreakBefore w:val="0"/>
        <w:widowControl w:val="0"/>
        <w:tabs>
          <w:tab w:val="center" w:pos="4153"/>
          <w:tab w:val="right" w:pos="8306"/>
        </w:tabs>
        <w:kinsoku/>
        <w:wordWrap/>
        <w:overflowPunct/>
        <w:topLinePunct w:val="0"/>
        <w:autoSpaceDE/>
        <w:autoSpaceDN/>
        <w:bidi w:val="0"/>
        <w:adjustRightInd/>
        <w:snapToGrid w:val="0"/>
        <w:spacing w:line="500" w:lineRule="exact"/>
        <w:jc w:val="both"/>
        <w:textAlignment w:val="auto"/>
        <w:rPr>
          <w:rFonts w:ascii="Times New Roman" w:hAnsi="Times New Roman" w:eastAsia="宋体" w:cs="Times New Roman"/>
          <w:color w:val="auto"/>
          <w:kern w:val="0"/>
          <w:sz w:val="28"/>
          <w:szCs w:val="21"/>
          <w:lang w:val="en-US" w:eastAsia="zh-CN" w:bidi="ar-SA"/>
        </w:rPr>
      </w:pPr>
    </w:p>
    <w:p w14:paraId="0E4DEF1B">
      <w:pPr>
        <w:rPr>
          <w:rFonts w:hint="eastAsia" w:ascii="黑体" w:eastAsia="黑体"/>
          <w:b/>
          <w:bCs/>
          <w:color w:val="auto"/>
          <w:kern w:val="0"/>
          <w:sz w:val="32"/>
          <w:szCs w:val="32"/>
        </w:rPr>
      </w:pPr>
    </w:p>
    <w:p w14:paraId="28B5FF3C">
      <w:pPr>
        <w:rPr>
          <w:rFonts w:hint="eastAsia" w:ascii="黑体" w:eastAsia="黑体"/>
          <w:b/>
          <w:bCs/>
          <w:color w:val="auto"/>
          <w:kern w:val="0"/>
          <w:sz w:val="32"/>
          <w:szCs w:val="32"/>
        </w:rPr>
      </w:pPr>
      <w:r>
        <w:rPr>
          <w:rFonts w:hint="eastAsia" w:ascii="黑体" w:eastAsia="黑体"/>
          <w:b/>
          <w:bCs/>
          <w:color w:val="auto"/>
          <w:kern w:val="0"/>
          <w:sz w:val="32"/>
          <w:szCs w:val="32"/>
        </w:rPr>
        <w:br w:type="page"/>
      </w:r>
    </w:p>
    <w:p w14:paraId="398BCC90">
      <w:pPr>
        <w:adjustRightInd w:val="0"/>
        <w:snapToGrid w:val="0"/>
        <w:spacing w:line="360" w:lineRule="auto"/>
        <w:ind w:firstLine="0" w:firstLineChars="0"/>
        <w:jc w:val="center"/>
        <w:rPr>
          <w:rFonts w:ascii="黑体" w:eastAsia="黑体"/>
          <w:b/>
          <w:bCs/>
          <w:color w:val="auto"/>
          <w:sz w:val="32"/>
          <w:szCs w:val="32"/>
        </w:rPr>
      </w:pPr>
      <w:r>
        <w:rPr>
          <w:rFonts w:hint="eastAsia" w:ascii="黑体" w:eastAsia="黑体"/>
          <w:b/>
          <w:bCs/>
          <w:color w:val="auto"/>
          <w:kern w:val="0"/>
          <w:sz w:val="32"/>
          <w:szCs w:val="32"/>
        </w:rPr>
        <w:t>前  言</w:t>
      </w:r>
    </w:p>
    <w:p w14:paraId="2ECEDA90">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hint="eastAsia" w:cs="Times New Roman"/>
          <w:szCs w:val="28"/>
          <w:lang w:val="en-US" w:eastAsia="zh-CN"/>
        </w:rPr>
      </w:pPr>
      <w:r>
        <w:rPr>
          <w:rFonts w:hint="eastAsia"/>
          <w:color w:val="auto"/>
          <w:szCs w:val="28"/>
          <w:lang w:val="en-US" w:eastAsia="zh-CN" w:bidi="ar"/>
        </w:rPr>
        <w:t>中国石化销售股份有限公司江西宜春铜鼓县城加油站单罐单线改造项目由中国石化销售股份有限公司江西宜春石油分公司负责建设，</w:t>
      </w:r>
      <w:r>
        <w:rPr>
          <w:rFonts w:hint="eastAsia"/>
          <w:color w:val="auto"/>
          <w:lang w:val="en-US" w:eastAsia="zh-CN"/>
        </w:rPr>
        <w:t>项目地址位于</w:t>
      </w:r>
      <w:r>
        <w:rPr>
          <w:rFonts w:hint="eastAsia" w:ascii="Times New Roman" w:hAnsi="Times New Roman" w:eastAsia="宋体" w:cs="Times New Roman"/>
          <w:szCs w:val="28"/>
          <w:lang w:val="en-US" w:eastAsia="zh-CN"/>
        </w:rPr>
        <w:t>江西省</w:t>
      </w:r>
      <w:r>
        <w:rPr>
          <w:rFonts w:hint="eastAsia" w:cs="Times New Roman"/>
          <w:szCs w:val="28"/>
          <w:lang w:val="en-US" w:eastAsia="zh-CN"/>
        </w:rPr>
        <w:t>铜鼓县城南路。</w:t>
      </w:r>
    </w:p>
    <w:p w14:paraId="27797315">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hint="eastAsia"/>
          <w:color w:val="auto"/>
          <w:szCs w:val="28"/>
          <w:lang w:eastAsia="zh-CN" w:bidi="ar"/>
        </w:rPr>
      </w:pPr>
      <w:r>
        <w:rPr>
          <w:rFonts w:hint="eastAsia"/>
          <w:color w:val="auto"/>
          <w:lang w:val="en-US" w:eastAsia="zh-CN"/>
        </w:rPr>
        <w:t>中国石化销售股份有限公司江西宜春铜鼓县城加油站成立于2000年11月02日，注册地位于江西省</w:t>
      </w:r>
      <w:r>
        <w:rPr>
          <w:rFonts w:hint="eastAsia" w:cs="Times New Roman"/>
          <w:szCs w:val="28"/>
          <w:lang w:val="en-US" w:eastAsia="zh-CN"/>
        </w:rPr>
        <w:t>铜鼓县城南路</w:t>
      </w:r>
      <w:r>
        <w:rPr>
          <w:rFonts w:hint="eastAsia"/>
          <w:color w:val="auto"/>
          <w:lang w:val="en-US" w:eastAsia="zh-CN"/>
        </w:rPr>
        <w:t>，</w:t>
      </w:r>
      <w:r>
        <w:rPr>
          <w:rFonts w:hint="eastAsia"/>
          <w:color w:val="auto"/>
          <w:szCs w:val="28"/>
          <w:lang w:eastAsia="zh-CN" w:bidi="ar"/>
        </w:rPr>
        <w:t>法定代表人为</w:t>
      </w:r>
      <w:r>
        <w:rPr>
          <w:rFonts w:hint="eastAsia"/>
          <w:color w:val="auto"/>
          <w:szCs w:val="28"/>
          <w:lang w:val="en-US" w:eastAsia="zh-CN" w:bidi="ar"/>
        </w:rPr>
        <w:t>文名志，</w:t>
      </w:r>
      <w:r>
        <w:rPr>
          <w:rFonts w:hint="eastAsia"/>
          <w:color w:val="auto"/>
          <w:szCs w:val="28"/>
          <w:lang w:eastAsia="zh-CN" w:bidi="ar"/>
        </w:rPr>
        <w:t>统一社会信用代码：91360926MA35KLLM7P。</w:t>
      </w:r>
    </w:p>
    <w:p w14:paraId="1BB853B4">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color w:val="auto"/>
          <w:kern w:val="0"/>
          <w:szCs w:val="28"/>
          <w:lang w:bidi="ar"/>
        </w:rPr>
      </w:pPr>
      <w:r>
        <w:rPr>
          <w:rFonts w:hint="eastAsia"/>
          <w:color w:val="auto"/>
          <w:szCs w:val="28"/>
          <w:lang w:val="en-US" w:eastAsia="zh-CN" w:bidi="ar"/>
        </w:rPr>
        <w:t>中国石化销售股份有限公司江西宜春石油分公司委托广东万思邦科技有限公司</w:t>
      </w:r>
      <w:r>
        <w:rPr>
          <w:color w:val="auto"/>
          <w:szCs w:val="28"/>
          <w:lang w:bidi="ar"/>
        </w:rPr>
        <w:t>完成了</w:t>
      </w:r>
      <w:r>
        <w:rPr>
          <w:rFonts w:hint="eastAsia"/>
          <w:color w:val="auto"/>
          <w:szCs w:val="28"/>
          <w:lang w:eastAsia="zh-CN" w:bidi="ar"/>
        </w:rPr>
        <w:t>《</w:t>
      </w:r>
      <w:r>
        <w:rPr>
          <w:rFonts w:hint="eastAsia"/>
          <w:color w:val="auto"/>
          <w:szCs w:val="28"/>
          <w:lang w:val="en-US" w:eastAsia="zh-CN" w:bidi="ar"/>
        </w:rPr>
        <w:t>中国石化销售股份有限公司江西宜春铜鼓县城加油站单罐单线改造项目</w:t>
      </w:r>
      <w:r>
        <w:rPr>
          <w:rFonts w:hint="eastAsia"/>
          <w:color w:val="auto"/>
          <w:szCs w:val="28"/>
          <w:lang w:eastAsia="zh-CN" w:bidi="ar"/>
        </w:rPr>
        <w:t>安全预评价报告》</w:t>
      </w:r>
      <w:r>
        <w:rPr>
          <w:color w:val="auto"/>
          <w:szCs w:val="28"/>
          <w:lang w:bidi="ar"/>
        </w:rPr>
        <w:t>，</w:t>
      </w:r>
      <w:r>
        <w:rPr>
          <w:rFonts w:hint="eastAsia"/>
          <w:color w:val="auto"/>
          <w:szCs w:val="28"/>
          <w:lang w:val="en-US" w:eastAsia="zh-CN" w:bidi="ar"/>
        </w:rPr>
        <w:t>并于2024年10月28日</w:t>
      </w:r>
      <w:r>
        <w:rPr>
          <w:rFonts w:hint="eastAsia"/>
          <w:color w:val="auto"/>
          <w:szCs w:val="28"/>
          <w:lang w:bidi="ar"/>
        </w:rPr>
        <w:t>取得了《危险化学品建设项目安全条件审查意见书》（宜市危化项目安条审字</w:t>
      </w:r>
      <w:r>
        <w:rPr>
          <w:rFonts w:hint="eastAsia"/>
          <w:color w:val="auto"/>
          <w:szCs w:val="28"/>
          <w:lang w:eastAsia="zh-CN" w:bidi="ar"/>
        </w:rPr>
        <w:t>〔2024〕31号</w:t>
      </w:r>
      <w:r>
        <w:rPr>
          <w:rFonts w:hint="eastAsia"/>
          <w:color w:val="auto"/>
          <w:szCs w:val="28"/>
          <w:lang w:bidi="ar"/>
        </w:rPr>
        <w:t>）</w:t>
      </w:r>
      <w:r>
        <w:rPr>
          <w:rFonts w:hint="eastAsia"/>
          <w:color w:val="auto"/>
          <w:szCs w:val="28"/>
          <w:lang w:val="en-US" w:eastAsia="zh-CN" w:bidi="ar"/>
        </w:rPr>
        <w:t>；</w:t>
      </w:r>
      <w:r>
        <w:rPr>
          <w:rFonts w:hint="eastAsia" w:ascii="Times New Roman" w:hAnsi="Times New Roman"/>
          <w:color w:val="auto"/>
          <w:szCs w:val="28"/>
          <w:lang w:bidi="ar"/>
        </w:rPr>
        <w:t>202</w:t>
      </w:r>
      <w:r>
        <w:rPr>
          <w:rFonts w:hint="eastAsia"/>
          <w:color w:val="auto"/>
          <w:szCs w:val="28"/>
          <w:lang w:val="en-US" w:eastAsia="zh-CN" w:bidi="ar"/>
        </w:rPr>
        <w:t>4</w:t>
      </w:r>
      <w:r>
        <w:rPr>
          <w:rFonts w:hint="eastAsia"/>
          <w:color w:val="auto"/>
          <w:szCs w:val="28"/>
          <w:lang w:bidi="ar"/>
        </w:rPr>
        <w:t>年</w:t>
      </w:r>
      <w:r>
        <w:rPr>
          <w:rFonts w:hint="eastAsia"/>
          <w:color w:val="auto"/>
          <w:szCs w:val="28"/>
          <w:lang w:val="en-US" w:eastAsia="zh-CN" w:bidi="ar"/>
        </w:rPr>
        <w:t>10</w:t>
      </w:r>
      <w:r>
        <w:rPr>
          <w:rFonts w:hint="eastAsia"/>
          <w:color w:val="auto"/>
          <w:szCs w:val="28"/>
          <w:lang w:bidi="ar"/>
        </w:rPr>
        <w:t>月</w:t>
      </w:r>
      <w:r>
        <w:rPr>
          <w:rFonts w:hint="eastAsia"/>
          <w:color w:val="auto"/>
          <w:szCs w:val="28"/>
          <w:lang w:val="en-US" w:eastAsia="zh-CN" w:bidi="ar"/>
        </w:rPr>
        <w:t>委托天津中德工程设计有限公司</w:t>
      </w:r>
      <w:r>
        <w:rPr>
          <w:rFonts w:hint="eastAsia"/>
          <w:color w:val="auto"/>
          <w:kern w:val="0"/>
          <w:szCs w:val="28"/>
          <w:lang w:val="en-US" w:eastAsia="zh-CN" w:bidi="ar"/>
        </w:rPr>
        <w:t>完成了</w:t>
      </w:r>
      <w:r>
        <w:rPr>
          <w:rFonts w:hint="eastAsia"/>
          <w:color w:val="auto"/>
          <w:kern w:val="0"/>
          <w:szCs w:val="28"/>
          <w:lang w:eastAsia="zh-CN" w:bidi="ar"/>
        </w:rPr>
        <w:t>《</w:t>
      </w:r>
      <w:r>
        <w:rPr>
          <w:rFonts w:hint="eastAsia"/>
          <w:color w:val="auto"/>
          <w:kern w:val="0"/>
          <w:szCs w:val="28"/>
          <w:lang w:val="en-US" w:eastAsia="zh-CN" w:bidi="ar"/>
        </w:rPr>
        <w:t>中国石化销售股份有限公司江西宜春铜鼓县城加油站单罐单线改造项目安全设施设计</w:t>
      </w:r>
      <w:r>
        <w:rPr>
          <w:rFonts w:hint="eastAsia"/>
          <w:color w:val="auto"/>
          <w:kern w:val="0"/>
          <w:szCs w:val="28"/>
          <w:lang w:eastAsia="zh-CN" w:bidi="ar"/>
        </w:rPr>
        <w:t>》</w:t>
      </w:r>
      <w:r>
        <w:rPr>
          <w:color w:val="auto"/>
          <w:kern w:val="0"/>
          <w:szCs w:val="28"/>
          <w:lang w:bidi="ar"/>
        </w:rPr>
        <w:t>，并</w:t>
      </w:r>
      <w:r>
        <w:rPr>
          <w:rFonts w:hint="eastAsia"/>
          <w:color w:val="auto"/>
          <w:szCs w:val="28"/>
          <w:lang w:bidi="ar"/>
        </w:rPr>
        <w:t>取得了《危险化学品建设项目安全设施设计审查意见书》（宜市危化项目安设审字</w:t>
      </w:r>
      <w:r>
        <w:rPr>
          <w:rFonts w:hint="eastAsia"/>
          <w:color w:val="auto"/>
          <w:szCs w:val="28"/>
          <w:lang w:eastAsia="zh-CN" w:bidi="ar"/>
        </w:rPr>
        <w:t>〔2024〕30号</w:t>
      </w:r>
      <w:r>
        <w:rPr>
          <w:rFonts w:hint="eastAsia"/>
          <w:color w:val="auto"/>
          <w:szCs w:val="28"/>
          <w:lang w:bidi="ar"/>
        </w:rPr>
        <w:t>）</w:t>
      </w:r>
      <w:r>
        <w:rPr>
          <w:rFonts w:hint="eastAsia"/>
          <w:color w:val="auto"/>
          <w:kern w:val="0"/>
          <w:szCs w:val="28"/>
          <w:lang w:bidi="ar"/>
        </w:rPr>
        <w:t>，详见附件。目前已完成</w:t>
      </w:r>
      <w:r>
        <w:rPr>
          <w:color w:val="auto"/>
          <w:kern w:val="0"/>
          <w:szCs w:val="28"/>
          <w:lang w:bidi="ar"/>
        </w:rPr>
        <w:t>设备设施</w:t>
      </w:r>
      <w:r>
        <w:rPr>
          <w:rFonts w:hint="eastAsia"/>
          <w:color w:val="auto"/>
          <w:kern w:val="0"/>
          <w:szCs w:val="28"/>
          <w:lang w:bidi="ar"/>
        </w:rPr>
        <w:t>的</w:t>
      </w:r>
      <w:r>
        <w:rPr>
          <w:color w:val="auto"/>
          <w:kern w:val="0"/>
          <w:szCs w:val="28"/>
          <w:lang w:bidi="ar"/>
        </w:rPr>
        <w:t>安装，现企业正进行安全验收。</w:t>
      </w:r>
    </w:p>
    <w:p w14:paraId="6B448D25">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cs="宋体"/>
          <w:color w:val="auto"/>
          <w:szCs w:val="28"/>
          <w:lang w:bidi="ar"/>
        </w:rPr>
      </w:pPr>
      <w:r>
        <w:rPr>
          <w:rFonts w:hint="eastAsia" w:cs="宋体"/>
          <w:color w:val="auto"/>
          <w:szCs w:val="28"/>
          <w:lang w:val="en-US" w:eastAsia="zh-CN" w:bidi="ar"/>
        </w:rPr>
        <w:t>本项目为改建项目，目前该加油站</w:t>
      </w:r>
      <w:r>
        <w:rPr>
          <w:rFonts w:hint="eastAsia" w:cs="宋体"/>
          <w:color w:val="auto"/>
          <w:szCs w:val="28"/>
          <w:lang w:bidi="ar"/>
        </w:rPr>
        <w:t>已</w:t>
      </w:r>
      <w:r>
        <w:rPr>
          <w:rFonts w:hint="eastAsia" w:cs="宋体"/>
          <w:color w:val="auto"/>
          <w:szCs w:val="28"/>
          <w:lang w:val="en-US" w:eastAsia="zh-CN" w:bidi="ar"/>
        </w:rPr>
        <w:t>建成</w:t>
      </w:r>
      <w:r>
        <w:rPr>
          <w:rFonts w:hint="eastAsia" w:cs="宋体"/>
          <w:color w:val="auto"/>
          <w:szCs w:val="28"/>
          <w:lang w:bidi="ar"/>
        </w:rPr>
        <w:t>的建</w:t>
      </w:r>
      <w:r>
        <w:rPr>
          <w:rFonts w:hint="eastAsia" w:cs="宋体"/>
          <w:color w:val="auto"/>
          <w:szCs w:val="28"/>
          <w:lang w:eastAsia="zh-CN" w:bidi="ar"/>
        </w:rPr>
        <w:t>（</w:t>
      </w:r>
      <w:r>
        <w:rPr>
          <w:rFonts w:hint="eastAsia" w:cs="宋体"/>
          <w:color w:val="auto"/>
          <w:szCs w:val="28"/>
          <w:lang w:val="en-US" w:eastAsia="zh-CN" w:bidi="ar"/>
        </w:rPr>
        <w:t>构</w:t>
      </w:r>
      <w:r>
        <w:rPr>
          <w:rFonts w:hint="eastAsia" w:cs="宋体"/>
          <w:color w:val="auto"/>
          <w:szCs w:val="28"/>
          <w:lang w:eastAsia="zh-CN" w:bidi="ar"/>
        </w:rPr>
        <w:t>）</w:t>
      </w:r>
      <w:r>
        <w:rPr>
          <w:rFonts w:hint="eastAsia" w:cs="宋体"/>
          <w:color w:val="auto"/>
          <w:szCs w:val="28"/>
          <w:lang w:bidi="ar"/>
        </w:rPr>
        <w:t>筑物有：</w:t>
      </w:r>
      <w:r>
        <w:rPr>
          <w:rFonts w:cs="宋体"/>
          <w:color w:val="auto"/>
          <w:szCs w:val="28"/>
          <w:lang w:bidi="ar"/>
        </w:rPr>
        <w:t>站房、罩棚、</w:t>
      </w:r>
      <w:r>
        <w:rPr>
          <w:rFonts w:hint="eastAsia" w:cs="宋体"/>
          <w:color w:val="auto"/>
          <w:szCs w:val="28"/>
          <w:lang w:bidi="ar"/>
        </w:rPr>
        <w:t>承重罐池</w:t>
      </w:r>
      <w:r>
        <w:rPr>
          <w:rFonts w:cs="宋体"/>
          <w:color w:val="auto"/>
          <w:szCs w:val="28"/>
          <w:lang w:bidi="ar"/>
        </w:rPr>
        <w:t>、加油岛、</w:t>
      </w:r>
      <w:r>
        <w:rPr>
          <w:rFonts w:hint="eastAsia" w:cs="宋体"/>
          <w:color w:val="auto"/>
          <w:szCs w:val="28"/>
          <w:lang w:val="en-US" w:eastAsia="zh-CN" w:bidi="ar"/>
        </w:rPr>
        <w:t>密闭卸油点</w:t>
      </w:r>
      <w:r>
        <w:rPr>
          <w:rFonts w:hint="eastAsia" w:cs="宋体"/>
          <w:color w:val="auto"/>
          <w:szCs w:val="28"/>
          <w:lang w:bidi="ar"/>
        </w:rPr>
        <w:t>、</w:t>
      </w:r>
      <w:r>
        <w:rPr>
          <w:rFonts w:hint="eastAsia" w:cs="宋体"/>
          <w:color w:val="auto"/>
          <w:szCs w:val="28"/>
          <w:lang w:val="en-US" w:eastAsia="zh-CN" w:bidi="ar"/>
        </w:rPr>
        <w:t>油水池</w:t>
      </w:r>
      <w:r>
        <w:rPr>
          <w:rFonts w:cs="宋体"/>
          <w:color w:val="auto"/>
          <w:szCs w:val="28"/>
          <w:lang w:bidi="ar"/>
        </w:rPr>
        <w:t>等其他配套设备设施。加油区域布置</w:t>
      </w:r>
      <w:r>
        <w:rPr>
          <w:rFonts w:hint="eastAsia" w:cs="宋体"/>
          <w:color w:val="auto"/>
          <w:szCs w:val="28"/>
          <w:lang w:val="en-US" w:eastAsia="zh-CN" w:bidi="ar"/>
        </w:rPr>
        <w:t>4</w:t>
      </w:r>
      <w:r>
        <w:rPr>
          <w:rFonts w:cs="宋体"/>
          <w:color w:val="auto"/>
          <w:szCs w:val="28"/>
          <w:lang w:bidi="ar"/>
        </w:rPr>
        <w:t>台</w:t>
      </w:r>
      <w:r>
        <w:rPr>
          <w:rFonts w:hint="eastAsia" w:cs="宋体"/>
          <w:color w:val="auto"/>
          <w:szCs w:val="28"/>
          <w:lang w:val="en-US" w:eastAsia="zh-CN" w:bidi="ar"/>
        </w:rPr>
        <w:t>双枪</w:t>
      </w:r>
      <w:r>
        <w:rPr>
          <w:rFonts w:cs="宋体"/>
          <w:color w:val="auto"/>
          <w:szCs w:val="28"/>
          <w:lang w:bidi="ar"/>
        </w:rPr>
        <w:t>加油机（整机防爆型</w:t>
      </w:r>
      <w:r>
        <w:rPr>
          <w:rFonts w:hint="eastAsia" w:cs="宋体"/>
          <w:color w:val="auto"/>
          <w:szCs w:val="28"/>
          <w:lang w:eastAsia="zh-CN" w:bidi="ar"/>
        </w:rPr>
        <w:t>，带油气回收功能</w:t>
      </w:r>
      <w:r>
        <w:rPr>
          <w:rFonts w:cs="宋体"/>
          <w:color w:val="auto"/>
          <w:szCs w:val="28"/>
          <w:lang w:bidi="ar"/>
        </w:rPr>
        <w:t>），罩棚底下油罐区设置</w:t>
      </w:r>
      <w:r>
        <w:rPr>
          <w:rFonts w:hint="eastAsia" w:cs="宋体"/>
          <w:color w:val="auto"/>
          <w:szCs w:val="28"/>
          <w:lang w:val="en-US" w:eastAsia="zh-CN" w:bidi="ar"/>
        </w:rPr>
        <w:t>1</w:t>
      </w:r>
      <w:r>
        <w:rPr>
          <w:rFonts w:cs="宋体"/>
          <w:color w:val="auto"/>
          <w:szCs w:val="28"/>
          <w:lang w:bidi="ar"/>
        </w:rPr>
        <w:t>台</w:t>
      </w:r>
      <w:r>
        <w:rPr>
          <w:rFonts w:hint="eastAsia" w:cs="宋体"/>
          <w:color w:val="auto"/>
          <w:szCs w:val="28"/>
          <w:lang w:val="en-US" w:eastAsia="zh-CN" w:bidi="ar"/>
        </w:rPr>
        <w:t>3</w:t>
      </w:r>
      <w:r>
        <w:rPr>
          <w:rFonts w:hint="eastAsia" w:ascii="Times New Roman" w:hAnsi="Times New Roman" w:cs="宋体"/>
          <w:color w:val="auto"/>
          <w:szCs w:val="28"/>
          <w:lang w:bidi="ar"/>
        </w:rPr>
        <w:t>0</w:t>
      </w:r>
      <w:r>
        <w:rPr>
          <w:rFonts w:ascii="Times New Roman" w:hAnsi="Times New Roman" w:cs="宋体"/>
          <w:color w:val="auto"/>
          <w:szCs w:val="28"/>
          <w:lang w:bidi="ar"/>
        </w:rPr>
        <w:t>m</w:t>
      </w:r>
      <w:r>
        <w:rPr>
          <w:rFonts w:ascii="Times New Roman" w:hAnsi="Times New Roman" w:cs="宋体"/>
          <w:color w:val="auto"/>
          <w:szCs w:val="28"/>
          <w:vertAlign w:val="superscript"/>
          <w:lang w:bidi="ar"/>
        </w:rPr>
        <w:t>3</w:t>
      </w:r>
      <w:r>
        <w:rPr>
          <w:rFonts w:hint="eastAsia" w:cs="宋体"/>
          <w:color w:val="auto"/>
          <w:szCs w:val="28"/>
          <w:lang w:bidi="ar"/>
        </w:rPr>
        <w:t>的</w:t>
      </w:r>
      <w:r>
        <w:rPr>
          <w:rFonts w:hint="eastAsia" w:cs="宋体"/>
          <w:color w:val="auto"/>
          <w:szCs w:val="28"/>
          <w:lang w:val="en-US" w:eastAsia="zh-CN" w:bidi="ar"/>
        </w:rPr>
        <w:t>92</w:t>
      </w:r>
      <w:r>
        <w:rPr>
          <w:rFonts w:cs="宋体"/>
          <w:color w:val="auto"/>
          <w:szCs w:val="28"/>
          <w:vertAlign w:val="superscript"/>
          <w:lang w:bidi="ar"/>
        </w:rPr>
        <w:t>#</w:t>
      </w:r>
      <w:r>
        <w:rPr>
          <w:rFonts w:hint="eastAsia" w:cs="宋体"/>
          <w:color w:val="auto"/>
          <w:szCs w:val="28"/>
          <w:lang w:val="en-US" w:eastAsia="zh-CN" w:bidi="ar"/>
        </w:rPr>
        <w:t>汽油</w:t>
      </w:r>
      <w:r>
        <w:rPr>
          <w:rFonts w:cs="宋体"/>
          <w:color w:val="auto"/>
          <w:szCs w:val="28"/>
          <w:lang w:bidi="ar"/>
        </w:rPr>
        <w:t>卧式双层油罐、</w:t>
      </w:r>
      <w:r>
        <w:rPr>
          <w:rFonts w:hint="eastAsia" w:cs="宋体"/>
          <w:color w:val="auto"/>
          <w:szCs w:val="28"/>
          <w:lang w:val="en-US" w:eastAsia="zh-CN" w:bidi="ar"/>
        </w:rPr>
        <w:t>1</w:t>
      </w:r>
      <w:r>
        <w:rPr>
          <w:rFonts w:cs="宋体"/>
          <w:color w:val="auto"/>
          <w:szCs w:val="28"/>
          <w:lang w:bidi="ar"/>
        </w:rPr>
        <w:t>台</w:t>
      </w:r>
      <w:r>
        <w:rPr>
          <w:rFonts w:hint="eastAsia" w:ascii="Times New Roman" w:hAnsi="Times New Roman" w:cs="宋体"/>
          <w:color w:val="auto"/>
          <w:szCs w:val="28"/>
          <w:lang w:val="en-US" w:eastAsia="zh-CN" w:bidi="ar"/>
        </w:rPr>
        <w:t>3</w:t>
      </w:r>
      <w:r>
        <w:rPr>
          <w:rFonts w:ascii="Times New Roman" w:hAnsi="Times New Roman" w:cs="宋体"/>
          <w:color w:val="auto"/>
          <w:szCs w:val="28"/>
          <w:lang w:bidi="ar"/>
        </w:rPr>
        <w:t>0m</w:t>
      </w:r>
      <w:r>
        <w:rPr>
          <w:rFonts w:ascii="Times New Roman" w:hAnsi="Times New Roman" w:cs="宋体"/>
          <w:color w:val="auto"/>
          <w:szCs w:val="28"/>
          <w:vertAlign w:val="superscript"/>
          <w:lang w:bidi="ar"/>
        </w:rPr>
        <w:t>3</w:t>
      </w:r>
      <w:r>
        <w:rPr>
          <w:rFonts w:hint="eastAsia" w:cs="宋体"/>
          <w:color w:val="auto"/>
          <w:szCs w:val="28"/>
          <w:lang w:bidi="ar"/>
        </w:rPr>
        <w:t>的</w:t>
      </w:r>
      <w:r>
        <w:rPr>
          <w:rFonts w:ascii="Times New Roman" w:hAnsi="Times New Roman" w:cs="宋体"/>
          <w:color w:val="auto"/>
          <w:szCs w:val="28"/>
          <w:lang w:bidi="ar"/>
        </w:rPr>
        <w:t>9</w:t>
      </w:r>
      <w:r>
        <w:rPr>
          <w:rFonts w:hint="eastAsia" w:cs="宋体"/>
          <w:color w:val="auto"/>
          <w:szCs w:val="28"/>
          <w:lang w:val="en-US" w:eastAsia="zh-CN" w:bidi="ar"/>
        </w:rPr>
        <w:t>5</w:t>
      </w:r>
      <w:r>
        <w:rPr>
          <w:rFonts w:cs="宋体"/>
          <w:color w:val="auto"/>
          <w:szCs w:val="28"/>
          <w:vertAlign w:val="superscript"/>
          <w:lang w:bidi="ar"/>
        </w:rPr>
        <w:t>#</w:t>
      </w:r>
      <w:r>
        <w:rPr>
          <w:rFonts w:cs="宋体"/>
          <w:color w:val="auto"/>
          <w:szCs w:val="28"/>
          <w:lang w:bidi="ar"/>
        </w:rPr>
        <w:t>汽油卧式双层油罐</w:t>
      </w:r>
      <w:r>
        <w:rPr>
          <w:rFonts w:hint="eastAsia" w:cs="宋体"/>
          <w:color w:val="auto"/>
          <w:szCs w:val="28"/>
          <w:lang w:eastAsia="zh-CN" w:bidi="ar"/>
        </w:rPr>
        <w:t>、</w:t>
      </w:r>
      <w:r>
        <w:rPr>
          <w:rFonts w:hint="eastAsia" w:cs="宋体"/>
          <w:color w:val="auto"/>
          <w:szCs w:val="28"/>
          <w:lang w:val="en-US" w:eastAsia="zh-CN" w:bidi="ar"/>
        </w:rPr>
        <w:t>1</w:t>
      </w:r>
      <w:r>
        <w:rPr>
          <w:rFonts w:cs="宋体"/>
          <w:color w:val="auto"/>
          <w:szCs w:val="28"/>
          <w:lang w:bidi="ar"/>
        </w:rPr>
        <w:t>台</w:t>
      </w:r>
      <w:r>
        <w:rPr>
          <w:rFonts w:ascii="Times New Roman" w:hAnsi="Times New Roman" w:cs="宋体"/>
          <w:color w:val="auto"/>
          <w:szCs w:val="28"/>
          <w:lang w:bidi="ar"/>
        </w:rPr>
        <w:t>30m</w:t>
      </w:r>
      <w:r>
        <w:rPr>
          <w:rFonts w:ascii="Times New Roman" w:hAnsi="Times New Roman" w:cs="宋体"/>
          <w:color w:val="auto"/>
          <w:szCs w:val="28"/>
          <w:vertAlign w:val="superscript"/>
          <w:lang w:bidi="ar"/>
        </w:rPr>
        <w:t>3</w:t>
      </w:r>
      <w:r>
        <w:rPr>
          <w:rFonts w:hint="eastAsia" w:cs="宋体"/>
          <w:color w:val="auto"/>
          <w:szCs w:val="28"/>
          <w:lang w:bidi="ar"/>
        </w:rPr>
        <w:t>的</w:t>
      </w:r>
      <w:r>
        <w:rPr>
          <w:rFonts w:hint="eastAsia" w:cs="宋体"/>
          <w:color w:val="auto"/>
          <w:szCs w:val="28"/>
          <w:lang w:val="en-US" w:eastAsia="zh-CN" w:bidi="ar"/>
        </w:rPr>
        <w:t>98</w:t>
      </w:r>
      <w:r>
        <w:rPr>
          <w:rFonts w:cs="宋体"/>
          <w:color w:val="auto"/>
          <w:szCs w:val="28"/>
          <w:vertAlign w:val="superscript"/>
          <w:lang w:bidi="ar"/>
        </w:rPr>
        <w:t>#</w:t>
      </w:r>
      <w:r>
        <w:rPr>
          <w:rFonts w:cs="宋体"/>
          <w:color w:val="auto"/>
          <w:szCs w:val="28"/>
          <w:lang w:bidi="ar"/>
        </w:rPr>
        <w:t>汽</w:t>
      </w:r>
      <w:r>
        <w:rPr>
          <w:rFonts w:hint="eastAsia" w:cs="宋体"/>
          <w:color w:val="auto"/>
          <w:szCs w:val="28"/>
          <w:lang w:val="en-US" w:eastAsia="zh-CN" w:bidi="ar"/>
        </w:rPr>
        <w:t>油卧式双层油罐，总容量90m</w:t>
      </w:r>
      <w:r>
        <w:rPr>
          <w:rFonts w:hint="eastAsia" w:cs="宋体"/>
          <w:color w:val="auto"/>
          <w:szCs w:val="28"/>
          <w:vertAlign w:val="superscript"/>
          <w:lang w:val="en-US" w:eastAsia="zh-CN" w:bidi="ar"/>
        </w:rPr>
        <w:t>3</w:t>
      </w:r>
      <w:r>
        <w:rPr>
          <w:rFonts w:hint="eastAsia" w:cs="宋体"/>
          <w:color w:val="auto"/>
          <w:szCs w:val="28"/>
          <w:lang w:val="en-US" w:eastAsia="zh-CN" w:bidi="ar"/>
        </w:rPr>
        <w:t>，按照《汽车加油加气加氢站技术标准》（GB 50156-2021）规定的等级划分，属于三级加油站；该加油站汽油卸油和加油均设有油气回收系统，并且布置了卸油、输油、油气回收、通气管道等相关设施。</w:t>
      </w:r>
    </w:p>
    <w:p w14:paraId="16559A75">
      <w:pPr>
        <w:keepNext w:val="0"/>
        <w:keepLines w:val="0"/>
        <w:pageBreakBefore w:val="0"/>
        <w:widowControl w:val="0"/>
        <w:kinsoku/>
        <w:wordWrap/>
        <w:overflowPunct/>
        <w:topLinePunct w:val="0"/>
        <w:autoSpaceDE/>
        <w:autoSpaceDN/>
        <w:bidi w:val="0"/>
        <w:adjustRightInd w:val="0"/>
        <w:snapToGrid w:val="0"/>
        <w:spacing w:line="500" w:lineRule="exact"/>
        <w:ind w:firstLine="560"/>
        <w:textAlignment w:val="auto"/>
        <w:rPr>
          <w:rFonts w:cs="宋体"/>
          <w:color w:val="auto"/>
          <w:szCs w:val="28"/>
        </w:rPr>
      </w:pPr>
      <w:r>
        <w:rPr>
          <w:rFonts w:hint="eastAsia" w:cs="宋体"/>
          <w:color w:val="auto"/>
          <w:szCs w:val="28"/>
          <w:lang w:val="en-US" w:eastAsia="zh-CN"/>
        </w:rPr>
        <w:t>该加油站</w:t>
      </w:r>
      <w:r>
        <w:rPr>
          <w:rFonts w:cs="宋体"/>
          <w:color w:val="auto"/>
          <w:szCs w:val="28"/>
        </w:rPr>
        <w:t>主要涉及</w:t>
      </w:r>
      <w:r>
        <w:rPr>
          <w:rFonts w:hint="eastAsia" w:cs="宋体"/>
          <w:color w:val="auto"/>
          <w:szCs w:val="28"/>
        </w:rPr>
        <w:t>油品</w:t>
      </w:r>
      <w:r>
        <w:rPr>
          <w:rFonts w:cs="宋体"/>
          <w:color w:val="auto"/>
          <w:szCs w:val="28"/>
        </w:rPr>
        <w:t>为</w:t>
      </w:r>
      <w:r>
        <w:rPr>
          <w:rFonts w:ascii="Times New Roman" w:hAnsi="Times New Roman" w:cs="宋体"/>
          <w:color w:val="auto"/>
          <w:szCs w:val="28"/>
        </w:rPr>
        <w:t>92</w:t>
      </w:r>
      <w:r>
        <w:rPr>
          <w:rFonts w:cs="宋体"/>
          <w:color w:val="auto"/>
          <w:szCs w:val="28"/>
          <w:vertAlign w:val="superscript"/>
        </w:rPr>
        <w:t>#</w:t>
      </w:r>
      <w:r>
        <w:rPr>
          <w:rFonts w:cs="宋体"/>
          <w:color w:val="auto"/>
          <w:szCs w:val="28"/>
        </w:rPr>
        <w:t>汽油、</w:t>
      </w:r>
      <w:r>
        <w:rPr>
          <w:rFonts w:ascii="Times New Roman" w:hAnsi="Times New Roman" w:cs="宋体"/>
          <w:color w:val="auto"/>
          <w:szCs w:val="28"/>
        </w:rPr>
        <w:t>95</w:t>
      </w:r>
      <w:r>
        <w:rPr>
          <w:rFonts w:cs="宋体"/>
          <w:color w:val="auto"/>
          <w:szCs w:val="28"/>
          <w:vertAlign w:val="superscript"/>
        </w:rPr>
        <w:t>#</w:t>
      </w:r>
      <w:r>
        <w:rPr>
          <w:rFonts w:cs="宋体"/>
          <w:color w:val="auto"/>
          <w:szCs w:val="28"/>
        </w:rPr>
        <w:t>汽油和</w:t>
      </w:r>
      <w:r>
        <w:rPr>
          <w:rFonts w:hint="eastAsia" w:cs="宋体"/>
          <w:color w:val="auto"/>
          <w:szCs w:val="28"/>
          <w:lang w:val="en-US" w:eastAsia="zh-CN"/>
        </w:rPr>
        <w:t>98</w:t>
      </w:r>
      <w:r>
        <w:rPr>
          <w:rFonts w:cs="宋体"/>
          <w:color w:val="auto"/>
          <w:szCs w:val="28"/>
          <w:vertAlign w:val="superscript"/>
        </w:rPr>
        <w:t>#</w:t>
      </w:r>
      <w:r>
        <w:rPr>
          <w:rFonts w:hint="eastAsia" w:cs="宋体"/>
          <w:color w:val="auto"/>
          <w:szCs w:val="28"/>
          <w:lang w:val="en-US" w:eastAsia="zh-CN"/>
        </w:rPr>
        <w:t>汽油</w:t>
      </w:r>
      <w:r>
        <w:rPr>
          <w:rFonts w:cs="宋体"/>
          <w:color w:val="auto"/>
          <w:szCs w:val="28"/>
        </w:rPr>
        <w:t>，</w:t>
      </w:r>
      <w:r>
        <w:rPr>
          <w:rFonts w:hint="eastAsia" w:cs="宋体"/>
          <w:color w:val="auto"/>
          <w:szCs w:val="28"/>
          <w:lang w:val="en-US" w:eastAsia="zh-CN"/>
        </w:rPr>
        <w:t>根据</w:t>
      </w:r>
      <w:r>
        <w:rPr>
          <w:rFonts w:hint="eastAsia" w:cs="宋体"/>
          <w:color w:val="auto"/>
          <w:szCs w:val="28"/>
          <w:lang w:eastAsia="zh-CN"/>
        </w:rPr>
        <w:t>《危险化学品</w:t>
      </w:r>
      <w:r>
        <w:rPr>
          <w:rFonts w:hint="eastAsia" w:cs="宋体"/>
          <w:color w:val="auto"/>
          <w:szCs w:val="28"/>
          <w:lang w:val="en-US" w:eastAsia="zh-CN"/>
        </w:rPr>
        <w:t>目录</w:t>
      </w:r>
      <w:r>
        <w:rPr>
          <w:rFonts w:hint="eastAsia" w:cs="宋体"/>
          <w:color w:val="auto"/>
          <w:szCs w:val="28"/>
          <w:lang w:eastAsia="zh-CN"/>
        </w:rPr>
        <w:t>》</w:t>
      </w:r>
      <w:r>
        <w:rPr>
          <w:rFonts w:hint="eastAsia" w:cs="宋体"/>
          <w:color w:val="auto"/>
          <w:szCs w:val="28"/>
          <w:lang w:val="en-US" w:eastAsia="zh-CN"/>
        </w:rPr>
        <w:t>（应急管理部等</w:t>
      </w:r>
      <w:r>
        <w:rPr>
          <w:rFonts w:hint="eastAsia" w:ascii="Times New Roman" w:hAnsi="Times New Roman" w:cs="宋体"/>
          <w:color w:val="auto"/>
          <w:szCs w:val="28"/>
          <w:lang w:val="en-US" w:eastAsia="zh-CN"/>
        </w:rPr>
        <w:t>10</w:t>
      </w:r>
      <w:r>
        <w:rPr>
          <w:rFonts w:hint="eastAsia" w:cs="宋体"/>
          <w:color w:val="auto"/>
          <w:szCs w:val="28"/>
          <w:lang w:val="en-US" w:eastAsia="zh-CN"/>
        </w:rPr>
        <w:t>部门公告，</w:t>
      </w:r>
      <w:r>
        <w:rPr>
          <w:rFonts w:hint="eastAsia" w:ascii="Times New Roman" w:hAnsi="Times New Roman" w:cs="宋体"/>
          <w:color w:val="auto"/>
          <w:szCs w:val="28"/>
          <w:lang w:val="en-US" w:eastAsia="zh-CN"/>
        </w:rPr>
        <w:t>2015</w:t>
      </w:r>
      <w:r>
        <w:rPr>
          <w:rFonts w:hint="eastAsia" w:cs="宋体"/>
          <w:color w:val="auto"/>
          <w:szCs w:val="28"/>
          <w:lang w:val="en-US" w:eastAsia="zh-CN"/>
        </w:rPr>
        <w:t>年第</w:t>
      </w:r>
      <w:r>
        <w:rPr>
          <w:rFonts w:hint="eastAsia" w:ascii="Times New Roman" w:hAnsi="Times New Roman" w:cs="宋体"/>
          <w:color w:val="auto"/>
          <w:szCs w:val="28"/>
          <w:lang w:val="en-US" w:eastAsia="zh-CN"/>
        </w:rPr>
        <w:t>5</w:t>
      </w:r>
      <w:r>
        <w:rPr>
          <w:rFonts w:hint="eastAsia" w:cs="宋体"/>
          <w:color w:val="auto"/>
          <w:szCs w:val="28"/>
          <w:lang w:val="en-US" w:eastAsia="zh-CN"/>
        </w:rPr>
        <w:t>号，</w:t>
      </w:r>
      <w:r>
        <w:rPr>
          <w:rFonts w:hint="eastAsia" w:ascii="Times New Roman" w:hAnsi="Times New Roman" w:cs="宋体"/>
          <w:color w:val="auto"/>
          <w:szCs w:val="28"/>
          <w:lang w:val="en-US" w:eastAsia="zh-CN"/>
        </w:rPr>
        <w:t>2022</w:t>
      </w:r>
      <w:r>
        <w:rPr>
          <w:rFonts w:hint="eastAsia" w:cs="宋体"/>
          <w:color w:val="auto"/>
          <w:szCs w:val="28"/>
          <w:lang w:val="en-US" w:eastAsia="zh-CN"/>
        </w:rPr>
        <w:t>年第</w:t>
      </w:r>
      <w:r>
        <w:rPr>
          <w:rFonts w:hint="eastAsia" w:ascii="Times New Roman" w:hAnsi="Times New Roman" w:cs="宋体"/>
          <w:color w:val="auto"/>
          <w:szCs w:val="28"/>
          <w:lang w:val="en-US" w:eastAsia="zh-CN"/>
        </w:rPr>
        <w:t>8</w:t>
      </w:r>
      <w:r>
        <w:rPr>
          <w:rFonts w:hint="eastAsia" w:cs="宋体"/>
          <w:color w:val="auto"/>
          <w:szCs w:val="28"/>
          <w:lang w:val="en-US" w:eastAsia="zh-CN"/>
        </w:rPr>
        <w:t>号）辨识</w:t>
      </w:r>
      <w:r>
        <w:rPr>
          <w:rFonts w:cs="宋体"/>
          <w:color w:val="auto"/>
          <w:szCs w:val="28"/>
        </w:rPr>
        <w:t>，汽油</w:t>
      </w:r>
      <w:r>
        <w:rPr>
          <w:rFonts w:hint="eastAsia" w:cs="宋体"/>
          <w:color w:val="auto"/>
          <w:szCs w:val="28"/>
          <w:lang w:val="en-US" w:eastAsia="zh-CN"/>
        </w:rPr>
        <w:t>的</w:t>
      </w:r>
      <w:r>
        <w:rPr>
          <w:rFonts w:cs="宋体"/>
          <w:color w:val="auto"/>
          <w:szCs w:val="28"/>
        </w:rPr>
        <w:t>危险类别</w:t>
      </w:r>
      <w:r>
        <w:rPr>
          <w:rFonts w:hint="eastAsia" w:cs="宋体"/>
          <w:color w:val="auto"/>
          <w:szCs w:val="28"/>
          <w:lang w:val="en-US" w:eastAsia="zh-CN"/>
        </w:rPr>
        <w:t>为</w:t>
      </w:r>
      <w:r>
        <w:rPr>
          <w:rFonts w:cs="宋体"/>
          <w:color w:val="auto"/>
          <w:szCs w:val="28"/>
        </w:rPr>
        <w:t>易燃液体，类别</w:t>
      </w:r>
      <w:r>
        <w:rPr>
          <w:rFonts w:ascii="Times New Roman" w:hAnsi="Times New Roman" w:cs="宋体"/>
          <w:color w:val="auto"/>
          <w:szCs w:val="28"/>
        </w:rPr>
        <w:t>2</w:t>
      </w:r>
      <w:r>
        <w:rPr>
          <w:rFonts w:cs="宋体"/>
          <w:color w:val="auto"/>
          <w:szCs w:val="28"/>
        </w:rPr>
        <w:t>*生殖细胞致突变性，类别</w:t>
      </w:r>
      <w:r>
        <w:rPr>
          <w:rFonts w:ascii="Times New Roman" w:hAnsi="Times New Roman" w:cs="宋体"/>
          <w:color w:val="auto"/>
          <w:szCs w:val="28"/>
        </w:rPr>
        <w:t>1B</w:t>
      </w:r>
      <w:r>
        <w:rPr>
          <w:rFonts w:cs="宋体"/>
          <w:color w:val="auto"/>
          <w:szCs w:val="28"/>
        </w:rPr>
        <w:t>致癌性，类别</w:t>
      </w:r>
      <w:r>
        <w:rPr>
          <w:rFonts w:ascii="Times New Roman" w:hAnsi="Times New Roman" w:cs="宋体"/>
          <w:color w:val="auto"/>
          <w:szCs w:val="28"/>
        </w:rPr>
        <w:t>2</w:t>
      </w:r>
      <w:r>
        <w:rPr>
          <w:rFonts w:cs="宋体"/>
          <w:color w:val="auto"/>
          <w:szCs w:val="28"/>
        </w:rPr>
        <w:t>吸入危害，类别</w:t>
      </w:r>
      <w:r>
        <w:rPr>
          <w:rFonts w:ascii="Times New Roman" w:hAnsi="Times New Roman" w:cs="宋体"/>
          <w:color w:val="auto"/>
          <w:szCs w:val="28"/>
        </w:rPr>
        <w:t>1</w:t>
      </w:r>
      <w:r>
        <w:rPr>
          <w:rFonts w:cs="宋体"/>
          <w:color w:val="auto"/>
          <w:szCs w:val="28"/>
        </w:rPr>
        <w:t>危害水生环境-急性危害，类别</w:t>
      </w:r>
      <w:r>
        <w:rPr>
          <w:rFonts w:ascii="Times New Roman" w:hAnsi="Times New Roman" w:cs="宋体"/>
          <w:color w:val="auto"/>
          <w:szCs w:val="28"/>
        </w:rPr>
        <w:t>2</w:t>
      </w:r>
      <w:r>
        <w:rPr>
          <w:rFonts w:cs="宋体"/>
          <w:color w:val="auto"/>
          <w:szCs w:val="28"/>
        </w:rPr>
        <w:t>危害水生环境-长期危害，类别</w:t>
      </w:r>
      <w:r>
        <w:rPr>
          <w:rFonts w:ascii="Times New Roman" w:hAnsi="Times New Roman" w:cs="宋体"/>
          <w:color w:val="auto"/>
          <w:szCs w:val="28"/>
        </w:rPr>
        <w:t>2</w:t>
      </w:r>
      <w:r>
        <w:rPr>
          <w:rFonts w:cs="宋体"/>
          <w:color w:val="auto"/>
          <w:szCs w:val="28"/>
        </w:rPr>
        <w:t>；</w:t>
      </w:r>
      <w:r>
        <w:rPr>
          <w:rFonts w:hint="eastAsia" w:cs="宋体"/>
          <w:color w:val="auto"/>
          <w:szCs w:val="28"/>
        </w:rPr>
        <w:t>同时</w:t>
      </w:r>
      <w:r>
        <w:rPr>
          <w:rFonts w:cs="宋体"/>
          <w:color w:val="auto"/>
          <w:szCs w:val="28"/>
        </w:rPr>
        <w:t>，汽油属于重点监管的危险化学品</w:t>
      </w:r>
      <w:r>
        <w:rPr>
          <w:rFonts w:hint="eastAsia" w:cs="宋体"/>
          <w:color w:val="auto"/>
          <w:szCs w:val="28"/>
          <w:lang w:eastAsia="zh-CN"/>
        </w:rPr>
        <w:t>、</w:t>
      </w:r>
      <w:r>
        <w:rPr>
          <w:rFonts w:hint="eastAsia" w:cs="宋体"/>
          <w:color w:val="auto"/>
          <w:szCs w:val="28"/>
        </w:rPr>
        <w:t>特别管控危险化学品</w:t>
      </w:r>
      <w:r>
        <w:rPr>
          <w:rFonts w:cs="宋体"/>
          <w:color w:val="auto"/>
          <w:szCs w:val="28"/>
        </w:rPr>
        <w:t>。</w:t>
      </w:r>
    </w:p>
    <w:p w14:paraId="22C62616">
      <w:pPr>
        <w:keepNext w:val="0"/>
        <w:keepLines w:val="0"/>
        <w:pageBreakBefore w:val="0"/>
        <w:kinsoku/>
        <w:wordWrap/>
        <w:overflowPunct/>
        <w:topLinePunct w:val="0"/>
        <w:autoSpaceDE/>
        <w:autoSpaceDN/>
        <w:bidi w:val="0"/>
        <w:adjustRightInd w:val="0"/>
        <w:snapToGrid w:val="0"/>
        <w:spacing w:line="500" w:lineRule="exact"/>
        <w:ind w:firstLine="560"/>
        <w:textAlignment w:val="auto"/>
        <w:rPr>
          <w:rFonts w:cs="宋体"/>
          <w:color w:val="auto"/>
          <w:szCs w:val="28"/>
        </w:rPr>
      </w:pPr>
      <w:r>
        <w:rPr>
          <w:rFonts w:hint="eastAsia" w:cs="宋体"/>
          <w:color w:val="auto"/>
          <w:szCs w:val="28"/>
        </w:rPr>
        <w:t>该加油站</w:t>
      </w:r>
      <w:r>
        <w:rPr>
          <w:rFonts w:hint="eastAsia" w:cs="宋体"/>
          <w:color w:val="auto"/>
          <w:szCs w:val="28"/>
          <w:lang w:val="en-US" w:eastAsia="zh-CN"/>
        </w:rPr>
        <w:t>改建项目目前已经竣工</w:t>
      </w:r>
      <w:r>
        <w:rPr>
          <w:rFonts w:hint="eastAsia" w:cs="宋体"/>
          <w:color w:val="auto"/>
          <w:szCs w:val="28"/>
        </w:rPr>
        <w:t>。</w:t>
      </w:r>
      <w:r>
        <w:rPr>
          <w:rFonts w:cs="宋体"/>
          <w:color w:val="auto"/>
          <w:szCs w:val="28"/>
        </w:rPr>
        <w:t>根据《中华人民共和国安全生产法》</w:t>
      </w:r>
      <w:r>
        <w:rPr>
          <w:rFonts w:hint="eastAsia" w:cs="宋体"/>
          <w:color w:val="auto"/>
          <w:szCs w:val="28"/>
        </w:rPr>
        <w:t>、</w:t>
      </w:r>
      <w:r>
        <w:rPr>
          <w:rFonts w:cs="宋体"/>
          <w:color w:val="auto"/>
          <w:szCs w:val="28"/>
        </w:rPr>
        <w:t>《危险化学品安全管理条例》、《危险化学品建设项目安全监督管理办法》、</w:t>
      </w:r>
      <w:r>
        <w:rPr>
          <w:rFonts w:hint="eastAsia" w:cs="宋体"/>
          <w:color w:val="auto"/>
          <w:szCs w:val="28"/>
        </w:rPr>
        <w:t>《危险化学品经营许可证管理办法》、</w:t>
      </w:r>
      <w:r>
        <w:rPr>
          <w:rFonts w:cs="宋体"/>
          <w:color w:val="auto"/>
          <w:szCs w:val="28"/>
        </w:rPr>
        <w:t>《</w:t>
      </w:r>
      <w:r>
        <w:rPr>
          <w:rFonts w:hint="eastAsia" w:cs="宋体"/>
          <w:color w:val="auto"/>
          <w:szCs w:val="28"/>
        </w:rPr>
        <w:t>江西省危险化学品建设项目安全监督管理实施细则</w:t>
      </w:r>
      <w:r>
        <w:rPr>
          <w:rFonts w:cs="宋体"/>
          <w:color w:val="auto"/>
          <w:szCs w:val="28"/>
        </w:rPr>
        <w:t>》</w:t>
      </w:r>
      <w:r>
        <w:rPr>
          <w:rFonts w:hint="eastAsia" w:cs="宋体"/>
          <w:color w:val="auto"/>
          <w:szCs w:val="28"/>
        </w:rPr>
        <w:t>（试行）等</w:t>
      </w:r>
      <w:r>
        <w:rPr>
          <w:rFonts w:cs="宋体"/>
          <w:color w:val="auto"/>
          <w:szCs w:val="28"/>
        </w:rPr>
        <w:t>要求</w:t>
      </w:r>
      <w:r>
        <w:rPr>
          <w:rFonts w:hint="eastAsia" w:cs="宋体"/>
          <w:color w:val="auto"/>
          <w:szCs w:val="28"/>
        </w:rPr>
        <w:t>，新、改、扩建项目必须进行建设项目安全验收评价，以确保工程项目的安全设施满足安全生产条件，工程项目在安全生产、安全管理方面符合国家及行业有关法律法规及标准。</w:t>
      </w:r>
    </w:p>
    <w:p w14:paraId="12E55469">
      <w:pPr>
        <w:keepNext w:val="0"/>
        <w:keepLines w:val="0"/>
        <w:pageBreakBefore w:val="0"/>
        <w:kinsoku/>
        <w:wordWrap/>
        <w:overflowPunct/>
        <w:topLinePunct w:val="0"/>
        <w:autoSpaceDE/>
        <w:autoSpaceDN/>
        <w:bidi w:val="0"/>
        <w:adjustRightInd w:val="0"/>
        <w:snapToGrid w:val="0"/>
        <w:spacing w:line="500" w:lineRule="exact"/>
        <w:ind w:firstLine="560"/>
        <w:textAlignment w:val="auto"/>
        <w:rPr>
          <w:rFonts w:hint="eastAsia" w:cs="宋体"/>
          <w:color w:val="auto"/>
          <w:szCs w:val="28"/>
          <w:lang w:eastAsia="zh-CN"/>
        </w:rPr>
      </w:pPr>
      <w:r>
        <w:rPr>
          <w:rFonts w:hint="eastAsia" w:cs="宋体"/>
          <w:color w:val="auto"/>
          <w:szCs w:val="28"/>
          <w:lang w:val="en-US" w:eastAsia="zh-CN"/>
        </w:rPr>
        <w:t>受中国石化销售股份有限公司江西宜春石油分公司</w:t>
      </w:r>
      <w:r>
        <w:rPr>
          <w:rFonts w:hint="eastAsia" w:cs="宋体"/>
          <w:color w:val="auto"/>
          <w:szCs w:val="28"/>
          <w:lang w:eastAsia="zh-CN"/>
        </w:rPr>
        <w:t>的</w:t>
      </w:r>
      <w:r>
        <w:rPr>
          <w:rFonts w:cs="宋体"/>
          <w:color w:val="auto"/>
          <w:szCs w:val="28"/>
        </w:rPr>
        <w:t>委托</w:t>
      </w:r>
      <w:r>
        <w:rPr>
          <w:rFonts w:hint="eastAsia" w:cs="宋体"/>
          <w:color w:val="auto"/>
          <w:szCs w:val="28"/>
          <w:lang w:eastAsia="zh-CN"/>
        </w:rPr>
        <w:t>，我</w:t>
      </w:r>
      <w:r>
        <w:rPr>
          <w:rFonts w:hint="eastAsia" w:cs="宋体"/>
          <w:color w:val="auto"/>
          <w:szCs w:val="28"/>
          <w:lang w:val="en-US" w:eastAsia="zh-CN"/>
        </w:rPr>
        <w:t>中心</w:t>
      </w:r>
      <w:r>
        <w:rPr>
          <w:rFonts w:cs="宋体"/>
          <w:color w:val="auto"/>
          <w:szCs w:val="28"/>
        </w:rPr>
        <w:t>承担</w:t>
      </w:r>
      <w:r>
        <w:rPr>
          <w:rFonts w:hint="eastAsia" w:cs="宋体"/>
          <w:color w:val="auto"/>
          <w:szCs w:val="28"/>
          <w:lang w:val="en-US" w:eastAsia="zh-CN"/>
        </w:rPr>
        <w:t>其铜鼓县城加油站单罐单线改造项目</w:t>
      </w:r>
      <w:r>
        <w:rPr>
          <w:rFonts w:cs="宋体"/>
          <w:color w:val="auto"/>
          <w:szCs w:val="28"/>
        </w:rPr>
        <w:t>的安全验收评价工作</w:t>
      </w:r>
      <w:r>
        <w:rPr>
          <w:rFonts w:hint="eastAsia" w:cs="宋体"/>
          <w:color w:val="auto"/>
          <w:szCs w:val="28"/>
          <w:lang w:eastAsia="zh-CN"/>
        </w:rPr>
        <w:t>，</w:t>
      </w:r>
      <w:r>
        <w:rPr>
          <w:rFonts w:hint="eastAsia" w:cs="宋体"/>
          <w:color w:val="auto"/>
          <w:szCs w:val="28"/>
          <w:lang w:val="en-US" w:eastAsia="zh-CN"/>
        </w:rPr>
        <w:t>并</w:t>
      </w:r>
      <w:r>
        <w:rPr>
          <w:rFonts w:hint="eastAsia" w:cs="宋体"/>
          <w:color w:val="auto"/>
          <w:szCs w:val="28"/>
          <w:lang w:eastAsia="zh-CN"/>
        </w:rPr>
        <w:t>组成了安全评价组。我</w:t>
      </w:r>
      <w:r>
        <w:rPr>
          <w:rFonts w:hint="eastAsia" w:cs="宋体"/>
          <w:color w:val="auto"/>
          <w:szCs w:val="28"/>
          <w:lang w:val="en-US" w:eastAsia="zh-CN"/>
        </w:rPr>
        <w:t>中心安全</w:t>
      </w:r>
      <w:r>
        <w:rPr>
          <w:rFonts w:hint="eastAsia" w:cs="宋体"/>
          <w:color w:val="auto"/>
          <w:szCs w:val="28"/>
          <w:lang w:eastAsia="zh-CN"/>
        </w:rPr>
        <w:t>评价组对本项目进行了现场勘察、资料的查阅，经过与建设单位一起收集资料，并对部分安全技术问题及资料问题进行探讨，对本项目可能存在的危险、有害因素进行辨识，分析导致事故的原因及后果，运用定性、定量的安全评价方法进行针对性评价。同时，提出相应的安全对策措施及建议，得出评价结论，编制完成了本评价报告。本报告主要依照，国家安全监管总局关于印发《危险化学品建设项目安全评价细则（试行）》的通知（安监总危化</w:t>
      </w:r>
      <w:r>
        <w:rPr>
          <w:rFonts w:hint="eastAsia" w:cs="宋体"/>
          <w:color w:val="auto"/>
          <w:szCs w:val="28"/>
          <w:lang w:val="en-US" w:eastAsia="zh-CN"/>
        </w:rPr>
        <w:t>〔</w:t>
      </w:r>
      <w:r>
        <w:rPr>
          <w:rFonts w:hint="eastAsia" w:ascii="Times New Roman" w:hAnsi="Times New Roman" w:cs="宋体"/>
          <w:color w:val="auto"/>
          <w:szCs w:val="28"/>
          <w:lang w:val="en-US" w:eastAsia="zh-CN"/>
        </w:rPr>
        <w:t>2007</w:t>
      </w:r>
      <w:r>
        <w:rPr>
          <w:rFonts w:hint="eastAsia" w:cs="宋体"/>
          <w:color w:val="auto"/>
          <w:szCs w:val="28"/>
          <w:lang w:val="en-US" w:eastAsia="zh-CN"/>
        </w:rPr>
        <w:t>〕</w:t>
      </w:r>
      <w:r>
        <w:rPr>
          <w:rFonts w:hint="eastAsia" w:ascii="Times New Roman" w:hAnsi="Times New Roman" w:cs="宋体"/>
          <w:color w:val="auto"/>
          <w:szCs w:val="28"/>
          <w:lang w:eastAsia="zh-CN"/>
        </w:rPr>
        <w:t>255</w:t>
      </w:r>
      <w:r>
        <w:rPr>
          <w:rFonts w:hint="eastAsia" w:cs="宋体"/>
          <w:color w:val="auto"/>
          <w:szCs w:val="28"/>
          <w:lang w:eastAsia="zh-CN"/>
        </w:rPr>
        <w:t>号）及《安全验收评价导则》（</w:t>
      </w:r>
      <w:r>
        <w:rPr>
          <w:rFonts w:hint="eastAsia" w:ascii="Times New Roman" w:hAnsi="Times New Roman" w:cs="宋体"/>
          <w:color w:val="auto"/>
          <w:szCs w:val="28"/>
          <w:lang w:eastAsia="zh-CN"/>
        </w:rPr>
        <w:t>AQ8003</w:t>
      </w:r>
      <w:r>
        <w:rPr>
          <w:rFonts w:hint="eastAsia" w:cs="宋体"/>
          <w:color w:val="auto"/>
          <w:szCs w:val="28"/>
          <w:lang w:eastAsia="zh-CN"/>
        </w:rPr>
        <w:t>-</w:t>
      </w:r>
      <w:r>
        <w:rPr>
          <w:rFonts w:hint="eastAsia" w:ascii="Times New Roman" w:hAnsi="Times New Roman" w:cs="宋体"/>
          <w:color w:val="auto"/>
          <w:szCs w:val="28"/>
          <w:lang w:eastAsia="zh-CN"/>
        </w:rPr>
        <w:t>2007</w:t>
      </w:r>
      <w:r>
        <w:rPr>
          <w:rFonts w:hint="eastAsia" w:cs="宋体"/>
          <w:color w:val="auto"/>
          <w:szCs w:val="28"/>
          <w:lang w:eastAsia="zh-CN"/>
        </w:rPr>
        <w:t>）的有关要求进行编写。该加油站对本报告所提供的资料附件的真实性负责。</w:t>
      </w:r>
    </w:p>
    <w:p w14:paraId="32AE6085">
      <w:pPr>
        <w:keepNext w:val="0"/>
        <w:keepLines w:val="0"/>
        <w:pageBreakBefore w:val="0"/>
        <w:kinsoku/>
        <w:wordWrap/>
        <w:overflowPunct/>
        <w:topLinePunct w:val="0"/>
        <w:autoSpaceDE/>
        <w:autoSpaceDN/>
        <w:bidi w:val="0"/>
        <w:adjustRightInd w:val="0"/>
        <w:snapToGrid w:val="0"/>
        <w:spacing w:line="500" w:lineRule="exact"/>
        <w:ind w:firstLine="560"/>
        <w:textAlignment w:val="auto"/>
        <w:rPr>
          <w:color w:val="auto"/>
          <w:szCs w:val="28"/>
        </w:rPr>
      </w:pPr>
      <w:r>
        <w:rPr>
          <w:rFonts w:hint="eastAsia"/>
          <w:color w:val="auto"/>
          <w:szCs w:val="28"/>
        </w:rPr>
        <w:t>本次安全验收评价的范围为该加油站建设项目内容中的危险化学品成品油经营、储存场所以及经营储存过程中涉及安全的各个方面，但不包括运输环节</w:t>
      </w:r>
      <w:r>
        <w:rPr>
          <w:rFonts w:hint="eastAsia"/>
          <w:color w:val="auto"/>
          <w:szCs w:val="28"/>
          <w:lang w:eastAsia="zh-CN"/>
        </w:rPr>
        <w:t>、</w:t>
      </w:r>
      <w:r>
        <w:rPr>
          <w:rFonts w:hint="eastAsia"/>
          <w:color w:val="auto"/>
          <w:szCs w:val="28"/>
        </w:rPr>
        <w:t>环境评价</w:t>
      </w:r>
      <w:r>
        <w:rPr>
          <w:rFonts w:hint="eastAsia"/>
          <w:color w:val="auto"/>
          <w:szCs w:val="28"/>
          <w:lang w:val="en-US" w:eastAsia="zh-CN"/>
        </w:rPr>
        <w:t>以及站内光伏发电</w:t>
      </w:r>
      <w:r>
        <w:rPr>
          <w:rFonts w:hint="eastAsia"/>
          <w:color w:val="auto"/>
          <w:szCs w:val="28"/>
        </w:rPr>
        <w:t>。</w:t>
      </w:r>
    </w:p>
    <w:p w14:paraId="6A49A422">
      <w:pPr>
        <w:keepNext w:val="0"/>
        <w:keepLines w:val="0"/>
        <w:pageBreakBefore w:val="0"/>
        <w:kinsoku/>
        <w:wordWrap/>
        <w:overflowPunct/>
        <w:topLinePunct w:val="0"/>
        <w:autoSpaceDE/>
        <w:autoSpaceDN/>
        <w:bidi w:val="0"/>
        <w:adjustRightInd w:val="0"/>
        <w:snapToGrid w:val="0"/>
        <w:spacing w:line="500" w:lineRule="exact"/>
        <w:ind w:firstLine="560"/>
        <w:textAlignment w:val="auto"/>
        <w:rPr>
          <w:rFonts w:hint="eastAsia"/>
          <w:color w:val="auto"/>
          <w:szCs w:val="28"/>
        </w:rPr>
      </w:pPr>
      <w:r>
        <w:rPr>
          <w:rFonts w:hint="eastAsia"/>
          <w:color w:val="auto"/>
          <w:szCs w:val="28"/>
        </w:rPr>
        <w:t>在这次安全评价工作中，评价小组得到该加油站的领导和技术人员的积极配合和支持，同时也得到了有关专家的大力支持和帮助，在此表示衷心的感谢。</w:t>
      </w:r>
    </w:p>
    <w:p w14:paraId="69D9CAE2">
      <w:pPr>
        <w:pStyle w:val="60"/>
        <w:keepNext w:val="0"/>
        <w:keepLines w:val="0"/>
        <w:pageBreakBefore w:val="0"/>
        <w:kinsoku/>
        <w:wordWrap/>
        <w:overflowPunct/>
        <w:topLinePunct w:val="0"/>
        <w:autoSpaceDE/>
        <w:autoSpaceDN/>
        <w:bidi w:val="0"/>
        <w:spacing w:line="520" w:lineRule="exact"/>
        <w:textAlignment w:val="auto"/>
        <w:rPr>
          <w:rFonts w:hint="eastAsia"/>
          <w:color w:val="auto"/>
          <w:szCs w:val="28"/>
        </w:rPr>
        <w:sectPr>
          <w:headerReference r:id="rId9" w:type="default"/>
          <w:footerReference r:id="rId10" w:type="default"/>
          <w:pgSz w:w="11905" w:h="16838"/>
          <w:pgMar w:top="1417" w:right="1134" w:bottom="1236" w:left="1588" w:header="896" w:footer="986" w:gutter="0"/>
          <w:pgBorders>
            <w:top w:val="none" w:sz="0" w:space="0"/>
            <w:left w:val="none" w:sz="0" w:space="0"/>
            <w:bottom w:val="none" w:sz="0" w:space="0"/>
            <w:right w:val="none" w:sz="0" w:space="0"/>
          </w:pgBorders>
          <w:pgNumType w:fmt="upperRoman"/>
          <w:cols w:space="0" w:num="1"/>
          <w:rtlGutter w:val="0"/>
          <w:docGrid w:linePitch="381" w:charSpace="0"/>
        </w:sectPr>
      </w:pPr>
    </w:p>
    <w:p w14:paraId="1F6C3965">
      <w:pPr>
        <w:pStyle w:val="40"/>
        <w:keepNext w:val="0"/>
        <w:keepLines w:val="0"/>
        <w:pageBreakBefore w:val="0"/>
        <w:widowControl/>
        <w:tabs>
          <w:tab w:val="right" w:leader="dot" w:pos="9185"/>
        </w:tabs>
        <w:kinsoku/>
        <w:wordWrap/>
        <w:overflowPunct/>
        <w:topLinePunct w:val="0"/>
        <w:autoSpaceDE/>
        <w:autoSpaceDN/>
        <w:bidi w:val="0"/>
        <w:adjustRightInd w:val="0"/>
        <w:snapToGrid/>
        <w:jc w:val="center"/>
        <w:textAlignment w:val="auto"/>
        <w:rPr>
          <w:rFonts w:hint="eastAsia" w:ascii="黑体" w:hAnsi="黑体" w:eastAsia="黑体" w:cs="黑体"/>
          <w:color w:val="auto"/>
          <w:sz w:val="32"/>
          <w:szCs w:val="32"/>
        </w:rPr>
      </w:pPr>
    </w:p>
    <w:p w14:paraId="714D364B">
      <w:pPr>
        <w:pStyle w:val="40"/>
        <w:keepNext w:val="0"/>
        <w:keepLines w:val="0"/>
        <w:pageBreakBefore w:val="0"/>
        <w:widowControl/>
        <w:tabs>
          <w:tab w:val="right" w:leader="dot" w:pos="9185"/>
        </w:tabs>
        <w:kinsoku/>
        <w:wordWrap/>
        <w:overflowPunct/>
        <w:topLinePunct w:val="0"/>
        <w:autoSpaceDE/>
        <w:autoSpaceDN/>
        <w:bidi w:val="0"/>
        <w:adjustRightInd w:val="0"/>
        <w:snapToGrid/>
        <w:jc w:val="center"/>
        <w:textAlignment w:val="auto"/>
        <w:rPr>
          <w:rFonts w:eastAsia="楷体"/>
          <w:color w:val="auto"/>
          <w:sz w:val="32"/>
          <w:szCs w:val="32"/>
        </w:rPr>
      </w:pPr>
      <w:r>
        <w:rPr>
          <w:rFonts w:hint="eastAsia" w:ascii="黑体" w:hAnsi="黑体" w:eastAsia="黑体" w:cs="黑体"/>
          <w:color w:val="auto"/>
          <w:sz w:val="32"/>
          <w:szCs w:val="32"/>
        </w:rPr>
        <w:t>目  录</w:t>
      </w:r>
    </w:p>
    <w:p w14:paraId="73503F45">
      <w:pPr>
        <w:pStyle w:val="40"/>
        <w:tabs>
          <w:tab w:val="right" w:leader="dot" w:pos="9183"/>
        </w:tabs>
      </w:pPr>
      <w:r>
        <w:rPr>
          <w:rFonts w:hint="eastAsia" w:ascii="宋体" w:hAnsi="宋体" w:eastAsia="宋体" w:cs="宋体"/>
          <w:b w:val="0"/>
          <w:bCs w:val="0"/>
          <w:color w:val="auto"/>
          <w:szCs w:val="24"/>
        </w:rPr>
        <w:fldChar w:fldCharType="begin"/>
      </w:r>
      <w:r>
        <w:rPr>
          <w:rFonts w:hint="eastAsia" w:ascii="宋体" w:hAnsi="宋体" w:eastAsia="宋体" w:cs="宋体"/>
          <w:b w:val="0"/>
          <w:bCs w:val="0"/>
          <w:color w:val="auto"/>
          <w:szCs w:val="24"/>
        </w:rPr>
        <w:instrText xml:space="preserve"> TOC \o "1-2" \h \z \u </w:instrText>
      </w:r>
      <w:r>
        <w:rPr>
          <w:rFonts w:hint="eastAsia" w:ascii="宋体" w:hAnsi="宋体" w:eastAsia="宋体" w:cs="宋体"/>
          <w:b w:val="0"/>
          <w:bCs w:val="0"/>
          <w:color w:val="auto"/>
          <w:szCs w:val="24"/>
        </w:rPr>
        <w:fldChar w:fldCharType="separate"/>
      </w: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_Toc12565 </w:instrText>
      </w:r>
      <w:r>
        <w:rPr>
          <w:rFonts w:hint="eastAsia" w:ascii="宋体" w:hAnsi="宋体" w:eastAsia="宋体" w:cs="宋体"/>
          <w:bCs w:val="0"/>
          <w:szCs w:val="24"/>
        </w:rPr>
        <w:fldChar w:fldCharType="separate"/>
      </w:r>
      <w:r>
        <w:rPr>
          <w:rFonts w:hint="eastAsia"/>
        </w:rPr>
        <w:t>第一章 安全评价概述</w:t>
      </w:r>
      <w:r>
        <w:tab/>
      </w:r>
      <w:r>
        <w:fldChar w:fldCharType="begin"/>
      </w:r>
      <w:r>
        <w:instrText xml:space="preserve"> PAGEREF _Toc12565 \h </w:instrText>
      </w:r>
      <w:r>
        <w:fldChar w:fldCharType="separate"/>
      </w:r>
      <w:r>
        <w:t>1</w:t>
      </w:r>
      <w:r>
        <w:fldChar w:fldCharType="end"/>
      </w:r>
      <w:r>
        <w:rPr>
          <w:rFonts w:hint="eastAsia" w:ascii="宋体" w:hAnsi="宋体" w:eastAsia="宋体" w:cs="宋体"/>
          <w:bCs w:val="0"/>
          <w:color w:val="auto"/>
          <w:szCs w:val="24"/>
        </w:rPr>
        <w:fldChar w:fldCharType="end"/>
      </w:r>
    </w:p>
    <w:p w14:paraId="18BCF7E5">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_Toc12590 </w:instrText>
      </w:r>
      <w:r>
        <w:rPr>
          <w:rFonts w:hint="eastAsia" w:ascii="宋体" w:hAnsi="宋体" w:eastAsia="宋体" w:cs="宋体"/>
          <w:bCs w:val="0"/>
          <w:szCs w:val="24"/>
        </w:rPr>
        <w:fldChar w:fldCharType="separate"/>
      </w:r>
      <w:r>
        <w:rPr>
          <w:rFonts w:hint="eastAsia" w:ascii="Times New Roman" w:hAnsi="Times New Roman"/>
        </w:rPr>
        <w:t>1</w:t>
      </w:r>
      <w:r>
        <w:rPr>
          <w:rFonts w:hint="eastAsia" w:ascii="楷体" w:hAnsi="楷体"/>
        </w:rPr>
        <w:t>.</w:t>
      </w:r>
      <w:r>
        <w:rPr>
          <w:rFonts w:hint="eastAsia" w:ascii="Times New Roman" w:hAnsi="Times New Roman"/>
        </w:rPr>
        <w:t>1</w:t>
      </w:r>
      <w:r>
        <w:rPr>
          <w:rFonts w:hint="eastAsia" w:ascii="楷体" w:hAnsi="楷体"/>
        </w:rPr>
        <w:t>安全评价目的</w:t>
      </w:r>
      <w:r>
        <w:tab/>
      </w:r>
      <w:r>
        <w:fldChar w:fldCharType="begin"/>
      </w:r>
      <w:r>
        <w:instrText xml:space="preserve"> PAGEREF _Toc12590 \h </w:instrText>
      </w:r>
      <w:r>
        <w:fldChar w:fldCharType="separate"/>
      </w:r>
      <w:r>
        <w:t>1</w:t>
      </w:r>
      <w:r>
        <w:fldChar w:fldCharType="end"/>
      </w:r>
      <w:r>
        <w:rPr>
          <w:rFonts w:hint="eastAsia" w:ascii="宋体" w:hAnsi="宋体" w:eastAsia="宋体" w:cs="宋体"/>
          <w:bCs w:val="0"/>
          <w:color w:val="auto"/>
          <w:szCs w:val="24"/>
        </w:rPr>
        <w:fldChar w:fldCharType="end"/>
      </w:r>
    </w:p>
    <w:p w14:paraId="0154BD2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_Toc9852 </w:instrText>
      </w:r>
      <w:r>
        <w:rPr>
          <w:rFonts w:hint="eastAsia" w:ascii="宋体" w:hAnsi="宋体" w:eastAsia="宋体" w:cs="宋体"/>
          <w:bCs w:val="0"/>
          <w:szCs w:val="24"/>
        </w:rPr>
        <w:fldChar w:fldCharType="separate"/>
      </w:r>
      <w:r>
        <w:rPr>
          <w:rFonts w:hint="default" w:ascii="Times New Roman" w:hAnsi="Times New Roman" w:cs="Times New Roman"/>
        </w:rPr>
        <w:t>1.2安全评价对象及范围</w:t>
      </w:r>
      <w:r>
        <w:tab/>
      </w:r>
      <w:r>
        <w:fldChar w:fldCharType="begin"/>
      </w:r>
      <w:r>
        <w:instrText xml:space="preserve"> PAGEREF _Toc9852 \h </w:instrText>
      </w:r>
      <w:r>
        <w:fldChar w:fldCharType="separate"/>
      </w:r>
      <w:r>
        <w:t>2</w:t>
      </w:r>
      <w:r>
        <w:fldChar w:fldCharType="end"/>
      </w:r>
      <w:r>
        <w:rPr>
          <w:rFonts w:hint="eastAsia" w:ascii="宋体" w:hAnsi="宋体" w:eastAsia="宋体" w:cs="宋体"/>
          <w:bCs w:val="0"/>
          <w:color w:val="auto"/>
          <w:szCs w:val="24"/>
        </w:rPr>
        <w:fldChar w:fldCharType="end"/>
      </w:r>
    </w:p>
    <w:p w14:paraId="270B6A7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_Toc17442 </w:instrText>
      </w:r>
      <w:r>
        <w:rPr>
          <w:rFonts w:hint="eastAsia" w:ascii="宋体" w:hAnsi="宋体" w:eastAsia="宋体" w:cs="宋体"/>
          <w:bCs w:val="0"/>
          <w:szCs w:val="24"/>
        </w:rPr>
        <w:fldChar w:fldCharType="separate"/>
      </w:r>
      <w:r>
        <w:rPr>
          <w:rFonts w:hint="default" w:ascii="Times New Roman" w:hAnsi="Times New Roman" w:cs="Times New Roman"/>
          <w:lang w:val="en-US" w:eastAsia="zh-CN"/>
        </w:rPr>
        <w:t>1.</w:t>
      </w:r>
      <w:r>
        <w:rPr>
          <w:rFonts w:hint="default" w:ascii="Times New Roman" w:hAnsi="Times New Roman" w:cs="Times New Roman"/>
        </w:rPr>
        <w:t>3安全评价程序</w:t>
      </w:r>
      <w:r>
        <w:tab/>
      </w:r>
      <w:r>
        <w:fldChar w:fldCharType="begin"/>
      </w:r>
      <w:r>
        <w:instrText xml:space="preserve"> PAGEREF _Toc17442 \h </w:instrText>
      </w:r>
      <w:r>
        <w:fldChar w:fldCharType="separate"/>
      </w:r>
      <w:r>
        <w:t>3</w:t>
      </w:r>
      <w:r>
        <w:fldChar w:fldCharType="end"/>
      </w:r>
      <w:r>
        <w:rPr>
          <w:rFonts w:hint="eastAsia" w:ascii="宋体" w:hAnsi="宋体" w:eastAsia="宋体" w:cs="宋体"/>
          <w:bCs w:val="0"/>
          <w:color w:val="auto"/>
          <w:szCs w:val="24"/>
        </w:rPr>
        <w:fldChar w:fldCharType="end"/>
      </w:r>
    </w:p>
    <w:p w14:paraId="39EAD34E">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_Toc16943 </w:instrText>
      </w:r>
      <w:r>
        <w:rPr>
          <w:rFonts w:hint="eastAsia" w:ascii="宋体" w:hAnsi="宋体" w:eastAsia="宋体" w:cs="宋体"/>
          <w:bCs w:val="0"/>
          <w:szCs w:val="24"/>
        </w:rPr>
        <w:fldChar w:fldCharType="separate"/>
      </w:r>
      <w:r>
        <w:rPr>
          <w:rFonts w:hint="eastAsia"/>
        </w:rPr>
        <w:t>第二章 建设项目概况</w:t>
      </w:r>
      <w:r>
        <w:tab/>
      </w:r>
      <w:r>
        <w:fldChar w:fldCharType="begin"/>
      </w:r>
      <w:r>
        <w:instrText xml:space="preserve"> PAGEREF _Toc16943 \h </w:instrText>
      </w:r>
      <w:r>
        <w:fldChar w:fldCharType="separate"/>
      </w:r>
      <w:r>
        <w:t>5</w:t>
      </w:r>
      <w:r>
        <w:fldChar w:fldCharType="end"/>
      </w:r>
      <w:r>
        <w:rPr>
          <w:rFonts w:hint="eastAsia" w:ascii="宋体" w:hAnsi="宋体" w:eastAsia="宋体" w:cs="宋体"/>
          <w:bCs w:val="0"/>
          <w:color w:val="auto"/>
          <w:szCs w:val="24"/>
        </w:rPr>
        <w:fldChar w:fldCharType="end"/>
      </w:r>
    </w:p>
    <w:p w14:paraId="3DB4394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_Toc5115 </w:instrText>
      </w:r>
      <w:r>
        <w:rPr>
          <w:rFonts w:hint="eastAsia" w:ascii="宋体" w:hAnsi="宋体" w:eastAsia="宋体" w:cs="宋体"/>
          <w:bCs w:val="0"/>
          <w:szCs w:val="24"/>
        </w:rPr>
        <w:fldChar w:fldCharType="separate"/>
      </w:r>
      <w:r>
        <w:rPr>
          <w:rFonts w:hint="eastAsia" w:ascii="Times New Roman" w:hAnsi="Times New Roman"/>
        </w:rPr>
        <w:t>2</w:t>
      </w:r>
      <w:r>
        <w:rPr>
          <w:rFonts w:hint="eastAsia" w:ascii="楷体" w:hAnsi="楷体"/>
        </w:rPr>
        <w:t>.</w:t>
      </w:r>
      <w:r>
        <w:rPr>
          <w:rFonts w:hint="eastAsia" w:ascii="Times New Roman" w:hAnsi="Times New Roman"/>
        </w:rPr>
        <w:t>1</w:t>
      </w:r>
      <w:r>
        <w:rPr>
          <w:rFonts w:hint="eastAsia" w:ascii="楷体" w:hAnsi="楷体"/>
        </w:rPr>
        <w:t>建设单位</w:t>
      </w:r>
      <w:r>
        <w:rPr>
          <w:rFonts w:hint="eastAsia" w:ascii="楷体" w:hAnsi="楷体"/>
          <w:lang w:val="en-US" w:eastAsia="zh-CN"/>
        </w:rPr>
        <w:t>概况</w:t>
      </w:r>
      <w:r>
        <w:tab/>
      </w:r>
      <w:r>
        <w:fldChar w:fldCharType="begin"/>
      </w:r>
      <w:r>
        <w:instrText xml:space="preserve"> PAGEREF _Toc5115 \h </w:instrText>
      </w:r>
      <w:r>
        <w:fldChar w:fldCharType="separate"/>
      </w:r>
      <w:r>
        <w:t>5</w:t>
      </w:r>
      <w:r>
        <w:fldChar w:fldCharType="end"/>
      </w:r>
      <w:r>
        <w:rPr>
          <w:rFonts w:hint="eastAsia" w:ascii="宋体" w:hAnsi="宋体" w:eastAsia="宋体" w:cs="宋体"/>
          <w:bCs w:val="0"/>
          <w:color w:val="auto"/>
          <w:szCs w:val="24"/>
        </w:rPr>
        <w:fldChar w:fldCharType="end"/>
      </w:r>
    </w:p>
    <w:p w14:paraId="00FB4B1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_Toc2033 </w:instrText>
      </w:r>
      <w:r>
        <w:rPr>
          <w:rFonts w:hint="eastAsia" w:ascii="宋体" w:hAnsi="宋体" w:eastAsia="宋体" w:cs="宋体"/>
          <w:bCs w:val="0"/>
          <w:szCs w:val="24"/>
        </w:rPr>
        <w:fldChar w:fldCharType="separate"/>
      </w:r>
      <w:r>
        <w:rPr>
          <w:rFonts w:hint="eastAsia" w:ascii="Times New Roman" w:hAnsi="Times New Roman"/>
        </w:rPr>
        <w:t>2</w:t>
      </w:r>
      <w:r>
        <w:rPr>
          <w:rFonts w:hint="eastAsia" w:ascii="楷体" w:hAnsi="楷体"/>
        </w:rPr>
        <w:t>.</w:t>
      </w:r>
      <w:r>
        <w:rPr>
          <w:rFonts w:hint="eastAsia" w:ascii="Times New Roman" w:hAnsi="Times New Roman"/>
        </w:rPr>
        <w:t>2</w:t>
      </w:r>
      <w:r>
        <w:rPr>
          <w:rFonts w:hint="eastAsia" w:ascii="楷体" w:hAnsi="楷体"/>
        </w:rPr>
        <w:t>建设项目概况</w:t>
      </w:r>
      <w:r>
        <w:tab/>
      </w:r>
      <w:r>
        <w:fldChar w:fldCharType="begin"/>
      </w:r>
      <w:r>
        <w:instrText xml:space="preserve"> PAGEREF _Toc2033 \h </w:instrText>
      </w:r>
      <w:r>
        <w:fldChar w:fldCharType="separate"/>
      </w:r>
      <w:r>
        <w:t>6</w:t>
      </w:r>
      <w:r>
        <w:fldChar w:fldCharType="end"/>
      </w:r>
      <w:r>
        <w:rPr>
          <w:rFonts w:hint="eastAsia" w:ascii="宋体" w:hAnsi="宋体" w:eastAsia="宋体" w:cs="宋体"/>
          <w:bCs w:val="0"/>
          <w:color w:val="auto"/>
          <w:szCs w:val="24"/>
        </w:rPr>
        <w:fldChar w:fldCharType="end"/>
      </w:r>
    </w:p>
    <w:p w14:paraId="360E88D5">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_Toc18542 </w:instrText>
      </w:r>
      <w:r>
        <w:rPr>
          <w:rFonts w:hint="eastAsia" w:ascii="宋体" w:hAnsi="宋体" w:eastAsia="宋体" w:cs="宋体"/>
          <w:bCs w:val="0"/>
          <w:szCs w:val="24"/>
        </w:rPr>
        <w:fldChar w:fldCharType="separate"/>
      </w:r>
      <w:r>
        <w:rPr>
          <w:rFonts w:hint="default" w:ascii="Times New Roman" w:hAnsi="Times New Roman" w:cs="Times New Roman"/>
        </w:rPr>
        <w:t>2.3地理位置和自然条件</w:t>
      </w:r>
      <w:r>
        <w:tab/>
      </w:r>
      <w:r>
        <w:fldChar w:fldCharType="begin"/>
      </w:r>
      <w:r>
        <w:instrText xml:space="preserve"> PAGEREF _Toc18542 \h </w:instrText>
      </w:r>
      <w:r>
        <w:fldChar w:fldCharType="separate"/>
      </w:r>
      <w:r>
        <w:t>7</w:t>
      </w:r>
      <w:r>
        <w:fldChar w:fldCharType="end"/>
      </w:r>
      <w:r>
        <w:rPr>
          <w:rFonts w:hint="eastAsia" w:ascii="宋体" w:hAnsi="宋体" w:eastAsia="宋体" w:cs="宋体"/>
          <w:bCs w:val="0"/>
          <w:color w:val="auto"/>
          <w:szCs w:val="24"/>
        </w:rPr>
        <w:fldChar w:fldCharType="end"/>
      </w:r>
    </w:p>
    <w:p w14:paraId="16677EA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_Toc26766 </w:instrText>
      </w:r>
      <w:r>
        <w:rPr>
          <w:rFonts w:hint="eastAsia" w:ascii="宋体" w:hAnsi="宋体" w:eastAsia="宋体" w:cs="宋体"/>
          <w:bCs w:val="0"/>
          <w:szCs w:val="24"/>
        </w:rPr>
        <w:fldChar w:fldCharType="separate"/>
      </w:r>
      <w:r>
        <w:rPr>
          <w:rFonts w:hint="default" w:ascii="Times New Roman" w:hAnsi="Times New Roman" w:cs="Times New Roman"/>
        </w:rPr>
        <w:t>2.4周边环境及总平面布置</w:t>
      </w:r>
      <w:r>
        <w:tab/>
      </w:r>
      <w:r>
        <w:fldChar w:fldCharType="begin"/>
      </w:r>
      <w:r>
        <w:instrText xml:space="preserve"> PAGEREF _Toc26766 \h </w:instrText>
      </w:r>
      <w:r>
        <w:fldChar w:fldCharType="separate"/>
      </w:r>
      <w:r>
        <w:t>10</w:t>
      </w:r>
      <w:r>
        <w:fldChar w:fldCharType="end"/>
      </w:r>
      <w:r>
        <w:rPr>
          <w:rFonts w:hint="eastAsia" w:ascii="宋体" w:hAnsi="宋体" w:eastAsia="宋体" w:cs="宋体"/>
          <w:bCs w:val="0"/>
          <w:color w:val="auto"/>
          <w:szCs w:val="24"/>
        </w:rPr>
        <w:fldChar w:fldCharType="end"/>
      </w:r>
    </w:p>
    <w:p w14:paraId="0129FBD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_Toc32602 </w:instrText>
      </w:r>
      <w:r>
        <w:rPr>
          <w:rFonts w:hint="eastAsia" w:ascii="宋体" w:hAnsi="宋体" w:eastAsia="宋体" w:cs="宋体"/>
          <w:bCs w:val="0"/>
          <w:szCs w:val="24"/>
        </w:rPr>
        <w:fldChar w:fldCharType="separate"/>
      </w:r>
      <w:r>
        <w:rPr>
          <w:rFonts w:hint="default" w:ascii="Times New Roman" w:hAnsi="Times New Roman" w:cs="Times New Roman"/>
          <w:szCs w:val="28"/>
        </w:rPr>
        <w:t>2.5</w:t>
      </w:r>
      <w:r>
        <w:rPr>
          <w:rFonts w:hint="default" w:ascii="Times New Roman" w:hAnsi="Times New Roman" w:cs="Times New Roman"/>
        </w:rPr>
        <w:t>主要原辅材料</w:t>
      </w:r>
      <w:r>
        <w:tab/>
      </w:r>
      <w:r>
        <w:fldChar w:fldCharType="begin"/>
      </w:r>
      <w:r>
        <w:instrText xml:space="preserve"> PAGEREF _Toc32602 \h </w:instrText>
      </w:r>
      <w:r>
        <w:fldChar w:fldCharType="separate"/>
      </w:r>
      <w:r>
        <w:t>14</w:t>
      </w:r>
      <w:r>
        <w:fldChar w:fldCharType="end"/>
      </w:r>
      <w:r>
        <w:rPr>
          <w:rFonts w:hint="eastAsia" w:ascii="宋体" w:hAnsi="宋体" w:eastAsia="宋体" w:cs="宋体"/>
          <w:bCs w:val="0"/>
          <w:color w:val="auto"/>
          <w:szCs w:val="24"/>
        </w:rPr>
        <w:fldChar w:fldCharType="end"/>
      </w:r>
    </w:p>
    <w:p w14:paraId="71931036">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_Toc16798 </w:instrText>
      </w:r>
      <w:r>
        <w:rPr>
          <w:rFonts w:hint="eastAsia" w:ascii="宋体" w:hAnsi="宋体" w:eastAsia="宋体" w:cs="宋体"/>
          <w:bCs w:val="0"/>
          <w:szCs w:val="24"/>
        </w:rPr>
        <w:fldChar w:fldCharType="separate"/>
      </w:r>
      <w:r>
        <w:rPr>
          <w:rFonts w:hint="default" w:ascii="Times New Roman" w:hAnsi="Times New Roman" w:cs="Times New Roman"/>
          <w:szCs w:val="28"/>
        </w:rPr>
        <w:t>2.6工艺流程</w:t>
      </w:r>
      <w:r>
        <w:tab/>
      </w:r>
      <w:r>
        <w:fldChar w:fldCharType="begin"/>
      </w:r>
      <w:r>
        <w:instrText xml:space="preserve"> PAGEREF _Toc16798 \h </w:instrText>
      </w:r>
      <w:r>
        <w:fldChar w:fldCharType="separate"/>
      </w:r>
      <w:r>
        <w:t>14</w:t>
      </w:r>
      <w:r>
        <w:fldChar w:fldCharType="end"/>
      </w:r>
      <w:r>
        <w:rPr>
          <w:rFonts w:hint="eastAsia" w:ascii="宋体" w:hAnsi="宋体" w:eastAsia="宋体" w:cs="宋体"/>
          <w:bCs w:val="0"/>
          <w:color w:val="auto"/>
          <w:szCs w:val="24"/>
        </w:rPr>
        <w:fldChar w:fldCharType="end"/>
      </w:r>
    </w:p>
    <w:p w14:paraId="635778C0">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_Toc25161 </w:instrText>
      </w:r>
      <w:r>
        <w:rPr>
          <w:rFonts w:hint="eastAsia" w:ascii="宋体" w:hAnsi="宋体" w:eastAsia="宋体" w:cs="宋体"/>
          <w:bCs w:val="0"/>
          <w:szCs w:val="24"/>
        </w:rPr>
        <w:fldChar w:fldCharType="separate"/>
      </w:r>
      <w:r>
        <w:rPr>
          <w:rFonts w:hint="default" w:ascii="Times New Roman" w:hAnsi="Times New Roman" w:cs="Times New Roman"/>
        </w:rPr>
        <w:t>2.7主要设备</w:t>
      </w:r>
      <w:r>
        <w:tab/>
      </w:r>
      <w:r>
        <w:fldChar w:fldCharType="begin"/>
      </w:r>
      <w:r>
        <w:instrText xml:space="preserve"> PAGEREF _Toc25161 \h </w:instrText>
      </w:r>
      <w:r>
        <w:fldChar w:fldCharType="separate"/>
      </w:r>
      <w:r>
        <w:t>16</w:t>
      </w:r>
      <w:r>
        <w:fldChar w:fldCharType="end"/>
      </w:r>
      <w:r>
        <w:rPr>
          <w:rFonts w:hint="eastAsia" w:ascii="宋体" w:hAnsi="宋体" w:eastAsia="宋体" w:cs="宋体"/>
          <w:bCs w:val="0"/>
          <w:color w:val="auto"/>
          <w:szCs w:val="24"/>
        </w:rPr>
        <w:fldChar w:fldCharType="end"/>
      </w:r>
    </w:p>
    <w:p w14:paraId="666D89AA">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_Toc6033 </w:instrText>
      </w:r>
      <w:r>
        <w:rPr>
          <w:rFonts w:hint="eastAsia" w:ascii="宋体" w:hAnsi="宋体" w:eastAsia="宋体" w:cs="宋体"/>
          <w:bCs w:val="0"/>
          <w:szCs w:val="24"/>
        </w:rPr>
        <w:fldChar w:fldCharType="separate"/>
      </w:r>
      <w:r>
        <w:rPr>
          <w:rFonts w:hint="default" w:ascii="Times New Roman" w:hAnsi="Times New Roman" w:cs="Times New Roman"/>
        </w:rPr>
        <w:t>2.8公用工程及辅助设施</w:t>
      </w:r>
      <w:r>
        <w:tab/>
      </w:r>
      <w:r>
        <w:fldChar w:fldCharType="begin"/>
      </w:r>
      <w:r>
        <w:instrText xml:space="preserve"> PAGEREF _Toc6033 \h </w:instrText>
      </w:r>
      <w:r>
        <w:fldChar w:fldCharType="separate"/>
      </w:r>
      <w:r>
        <w:t>17</w:t>
      </w:r>
      <w:r>
        <w:fldChar w:fldCharType="end"/>
      </w:r>
      <w:r>
        <w:rPr>
          <w:rFonts w:hint="eastAsia" w:ascii="宋体" w:hAnsi="宋体" w:eastAsia="宋体" w:cs="宋体"/>
          <w:bCs w:val="0"/>
          <w:color w:val="auto"/>
          <w:szCs w:val="24"/>
        </w:rPr>
        <w:fldChar w:fldCharType="end"/>
      </w:r>
    </w:p>
    <w:p w14:paraId="0FF17090">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_Toc15626 </w:instrText>
      </w:r>
      <w:r>
        <w:rPr>
          <w:rFonts w:hint="eastAsia" w:ascii="宋体" w:hAnsi="宋体" w:eastAsia="宋体" w:cs="宋体"/>
          <w:bCs w:val="0"/>
          <w:szCs w:val="24"/>
        </w:rPr>
        <w:fldChar w:fldCharType="separate"/>
      </w:r>
      <w:r>
        <w:rPr>
          <w:rFonts w:hint="default" w:ascii="Times New Roman" w:hAnsi="Times New Roman" w:cs="Times New Roman"/>
        </w:rPr>
        <w:t>2.9安全管理情况</w:t>
      </w:r>
      <w:r>
        <w:tab/>
      </w:r>
      <w:r>
        <w:fldChar w:fldCharType="begin"/>
      </w:r>
      <w:r>
        <w:instrText xml:space="preserve"> PAGEREF _Toc15626 \h </w:instrText>
      </w:r>
      <w:r>
        <w:fldChar w:fldCharType="separate"/>
      </w:r>
      <w:r>
        <w:t>20</w:t>
      </w:r>
      <w:r>
        <w:fldChar w:fldCharType="end"/>
      </w:r>
      <w:r>
        <w:rPr>
          <w:rFonts w:hint="eastAsia" w:ascii="宋体" w:hAnsi="宋体" w:eastAsia="宋体" w:cs="宋体"/>
          <w:bCs w:val="0"/>
          <w:color w:val="auto"/>
          <w:szCs w:val="24"/>
        </w:rPr>
        <w:fldChar w:fldCharType="end"/>
      </w:r>
    </w:p>
    <w:p w14:paraId="60E15D29">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_Toc5874 </w:instrText>
      </w:r>
      <w:r>
        <w:rPr>
          <w:rFonts w:hint="eastAsia" w:ascii="宋体" w:hAnsi="宋体" w:eastAsia="宋体" w:cs="宋体"/>
          <w:bCs w:val="0"/>
          <w:szCs w:val="24"/>
        </w:rPr>
        <w:fldChar w:fldCharType="separate"/>
      </w:r>
      <w:r>
        <w:rPr>
          <w:rFonts w:hint="eastAsia"/>
        </w:rPr>
        <w:t>第三章 危险、有害因素的辨识结果及依据说明</w:t>
      </w:r>
      <w:r>
        <w:tab/>
      </w:r>
      <w:r>
        <w:fldChar w:fldCharType="begin"/>
      </w:r>
      <w:r>
        <w:instrText xml:space="preserve"> PAGEREF _Toc5874 \h </w:instrText>
      </w:r>
      <w:r>
        <w:fldChar w:fldCharType="separate"/>
      </w:r>
      <w:r>
        <w:t>22</w:t>
      </w:r>
      <w:r>
        <w:fldChar w:fldCharType="end"/>
      </w:r>
      <w:r>
        <w:rPr>
          <w:rFonts w:hint="eastAsia" w:ascii="宋体" w:hAnsi="宋体" w:eastAsia="宋体" w:cs="宋体"/>
          <w:bCs w:val="0"/>
          <w:color w:val="auto"/>
          <w:szCs w:val="24"/>
        </w:rPr>
        <w:fldChar w:fldCharType="end"/>
      </w:r>
    </w:p>
    <w:p w14:paraId="447C46D1">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_Toc14865 </w:instrText>
      </w:r>
      <w:r>
        <w:rPr>
          <w:rFonts w:hint="eastAsia" w:ascii="宋体" w:hAnsi="宋体" w:eastAsia="宋体" w:cs="宋体"/>
          <w:bCs w:val="0"/>
          <w:szCs w:val="24"/>
        </w:rPr>
        <w:fldChar w:fldCharType="separate"/>
      </w:r>
      <w:r>
        <w:rPr>
          <w:rFonts w:hint="default" w:ascii="Times New Roman" w:hAnsi="Times New Roman" w:eastAsia="楷体" w:cs="Times New Roman"/>
        </w:rPr>
        <w:t>3.1物料危险有害因素辨识与分析结果及依据</w:t>
      </w:r>
      <w:r>
        <w:tab/>
      </w:r>
      <w:r>
        <w:fldChar w:fldCharType="begin"/>
      </w:r>
      <w:r>
        <w:instrText xml:space="preserve"> PAGEREF _Toc14865 \h </w:instrText>
      </w:r>
      <w:r>
        <w:fldChar w:fldCharType="separate"/>
      </w:r>
      <w:r>
        <w:t>22</w:t>
      </w:r>
      <w:r>
        <w:fldChar w:fldCharType="end"/>
      </w:r>
      <w:r>
        <w:rPr>
          <w:rFonts w:hint="eastAsia" w:ascii="宋体" w:hAnsi="宋体" w:eastAsia="宋体" w:cs="宋体"/>
          <w:bCs w:val="0"/>
          <w:color w:val="auto"/>
          <w:szCs w:val="24"/>
        </w:rPr>
        <w:fldChar w:fldCharType="end"/>
      </w:r>
    </w:p>
    <w:p w14:paraId="4B32108F">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_Toc16415 </w:instrText>
      </w:r>
      <w:r>
        <w:rPr>
          <w:rFonts w:hint="eastAsia" w:ascii="宋体" w:hAnsi="宋体" w:eastAsia="宋体" w:cs="宋体"/>
          <w:bCs w:val="0"/>
          <w:szCs w:val="24"/>
        </w:rPr>
        <w:fldChar w:fldCharType="separate"/>
      </w:r>
      <w:r>
        <w:rPr>
          <w:rFonts w:hint="default" w:ascii="Times New Roman" w:hAnsi="Times New Roman" w:cs="Times New Roman"/>
        </w:rPr>
        <w:t>3.2</w:t>
      </w:r>
      <w:r>
        <w:rPr>
          <w:rFonts w:hint="default" w:ascii="Times New Roman" w:hAnsi="Times New Roman" w:cs="Times New Roman"/>
          <w:lang w:val="en-US" w:eastAsia="zh-CN"/>
        </w:rPr>
        <w:t>生产</w:t>
      </w:r>
      <w:r>
        <w:rPr>
          <w:rFonts w:hint="default" w:ascii="Times New Roman" w:hAnsi="Times New Roman" w:cs="Times New Roman"/>
        </w:rPr>
        <w:t>经营储存过程危险有害因素分析结果及依据</w:t>
      </w:r>
      <w:r>
        <w:tab/>
      </w:r>
      <w:r>
        <w:fldChar w:fldCharType="begin"/>
      </w:r>
      <w:r>
        <w:instrText xml:space="preserve"> PAGEREF _Toc16415 \h </w:instrText>
      </w:r>
      <w:r>
        <w:fldChar w:fldCharType="separate"/>
      </w:r>
      <w:r>
        <w:t>24</w:t>
      </w:r>
      <w:r>
        <w:fldChar w:fldCharType="end"/>
      </w:r>
      <w:r>
        <w:rPr>
          <w:rFonts w:hint="eastAsia" w:ascii="宋体" w:hAnsi="宋体" w:eastAsia="宋体" w:cs="宋体"/>
          <w:bCs w:val="0"/>
          <w:color w:val="auto"/>
          <w:szCs w:val="24"/>
        </w:rPr>
        <w:fldChar w:fldCharType="end"/>
      </w:r>
    </w:p>
    <w:p w14:paraId="502294B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_Toc6634 </w:instrText>
      </w:r>
      <w:r>
        <w:rPr>
          <w:rFonts w:hint="eastAsia" w:ascii="宋体" w:hAnsi="宋体" w:eastAsia="宋体" w:cs="宋体"/>
          <w:bCs w:val="0"/>
          <w:szCs w:val="24"/>
        </w:rPr>
        <w:fldChar w:fldCharType="separate"/>
      </w:r>
      <w:r>
        <w:rPr>
          <w:rFonts w:hint="default" w:ascii="Times New Roman" w:hAnsi="Times New Roman" w:cs="Times New Roman"/>
        </w:rPr>
        <w:t>3.3重点监管的危险化工工艺辨识</w:t>
      </w:r>
      <w:r>
        <w:tab/>
      </w:r>
      <w:r>
        <w:fldChar w:fldCharType="begin"/>
      </w:r>
      <w:r>
        <w:instrText xml:space="preserve"> PAGEREF _Toc6634 \h </w:instrText>
      </w:r>
      <w:r>
        <w:fldChar w:fldCharType="separate"/>
      </w:r>
      <w:r>
        <w:t>25</w:t>
      </w:r>
      <w:r>
        <w:fldChar w:fldCharType="end"/>
      </w:r>
      <w:r>
        <w:rPr>
          <w:rFonts w:hint="eastAsia" w:ascii="宋体" w:hAnsi="宋体" w:eastAsia="宋体" w:cs="宋体"/>
          <w:bCs w:val="0"/>
          <w:color w:val="auto"/>
          <w:szCs w:val="24"/>
        </w:rPr>
        <w:fldChar w:fldCharType="end"/>
      </w:r>
    </w:p>
    <w:p w14:paraId="1E075EEE">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_Toc23062 </w:instrText>
      </w:r>
      <w:r>
        <w:rPr>
          <w:rFonts w:hint="eastAsia" w:ascii="宋体" w:hAnsi="宋体" w:eastAsia="宋体" w:cs="宋体"/>
          <w:bCs w:val="0"/>
          <w:szCs w:val="24"/>
        </w:rPr>
        <w:fldChar w:fldCharType="separate"/>
      </w:r>
      <w:r>
        <w:rPr>
          <w:rFonts w:hint="default" w:ascii="Times New Roman" w:hAnsi="Times New Roman" w:cs="Times New Roman"/>
        </w:rPr>
        <w:t>3.4重大危险源辨识结果及依据</w:t>
      </w:r>
      <w:r>
        <w:tab/>
      </w:r>
      <w:r>
        <w:fldChar w:fldCharType="begin"/>
      </w:r>
      <w:r>
        <w:instrText xml:space="preserve"> PAGEREF _Toc23062 \h </w:instrText>
      </w:r>
      <w:r>
        <w:fldChar w:fldCharType="separate"/>
      </w:r>
      <w:r>
        <w:t>25</w:t>
      </w:r>
      <w:r>
        <w:fldChar w:fldCharType="end"/>
      </w:r>
      <w:r>
        <w:rPr>
          <w:rFonts w:hint="eastAsia" w:ascii="宋体" w:hAnsi="宋体" w:eastAsia="宋体" w:cs="宋体"/>
          <w:bCs w:val="0"/>
          <w:color w:val="auto"/>
          <w:szCs w:val="24"/>
        </w:rPr>
        <w:fldChar w:fldCharType="end"/>
      </w:r>
    </w:p>
    <w:p w14:paraId="606E5D28">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_Toc15510 </w:instrText>
      </w:r>
      <w:r>
        <w:rPr>
          <w:rFonts w:hint="eastAsia" w:ascii="宋体" w:hAnsi="宋体" w:eastAsia="宋体" w:cs="宋体"/>
          <w:bCs w:val="0"/>
          <w:szCs w:val="24"/>
        </w:rPr>
        <w:fldChar w:fldCharType="separate"/>
      </w:r>
      <w:r>
        <w:rPr>
          <w:rFonts w:hint="default" w:ascii="Times New Roman" w:hAnsi="Times New Roman" w:cs="Times New Roman"/>
        </w:rPr>
        <w:t>3.5爆炸危险</w:t>
      </w:r>
      <w:r>
        <w:rPr>
          <w:rFonts w:hint="default" w:ascii="Times New Roman" w:hAnsi="Times New Roman" w:cs="Times New Roman"/>
          <w:lang w:eastAsia="zh-CN"/>
        </w:rPr>
        <w:t>环境评定</w:t>
      </w:r>
      <w:r>
        <w:rPr>
          <w:rFonts w:hint="default" w:ascii="Times New Roman" w:hAnsi="Times New Roman" w:cs="Times New Roman"/>
        </w:rPr>
        <w:t>结果</w:t>
      </w:r>
      <w:r>
        <w:tab/>
      </w:r>
      <w:r>
        <w:fldChar w:fldCharType="begin"/>
      </w:r>
      <w:r>
        <w:instrText xml:space="preserve"> PAGEREF _Toc15510 \h </w:instrText>
      </w:r>
      <w:r>
        <w:fldChar w:fldCharType="separate"/>
      </w:r>
      <w:r>
        <w:t>25</w:t>
      </w:r>
      <w:r>
        <w:fldChar w:fldCharType="end"/>
      </w:r>
      <w:r>
        <w:rPr>
          <w:rFonts w:hint="eastAsia" w:ascii="宋体" w:hAnsi="宋体" w:eastAsia="宋体" w:cs="宋体"/>
          <w:bCs w:val="0"/>
          <w:color w:val="auto"/>
          <w:szCs w:val="24"/>
        </w:rPr>
        <w:fldChar w:fldCharType="end"/>
      </w:r>
    </w:p>
    <w:p w14:paraId="5E50C4B2">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_Toc18687 </w:instrText>
      </w:r>
      <w:r>
        <w:rPr>
          <w:rFonts w:hint="eastAsia" w:ascii="宋体" w:hAnsi="宋体" w:eastAsia="宋体" w:cs="宋体"/>
          <w:bCs w:val="0"/>
          <w:szCs w:val="24"/>
        </w:rPr>
        <w:fldChar w:fldCharType="separate"/>
      </w:r>
      <w:r>
        <w:rPr>
          <w:rFonts w:hint="eastAsia"/>
        </w:rPr>
        <w:t>第四章 安全评价单元的划分结果</w:t>
      </w:r>
      <w:r>
        <w:tab/>
      </w:r>
      <w:r>
        <w:fldChar w:fldCharType="begin"/>
      </w:r>
      <w:r>
        <w:instrText xml:space="preserve"> PAGEREF _Toc18687 \h </w:instrText>
      </w:r>
      <w:r>
        <w:fldChar w:fldCharType="separate"/>
      </w:r>
      <w:r>
        <w:t>27</w:t>
      </w:r>
      <w:r>
        <w:fldChar w:fldCharType="end"/>
      </w:r>
      <w:r>
        <w:rPr>
          <w:rFonts w:hint="eastAsia" w:ascii="宋体" w:hAnsi="宋体" w:eastAsia="宋体" w:cs="宋体"/>
          <w:bCs w:val="0"/>
          <w:color w:val="auto"/>
          <w:szCs w:val="24"/>
        </w:rPr>
        <w:fldChar w:fldCharType="end"/>
      </w:r>
    </w:p>
    <w:p w14:paraId="7E1E1BB6">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_Toc28987 </w:instrText>
      </w:r>
      <w:r>
        <w:rPr>
          <w:rFonts w:hint="eastAsia" w:ascii="宋体" w:hAnsi="宋体" w:eastAsia="宋体" w:cs="宋体"/>
          <w:bCs w:val="0"/>
          <w:szCs w:val="24"/>
        </w:rPr>
        <w:fldChar w:fldCharType="separate"/>
      </w:r>
      <w:r>
        <w:rPr>
          <w:rFonts w:hint="default" w:ascii="Times New Roman" w:hAnsi="Times New Roman" w:cs="Times New Roman"/>
        </w:rPr>
        <w:t>4.1安全评价单元的划分方法</w:t>
      </w:r>
      <w:r>
        <w:tab/>
      </w:r>
      <w:r>
        <w:fldChar w:fldCharType="begin"/>
      </w:r>
      <w:r>
        <w:instrText xml:space="preserve"> PAGEREF _Toc28987 \h </w:instrText>
      </w:r>
      <w:r>
        <w:fldChar w:fldCharType="separate"/>
      </w:r>
      <w:r>
        <w:t>27</w:t>
      </w:r>
      <w:r>
        <w:fldChar w:fldCharType="end"/>
      </w:r>
      <w:r>
        <w:rPr>
          <w:rFonts w:hint="eastAsia" w:ascii="宋体" w:hAnsi="宋体" w:eastAsia="宋体" w:cs="宋体"/>
          <w:bCs w:val="0"/>
          <w:color w:val="auto"/>
          <w:szCs w:val="24"/>
        </w:rPr>
        <w:fldChar w:fldCharType="end"/>
      </w:r>
    </w:p>
    <w:p w14:paraId="159A9D9F">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_Toc5268 </w:instrText>
      </w:r>
      <w:r>
        <w:rPr>
          <w:rFonts w:hint="eastAsia" w:ascii="宋体" w:hAnsi="宋体" w:eastAsia="宋体" w:cs="宋体"/>
          <w:bCs w:val="0"/>
          <w:szCs w:val="24"/>
        </w:rPr>
        <w:fldChar w:fldCharType="separate"/>
      </w:r>
      <w:r>
        <w:rPr>
          <w:rFonts w:hint="default" w:ascii="Times New Roman" w:hAnsi="Times New Roman" w:cs="Times New Roman"/>
        </w:rPr>
        <w:t>4.2评价单元划分结果</w:t>
      </w:r>
      <w:r>
        <w:tab/>
      </w:r>
      <w:r>
        <w:fldChar w:fldCharType="begin"/>
      </w:r>
      <w:r>
        <w:instrText xml:space="preserve"> PAGEREF _Toc5268 \h </w:instrText>
      </w:r>
      <w:r>
        <w:fldChar w:fldCharType="separate"/>
      </w:r>
      <w:r>
        <w:t>27</w:t>
      </w:r>
      <w:r>
        <w:fldChar w:fldCharType="end"/>
      </w:r>
      <w:r>
        <w:rPr>
          <w:rFonts w:hint="eastAsia" w:ascii="宋体" w:hAnsi="宋体" w:eastAsia="宋体" w:cs="宋体"/>
          <w:bCs w:val="0"/>
          <w:color w:val="auto"/>
          <w:szCs w:val="24"/>
        </w:rPr>
        <w:fldChar w:fldCharType="end"/>
      </w:r>
    </w:p>
    <w:p w14:paraId="7202341F">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_Toc2321 </w:instrText>
      </w:r>
      <w:r>
        <w:rPr>
          <w:rFonts w:hint="eastAsia" w:ascii="宋体" w:hAnsi="宋体" w:eastAsia="宋体" w:cs="宋体"/>
          <w:bCs w:val="0"/>
          <w:szCs w:val="24"/>
        </w:rPr>
        <w:fldChar w:fldCharType="separate"/>
      </w:r>
      <w:r>
        <w:rPr>
          <w:rFonts w:hint="eastAsia"/>
        </w:rPr>
        <w:t>第五章 采用的安全评价方法及理由说明</w:t>
      </w:r>
      <w:r>
        <w:tab/>
      </w:r>
      <w:r>
        <w:fldChar w:fldCharType="begin"/>
      </w:r>
      <w:r>
        <w:instrText xml:space="preserve"> PAGEREF _Toc2321 \h </w:instrText>
      </w:r>
      <w:r>
        <w:fldChar w:fldCharType="separate"/>
      </w:r>
      <w:r>
        <w:t>28</w:t>
      </w:r>
      <w:r>
        <w:fldChar w:fldCharType="end"/>
      </w:r>
      <w:r>
        <w:rPr>
          <w:rFonts w:hint="eastAsia" w:ascii="宋体" w:hAnsi="宋体" w:eastAsia="宋体" w:cs="宋体"/>
          <w:bCs w:val="0"/>
          <w:color w:val="auto"/>
          <w:szCs w:val="24"/>
        </w:rPr>
        <w:fldChar w:fldCharType="end"/>
      </w:r>
    </w:p>
    <w:p w14:paraId="1864CEC8">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_Toc14317 </w:instrText>
      </w:r>
      <w:r>
        <w:rPr>
          <w:rFonts w:hint="eastAsia" w:ascii="宋体" w:hAnsi="宋体" w:eastAsia="宋体" w:cs="宋体"/>
          <w:bCs w:val="0"/>
          <w:szCs w:val="24"/>
        </w:rPr>
        <w:fldChar w:fldCharType="separate"/>
      </w:r>
      <w:r>
        <w:rPr>
          <w:rFonts w:hint="default" w:ascii="Times New Roman" w:hAnsi="Times New Roman" w:cs="Times New Roman"/>
        </w:rPr>
        <w:t>5.1评价方法选择结果</w:t>
      </w:r>
      <w:r>
        <w:tab/>
      </w:r>
      <w:r>
        <w:fldChar w:fldCharType="begin"/>
      </w:r>
      <w:r>
        <w:instrText xml:space="preserve"> PAGEREF _Toc14317 \h </w:instrText>
      </w:r>
      <w:r>
        <w:fldChar w:fldCharType="separate"/>
      </w:r>
      <w:r>
        <w:t>28</w:t>
      </w:r>
      <w:r>
        <w:fldChar w:fldCharType="end"/>
      </w:r>
      <w:r>
        <w:rPr>
          <w:rFonts w:hint="eastAsia" w:ascii="宋体" w:hAnsi="宋体" w:eastAsia="宋体" w:cs="宋体"/>
          <w:bCs w:val="0"/>
          <w:color w:val="auto"/>
          <w:szCs w:val="24"/>
        </w:rPr>
        <w:fldChar w:fldCharType="end"/>
      </w:r>
    </w:p>
    <w:p w14:paraId="29E78775">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_Toc20109 </w:instrText>
      </w:r>
      <w:r>
        <w:rPr>
          <w:rFonts w:hint="eastAsia" w:ascii="宋体" w:hAnsi="宋体" w:eastAsia="宋体" w:cs="宋体"/>
          <w:bCs w:val="0"/>
          <w:szCs w:val="24"/>
        </w:rPr>
        <w:fldChar w:fldCharType="separate"/>
      </w:r>
      <w:r>
        <w:rPr>
          <w:rFonts w:hint="default" w:ascii="Times New Roman" w:hAnsi="Times New Roman" w:cs="Times New Roman"/>
        </w:rPr>
        <w:t>5.2采用的评价方法理由</w:t>
      </w:r>
      <w:r>
        <w:tab/>
      </w:r>
      <w:r>
        <w:fldChar w:fldCharType="begin"/>
      </w:r>
      <w:r>
        <w:instrText xml:space="preserve"> PAGEREF _Toc20109 \h </w:instrText>
      </w:r>
      <w:r>
        <w:fldChar w:fldCharType="separate"/>
      </w:r>
      <w:r>
        <w:t>28</w:t>
      </w:r>
      <w:r>
        <w:fldChar w:fldCharType="end"/>
      </w:r>
      <w:r>
        <w:rPr>
          <w:rFonts w:hint="eastAsia" w:ascii="宋体" w:hAnsi="宋体" w:eastAsia="宋体" w:cs="宋体"/>
          <w:bCs w:val="0"/>
          <w:color w:val="auto"/>
          <w:szCs w:val="24"/>
        </w:rPr>
        <w:fldChar w:fldCharType="end"/>
      </w:r>
    </w:p>
    <w:p w14:paraId="139647BA">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_Toc2179 </w:instrText>
      </w:r>
      <w:r>
        <w:rPr>
          <w:rFonts w:hint="eastAsia" w:ascii="宋体" w:hAnsi="宋体" w:eastAsia="宋体" w:cs="宋体"/>
          <w:bCs w:val="0"/>
          <w:szCs w:val="24"/>
        </w:rPr>
        <w:fldChar w:fldCharType="separate"/>
      </w:r>
      <w:r>
        <w:rPr>
          <w:rFonts w:hint="eastAsia"/>
        </w:rPr>
        <w:t>第六章 定性、定量分析危险、有害程度结果</w:t>
      </w:r>
      <w:r>
        <w:tab/>
      </w:r>
      <w:r>
        <w:fldChar w:fldCharType="begin"/>
      </w:r>
      <w:r>
        <w:instrText xml:space="preserve"> PAGEREF _Toc2179 \h </w:instrText>
      </w:r>
      <w:r>
        <w:fldChar w:fldCharType="separate"/>
      </w:r>
      <w:r>
        <w:t>29</w:t>
      </w:r>
      <w:r>
        <w:fldChar w:fldCharType="end"/>
      </w:r>
      <w:r>
        <w:rPr>
          <w:rFonts w:hint="eastAsia" w:ascii="宋体" w:hAnsi="宋体" w:eastAsia="宋体" w:cs="宋体"/>
          <w:bCs w:val="0"/>
          <w:color w:val="auto"/>
          <w:szCs w:val="24"/>
        </w:rPr>
        <w:fldChar w:fldCharType="end"/>
      </w:r>
    </w:p>
    <w:p w14:paraId="6467570A">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_Toc27342 </w:instrText>
      </w:r>
      <w:r>
        <w:rPr>
          <w:rFonts w:hint="eastAsia" w:ascii="宋体" w:hAnsi="宋体" w:eastAsia="宋体" w:cs="宋体"/>
          <w:bCs w:val="0"/>
          <w:szCs w:val="24"/>
        </w:rPr>
        <w:fldChar w:fldCharType="separate"/>
      </w:r>
      <w:r>
        <w:rPr>
          <w:rFonts w:ascii="Times New Roman" w:hAnsi="Times New Roman"/>
        </w:rPr>
        <w:t>6</w:t>
      </w:r>
      <w:r>
        <w:rPr>
          <w:rFonts w:ascii="楷体" w:hAnsi="楷体"/>
        </w:rPr>
        <w:t>.</w:t>
      </w:r>
      <w:r>
        <w:rPr>
          <w:rFonts w:ascii="Times New Roman" w:hAnsi="Times New Roman"/>
        </w:rPr>
        <w:t>1</w:t>
      </w:r>
      <w:r>
        <w:rPr>
          <w:rFonts w:ascii="楷体" w:hAnsi="楷体"/>
        </w:rPr>
        <w:t>安全检查表评价结果</w:t>
      </w:r>
      <w:r>
        <w:tab/>
      </w:r>
      <w:r>
        <w:fldChar w:fldCharType="begin"/>
      </w:r>
      <w:r>
        <w:instrText xml:space="preserve"> PAGEREF _Toc27342 \h </w:instrText>
      </w:r>
      <w:r>
        <w:fldChar w:fldCharType="separate"/>
      </w:r>
      <w:r>
        <w:t>29</w:t>
      </w:r>
      <w:r>
        <w:fldChar w:fldCharType="end"/>
      </w:r>
      <w:r>
        <w:rPr>
          <w:rFonts w:hint="eastAsia" w:ascii="宋体" w:hAnsi="宋体" w:eastAsia="宋体" w:cs="宋体"/>
          <w:bCs w:val="0"/>
          <w:color w:val="auto"/>
          <w:szCs w:val="24"/>
        </w:rPr>
        <w:fldChar w:fldCharType="end"/>
      </w:r>
    </w:p>
    <w:p w14:paraId="32E35CC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_Toc13914 </w:instrText>
      </w:r>
      <w:r>
        <w:rPr>
          <w:rFonts w:hint="eastAsia" w:ascii="宋体" w:hAnsi="宋体" w:eastAsia="宋体" w:cs="宋体"/>
          <w:bCs w:val="0"/>
          <w:szCs w:val="24"/>
        </w:rPr>
        <w:fldChar w:fldCharType="separate"/>
      </w:r>
      <w:r>
        <w:rPr>
          <w:rFonts w:hint="default" w:ascii="Times New Roman" w:hAnsi="Times New Roman" w:cs="Times New Roman"/>
        </w:rPr>
        <w:t>6.2作业条件分析评价结果</w:t>
      </w:r>
      <w:r>
        <w:tab/>
      </w:r>
      <w:r>
        <w:fldChar w:fldCharType="begin"/>
      </w:r>
      <w:r>
        <w:instrText xml:space="preserve"> PAGEREF _Toc13914 \h </w:instrText>
      </w:r>
      <w:r>
        <w:fldChar w:fldCharType="separate"/>
      </w:r>
      <w:r>
        <w:t>29</w:t>
      </w:r>
      <w:r>
        <w:fldChar w:fldCharType="end"/>
      </w:r>
      <w:r>
        <w:rPr>
          <w:rFonts w:hint="eastAsia" w:ascii="宋体" w:hAnsi="宋体" w:eastAsia="宋体" w:cs="宋体"/>
          <w:bCs w:val="0"/>
          <w:color w:val="auto"/>
          <w:szCs w:val="24"/>
        </w:rPr>
        <w:fldChar w:fldCharType="end"/>
      </w:r>
    </w:p>
    <w:p w14:paraId="43FF9084">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_Toc21410 </w:instrText>
      </w:r>
      <w:r>
        <w:rPr>
          <w:rFonts w:hint="eastAsia" w:ascii="宋体" w:hAnsi="宋体" w:eastAsia="宋体" w:cs="宋体"/>
          <w:bCs w:val="0"/>
          <w:szCs w:val="24"/>
        </w:rPr>
        <w:fldChar w:fldCharType="separate"/>
      </w:r>
      <w:r>
        <w:rPr>
          <w:rFonts w:hint="default" w:ascii="Times New Roman" w:hAnsi="Times New Roman" w:cs="Times New Roman"/>
        </w:rPr>
        <w:t>6.</w:t>
      </w:r>
      <w:r>
        <w:rPr>
          <w:rFonts w:hint="default" w:ascii="Times New Roman" w:hAnsi="Times New Roman" w:cs="Times New Roman"/>
          <w:lang w:val="en-US" w:eastAsia="zh-CN"/>
        </w:rPr>
        <w:t>3</w:t>
      </w:r>
      <w:r>
        <w:rPr>
          <w:rFonts w:hint="default" w:ascii="Times New Roman" w:hAnsi="Times New Roman" w:cs="Times New Roman"/>
        </w:rPr>
        <w:t>固有危险程度分析结果</w:t>
      </w:r>
      <w:r>
        <w:tab/>
      </w:r>
      <w:r>
        <w:fldChar w:fldCharType="begin"/>
      </w:r>
      <w:r>
        <w:instrText xml:space="preserve"> PAGEREF _Toc21410 \h </w:instrText>
      </w:r>
      <w:r>
        <w:fldChar w:fldCharType="separate"/>
      </w:r>
      <w:r>
        <w:t>30</w:t>
      </w:r>
      <w:r>
        <w:fldChar w:fldCharType="end"/>
      </w:r>
      <w:r>
        <w:rPr>
          <w:rFonts w:hint="eastAsia" w:ascii="宋体" w:hAnsi="宋体" w:eastAsia="宋体" w:cs="宋体"/>
          <w:bCs w:val="0"/>
          <w:color w:val="auto"/>
          <w:szCs w:val="24"/>
        </w:rPr>
        <w:fldChar w:fldCharType="end"/>
      </w:r>
    </w:p>
    <w:p w14:paraId="4033E6C1">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_Toc13942 </w:instrText>
      </w:r>
      <w:r>
        <w:rPr>
          <w:rFonts w:hint="eastAsia" w:ascii="宋体" w:hAnsi="宋体" w:eastAsia="宋体" w:cs="宋体"/>
          <w:bCs w:val="0"/>
          <w:szCs w:val="24"/>
        </w:rPr>
        <w:fldChar w:fldCharType="separate"/>
      </w:r>
      <w:r>
        <w:rPr>
          <w:rFonts w:hint="default" w:ascii="Times New Roman" w:hAnsi="Times New Roman" w:cs="Times New Roman"/>
        </w:rPr>
        <w:t>第七章 建设项目安全条件和安全生产条件分析结果</w:t>
      </w:r>
      <w:r>
        <w:tab/>
      </w:r>
      <w:r>
        <w:fldChar w:fldCharType="begin"/>
      </w:r>
      <w:r>
        <w:instrText xml:space="preserve"> PAGEREF _Toc13942 \h </w:instrText>
      </w:r>
      <w:r>
        <w:fldChar w:fldCharType="separate"/>
      </w:r>
      <w:r>
        <w:t>31</w:t>
      </w:r>
      <w:r>
        <w:fldChar w:fldCharType="end"/>
      </w:r>
      <w:r>
        <w:rPr>
          <w:rFonts w:hint="eastAsia" w:ascii="宋体" w:hAnsi="宋体" w:eastAsia="宋体" w:cs="宋体"/>
          <w:bCs w:val="0"/>
          <w:color w:val="auto"/>
          <w:szCs w:val="24"/>
        </w:rPr>
        <w:fldChar w:fldCharType="end"/>
      </w:r>
    </w:p>
    <w:p w14:paraId="11A3B731">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_Toc28324 </w:instrText>
      </w:r>
      <w:r>
        <w:rPr>
          <w:rFonts w:hint="eastAsia" w:ascii="宋体" w:hAnsi="宋体" w:eastAsia="宋体" w:cs="宋体"/>
          <w:bCs w:val="0"/>
          <w:szCs w:val="24"/>
        </w:rPr>
        <w:fldChar w:fldCharType="separate"/>
      </w:r>
      <w:r>
        <w:rPr>
          <w:rFonts w:hint="default" w:ascii="Times New Roman" w:hAnsi="Times New Roman" w:cs="Times New Roman"/>
        </w:rPr>
        <w:t>7.1建设项目的安全条件分析结果</w:t>
      </w:r>
      <w:r>
        <w:tab/>
      </w:r>
      <w:r>
        <w:fldChar w:fldCharType="begin"/>
      </w:r>
      <w:r>
        <w:instrText xml:space="preserve"> PAGEREF _Toc28324 \h </w:instrText>
      </w:r>
      <w:r>
        <w:fldChar w:fldCharType="separate"/>
      </w:r>
      <w:r>
        <w:t>31</w:t>
      </w:r>
      <w:r>
        <w:fldChar w:fldCharType="end"/>
      </w:r>
      <w:r>
        <w:rPr>
          <w:rFonts w:hint="eastAsia" w:ascii="宋体" w:hAnsi="宋体" w:eastAsia="宋体" w:cs="宋体"/>
          <w:bCs w:val="0"/>
          <w:color w:val="auto"/>
          <w:szCs w:val="24"/>
        </w:rPr>
        <w:fldChar w:fldCharType="end"/>
      </w:r>
    </w:p>
    <w:p w14:paraId="5E3E70AF">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_Toc12810 </w:instrText>
      </w:r>
      <w:r>
        <w:rPr>
          <w:rFonts w:hint="eastAsia" w:ascii="宋体" w:hAnsi="宋体" w:eastAsia="宋体" w:cs="宋体"/>
          <w:bCs w:val="0"/>
          <w:szCs w:val="24"/>
        </w:rPr>
        <w:fldChar w:fldCharType="separate"/>
      </w:r>
      <w:r>
        <w:rPr>
          <w:rFonts w:hint="default" w:ascii="Times New Roman" w:hAnsi="Times New Roman" w:cs="Times New Roman"/>
        </w:rPr>
        <w:t>7.2建设项目安全生产条件分析结果</w:t>
      </w:r>
      <w:r>
        <w:tab/>
      </w:r>
      <w:r>
        <w:fldChar w:fldCharType="begin"/>
      </w:r>
      <w:r>
        <w:instrText xml:space="preserve"> PAGEREF _Toc12810 \h </w:instrText>
      </w:r>
      <w:r>
        <w:fldChar w:fldCharType="separate"/>
      </w:r>
      <w:r>
        <w:t>31</w:t>
      </w:r>
      <w:r>
        <w:fldChar w:fldCharType="end"/>
      </w:r>
      <w:r>
        <w:rPr>
          <w:rFonts w:hint="eastAsia" w:ascii="宋体" w:hAnsi="宋体" w:eastAsia="宋体" w:cs="宋体"/>
          <w:bCs w:val="0"/>
          <w:color w:val="auto"/>
          <w:szCs w:val="24"/>
        </w:rPr>
        <w:fldChar w:fldCharType="end"/>
      </w:r>
    </w:p>
    <w:p w14:paraId="3398F76D">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_Toc14903 </w:instrText>
      </w:r>
      <w:r>
        <w:rPr>
          <w:rFonts w:hint="eastAsia" w:ascii="宋体" w:hAnsi="宋体" w:eastAsia="宋体" w:cs="宋体"/>
          <w:bCs w:val="0"/>
          <w:szCs w:val="24"/>
        </w:rPr>
        <w:fldChar w:fldCharType="separate"/>
      </w:r>
      <w:r>
        <w:rPr>
          <w:rFonts w:hint="default" w:ascii="Times New Roman" w:hAnsi="Times New Roman" w:cs="Times New Roman"/>
          <w:bCs w:val="0"/>
        </w:rPr>
        <w:t>第八章 安全设施的施工、检验、检测和调试情况</w:t>
      </w:r>
      <w:r>
        <w:tab/>
      </w:r>
      <w:r>
        <w:fldChar w:fldCharType="begin"/>
      </w:r>
      <w:r>
        <w:instrText xml:space="preserve"> PAGEREF _Toc14903 \h </w:instrText>
      </w:r>
      <w:r>
        <w:fldChar w:fldCharType="separate"/>
      </w:r>
      <w:r>
        <w:t>45</w:t>
      </w:r>
      <w:r>
        <w:fldChar w:fldCharType="end"/>
      </w:r>
      <w:r>
        <w:rPr>
          <w:rFonts w:hint="eastAsia" w:ascii="宋体" w:hAnsi="宋体" w:eastAsia="宋体" w:cs="宋体"/>
          <w:bCs w:val="0"/>
          <w:color w:val="auto"/>
          <w:szCs w:val="24"/>
        </w:rPr>
        <w:fldChar w:fldCharType="end"/>
      </w:r>
    </w:p>
    <w:p w14:paraId="72DB522E">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_Toc10238 </w:instrText>
      </w:r>
      <w:r>
        <w:rPr>
          <w:rFonts w:hint="eastAsia" w:ascii="宋体" w:hAnsi="宋体" w:eastAsia="宋体" w:cs="宋体"/>
          <w:bCs w:val="0"/>
          <w:szCs w:val="24"/>
        </w:rPr>
        <w:fldChar w:fldCharType="separate"/>
      </w:r>
      <w:r>
        <w:rPr>
          <w:rFonts w:hint="default" w:ascii="Times New Roman" w:hAnsi="Times New Roman" w:cs="Times New Roman"/>
        </w:rPr>
        <w:t>8.1建设项目设计变更情况</w:t>
      </w:r>
      <w:r>
        <w:tab/>
      </w:r>
      <w:r>
        <w:fldChar w:fldCharType="begin"/>
      </w:r>
      <w:r>
        <w:instrText xml:space="preserve"> PAGEREF _Toc10238 \h </w:instrText>
      </w:r>
      <w:r>
        <w:fldChar w:fldCharType="separate"/>
      </w:r>
      <w:r>
        <w:t>45</w:t>
      </w:r>
      <w:r>
        <w:fldChar w:fldCharType="end"/>
      </w:r>
      <w:r>
        <w:rPr>
          <w:rFonts w:hint="eastAsia" w:ascii="宋体" w:hAnsi="宋体" w:eastAsia="宋体" w:cs="宋体"/>
          <w:bCs w:val="0"/>
          <w:color w:val="auto"/>
          <w:szCs w:val="24"/>
        </w:rPr>
        <w:fldChar w:fldCharType="end"/>
      </w:r>
    </w:p>
    <w:p w14:paraId="692FDADC">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_Toc4975 </w:instrText>
      </w:r>
      <w:r>
        <w:rPr>
          <w:rFonts w:hint="eastAsia" w:ascii="宋体" w:hAnsi="宋体" w:eastAsia="宋体" w:cs="宋体"/>
          <w:bCs w:val="0"/>
          <w:szCs w:val="24"/>
        </w:rPr>
        <w:fldChar w:fldCharType="separate"/>
      </w:r>
      <w:r>
        <w:rPr>
          <w:rFonts w:hint="default" w:ascii="Times New Roman" w:hAnsi="Times New Roman" w:cs="Times New Roman"/>
        </w:rPr>
        <w:t>8.2建设项目安全设施的施工质量情况</w:t>
      </w:r>
      <w:r>
        <w:tab/>
      </w:r>
      <w:r>
        <w:fldChar w:fldCharType="begin"/>
      </w:r>
      <w:r>
        <w:instrText xml:space="preserve"> PAGEREF _Toc4975 \h </w:instrText>
      </w:r>
      <w:r>
        <w:fldChar w:fldCharType="separate"/>
      </w:r>
      <w:r>
        <w:t>45</w:t>
      </w:r>
      <w:r>
        <w:fldChar w:fldCharType="end"/>
      </w:r>
      <w:r>
        <w:rPr>
          <w:rFonts w:hint="eastAsia" w:ascii="宋体" w:hAnsi="宋体" w:eastAsia="宋体" w:cs="宋体"/>
          <w:bCs w:val="0"/>
          <w:color w:val="auto"/>
          <w:szCs w:val="24"/>
        </w:rPr>
        <w:fldChar w:fldCharType="end"/>
      </w:r>
    </w:p>
    <w:p w14:paraId="78D67E88">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_Toc7102 </w:instrText>
      </w:r>
      <w:r>
        <w:rPr>
          <w:rFonts w:hint="eastAsia" w:ascii="宋体" w:hAnsi="宋体" w:eastAsia="宋体" w:cs="宋体"/>
          <w:bCs w:val="0"/>
          <w:szCs w:val="24"/>
        </w:rPr>
        <w:fldChar w:fldCharType="separate"/>
      </w:r>
      <w:r>
        <w:rPr>
          <w:rFonts w:hint="default" w:ascii="Times New Roman" w:hAnsi="Times New Roman" w:cs="Times New Roman"/>
        </w:rPr>
        <w:t>8.3建设项目安全设施在施工前后的检验、检测情况及有效性情况</w:t>
      </w:r>
      <w:r>
        <w:tab/>
      </w:r>
      <w:r>
        <w:fldChar w:fldCharType="begin"/>
      </w:r>
      <w:r>
        <w:instrText xml:space="preserve"> PAGEREF _Toc7102 \h </w:instrText>
      </w:r>
      <w:r>
        <w:fldChar w:fldCharType="separate"/>
      </w:r>
      <w:r>
        <w:t>45</w:t>
      </w:r>
      <w:r>
        <w:fldChar w:fldCharType="end"/>
      </w:r>
      <w:r>
        <w:rPr>
          <w:rFonts w:hint="eastAsia" w:ascii="宋体" w:hAnsi="宋体" w:eastAsia="宋体" w:cs="宋体"/>
          <w:bCs w:val="0"/>
          <w:color w:val="auto"/>
          <w:szCs w:val="24"/>
        </w:rPr>
        <w:fldChar w:fldCharType="end"/>
      </w:r>
    </w:p>
    <w:p w14:paraId="4F4720F6">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_Toc10274 </w:instrText>
      </w:r>
      <w:r>
        <w:rPr>
          <w:rFonts w:hint="eastAsia" w:ascii="宋体" w:hAnsi="宋体" w:eastAsia="宋体" w:cs="宋体"/>
          <w:bCs w:val="0"/>
          <w:szCs w:val="24"/>
        </w:rPr>
        <w:fldChar w:fldCharType="separate"/>
      </w:r>
      <w:r>
        <w:rPr>
          <w:rFonts w:hint="default" w:ascii="Times New Roman" w:hAnsi="Times New Roman" w:cs="Times New Roman"/>
        </w:rPr>
        <w:t>第九章 可能发生的危险化学品事故及后果、对策</w:t>
      </w:r>
      <w:r>
        <w:tab/>
      </w:r>
      <w:r>
        <w:fldChar w:fldCharType="begin"/>
      </w:r>
      <w:r>
        <w:instrText xml:space="preserve"> PAGEREF _Toc10274 \h </w:instrText>
      </w:r>
      <w:r>
        <w:fldChar w:fldCharType="separate"/>
      </w:r>
      <w:r>
        <w:t>47</w:t>
      </w:r>
      <w:r>
        <w:fldChar w:fldCharType="end"/>
      </w:r>
      <w:r>
        <w:rPr>
          <w:rFonts w:hint="eastAsia" w:ascii="宋体" w:hAnsi="宋体" w:eastAsia="宋体" w:cs="宋体"/>
          <w:bCs w:val="0"/>
          <w:color w:val="auto"/>
          <w:szCs w:val="24"/>
        </w:rPr>
        <w:fldChar w:fldCharType="end"/>
      </w:r>
    </w:p>
    <w:p w14:paraId="06BC243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_Toc17265 </w:instrText>
      </w:r>
      <w:r>
        <w:rPr>
          <w:rFonts w:hint="eastAsia" w:ascii="宋体" w:hAnsi="宋体" w:eastAsia="宋体" w:cs="宋体"/>
          <w:bCs w:val="0"/>
          <w:szCs w:val="24"/>
        </w:rPr>
        <w:fldChar w:fldCharType="separate"/>
      </w:r>
      <w:r>
        <w:rPr>
          <w:rFonts w:hint="default" w:ascii="Times New Roman" w:hAnsi="Times New Roman" w:cs="Times New Roman"/>
        </w:rPr>
        <w:t>9.1可能发生的危险化学品事故</w:t>
      </w:r>
      <w:r>
        <w:tab/>
      </w:r>
      <w:r>
        <w:fldChar w:fldCharType="begin"/>
      </w:r>
      <w:r>
        <w:instrText xml:space="preserve"> PAGEREF _Toc17265 \h </w:instrText>
      </w:r>
      <w:r>
        <w:fldChar w:fldCharType="separate"/>
      </w:r>
      <w:r>
        <w:t>47</w:t>
      </w:r>
      <w:r>
        <w:fldChar w:fldCharType="end"/>
      </w:r>
      <w:r>
        <w:rPr>
          <w:rFonts w:hint="eastAsia" w:ascii="宋体" w:hAnsi="宋体" w:eastAsia="宋体" w:cs="宋体"/>
          <w:bCs w:val="0"/>
          <w:color w:val="auto"/>
          <w:szCs w:val="24"/>
        </w:rPr>
        <w:fldChar w:fldCharType="end"/>
      </w:r>
    </w:p>
    <w:p w14:paraId="584BBF03">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_Toc24256 </w:instrText>
      </w:r>
      <w:r>
        <w:rPr>
          <w:rFonts w:hint="eastAsia" w:ascii="宋体" w:hAnsi="宋体" w:eastAsia="宋体" w:cs="宋体"/>
          <w:bCs w:val="0"/>
          <w:szCs w:val="24"/>
        </w:rPr>
        <w:fldChar w:fldCharType="separate"/>
      </w:r>
      <w:r>
        <w:rPr>
          <w:rFonts w:hint="default" w:ascii="Times New Roman" w:hAnsi="Times New Roman" w:cs="Times New Roman"/>
        </w:rPr>
        <w:t>9.2油品火灾爆炸事故原因分析</w:t>
      </w:r>
      <w:r>
        <w:tab/>
      </w:r>
      <w:r>
        <w:fldChar w:fldCharType="begin"/>
      </w:r>
      <w:r>
        <w:instrText xml:space="preserve"> PAGEREF _Toc24256 \h </w:instrText>
      </w:r>
      <w:r>
        <w:fldChar w:fldCharType="separate"/>
      </w:r>
      <w:r>
        <w:t>48</w:t>
      </w:r>
      <w:r>
        <w:fldChar w:fldCharType="end"/>
      </w:r>
      <w:r>
        <w:rPr>
          <w:rFonts w:hint="eastAsia" w:ascii="宋体" w:hAnsi="宋体" w:eastAsia="宋体" w:cs="宋体"/>
          <w:bCs w:val="0"/>
          <w:color w:val="auto"/>
          <w:szCs w:val="24"/>
        </w:rPr>
        <w:fldChar w:fldCharType="end"/>
      </w:r>
    </w:p>
    <w:p w14:paraId="6E557E80">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_Toc30992 </w:instrText>
      </w:r>
      <w:r>
        <w:rPr>
          <w:rFonts w:hint="eastAsia" w:ascii="宋体" w:hAnsi="宋体" w:eastAsia="宋体" w:cs="宋体"/>
          <w:bCs w:val="0"/>
          <w:szCs w:val="24"/>
        </w:rPr>
        <w:fldChar w:fldCharType="separate"/>
      </w:r>
      <w:r>
        <w:rPr>
          <w:rFonts w:hint="default" w:ascii="Times New Roman" w:hAnsi="Times New Roman" w:cs="Times New Roman"/>
        </w:rPr>
        <w:t>9.3事故预防对策措施</w:t>
      </w:r>
      <w:r>
        <w:tab/>
      </w:r>
      <w:r>
        <w:fldChar w:fldCharType="begin"/>
      </w:r>
      <w:r>
        <w:instrText xml:space="preserve"> PAGEREF _Toc30992 \h </w:instrText>
      </w:r>
      <w:r>
        <w:fldChar w:fldCharType="separate"/>
      </w:r>
      <w:r>
        <w:t>50</w:t>
      </w:r>
      <w:r>
        <w:fldChar w:fldCharType="end"/>
      </w:r>
      <w:r>
        <w:rPr>
          <w:rFonts w:hint="eastAsia" w:ascii="宋体" w:hAnsi="宋体" w:eastAsia="宋体" w:cs="宋体"/>
          <w:bCs w:val="0"/>
          <w:color w:val="auto"/>
          <w:szCs w:val="24"/>
        </w:rPr>
        <w:fldChar w:fldCharType="end"/>
      </w:r>
    </w:p>
    <w:p w14:paraId="5B8571C3">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_Toc2461 </w:instrText>
      </w:r>
      <w:r>
        <w:rPr>
          <w:rFonts w:hint="eastAsia" w:ascii="宋体" w:hAnsi="宋体" w:eastAsia="宋体" w:cs="宋体"/>
          <w:bCs w:val="0"/>
          <w:szCs w:val="24"/>
        </w:rPr>
        <w:fldChar w:fldCharType="separate"/>
      </w:r>
      <w:r>
        <w:rPr>
          <w:rFonts w:hint="eastAsia"/>
        </w:rPr>
        <w:t>第十章 安全对策与建议</w:t>
      </w:r>
      <w:r>
        <w:tab/>
      </w:r>
      <w:r>
        <w:fldChar w:fldCharType="begin"/>
      </w:r>
      <w:r>
        <w:instrText xml:space="preserve"> PAGEREF _Toc2461 \h </w:instrText>
      </w:r>
      <w:r>
        <w:fldChar w:fldCharType="separate"/>
      </w:r>
      <w:r>
        <w:t>51</w:t>
      </w:r>
      <w:r>
        <w:fldChar w:fldCharType="end"/>
      </w:r>
      <w:r>
        <w:rPr>
          <w:rFonts w:hint="eastAsia" w:ascii="宋体" w:hAnsi="宋体" w:eastAsia="宋体" w:cs="宋体"/>
          <w:bCs w:val="0"/>
          <w:color w:val="auto"/>
          <w:szCs w:val="24"/>
        </w:rPr>
        <w:fldChar w:fldCharType="end"/>
      </w:r>
    </w:p>
    <w:p w14:paraId="3DE7AE29">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_Toc3306 </w:instrText>
      </w:r>
      <w:r>
        <w:rPr>
          <w:rFonts w:hint="eastAsia" w:ascii="宋体" w:hAnsi="宋体" w:eastAsia="宋体" w:cs="宋体"/>
          <w:bCs w:val="0"/>
          <w:szCs w:val="24"/>
        </w:rPr>
        <w:fldChar w:fldCharType="separate"/>
      </w:r>
      <w:r>
        <w:rPr>
          <w:rFonts w:hint="eastAsia" w:ascii="Times New Roman" w:hAnsi="Times New Roman" w:cs="楷体"/>
        </w:rPr>
        <w:t>10</w:t>
      </w:r>
      <w:r>
        <w:rPr>
          <w:rFonts w:hint="eastAsia" w:ascii="楷体" w:hAnsi="楷体" w:cs="楷体"/>
        </w:rPr>
        <w:t>.</w:t>
      </w:r>
      <w:r>
        <w:rPr>
          <w:rFonts w:hint="eastAsia" w:ascii="Times New Roman" w:hAnsi="Times New Roman" w:cs="楷体"/>
        </w:rPr>
        <w:t>1</w:t>
      </w:r>
      <w:r>
        <w:rPr>
          <w:rFonts w:hint="eastAsia" w:ascii="楷体" w:hAnsi="楷体" w:cs="楷体"/>
        </w:rPr>
        <w:t>整改建议及</w:t>
      </w:r>
      <w:r>
        <w:rPr>
          <w:rFonts w:hint="eastAsia" w:ascii="楷体" w:hAnsi="楷体" w:cs="楷体"/>
          <w:lang w:val="en-US" w:eastAsia="zh-CN"/>
        </w:rPr>
        <w:t>落实</w:t>
      </w:r>
      <w:r>
        <w:rPr>
          <w:rFonts w:hint="eastAsia" w:ascii="楷体" w:hAnsi="楷体" w:cs="楷体"/>
        </w:rPr>
        <w:t>情况</w:t>
      </w:r>
      <w:r>
        <w:tab/>
      </w:r>
      <w:r>
        <w:fldChar w:fldCharType="begin"/>
      </w:r>
      <w:r>
        <w:instrText xml:space="preserve"> PAGEREF _Toc3306 \h </w:instrText>
      </w:r>
      <w:r>
        <w:fldChar w:fldCharType="separate"/>
      </w:r>
      <w:r>
        <w:t>51</w:t>
      </w:r>
      <w:r>
        <w:fldChar w:fldCharType="end"/>
      </w:r>
      <w:r>
        <w:rPr>
          <w:rFonts w:hint="eastAsia" w:ascii="宋体" w:hAnsi="宋体" w:eastAsia="宋体" w:cs="宋体"/>
          <w:bCs w:val="0"/>
          <w:color w:val="auto"/>
          <w:szCs w:val="24"/>
        </w:rPr>
        <w:fldChar w:fldCharType="end"/>
      </w:r>
    </w:p>
    <w:p w14:paraId="374AE87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_Toc10706 </w:instrText>
      </w:r>
      <w:r>
        <w:rPr>
          <w:rFonts w:hint="eastAsia" w:ascii="宋体" w:hAnsi="宋体" w:eastAsia="宋体" w:cs="宋体"/>
          <w:bCs w:val="0"/>
          <w:szCs w:val="24"/>
        </w:rPr>
        <w:fldChar w:fldCharType="separate"/>
      </w:r>
      <w:r>
        <w:rPr>
          <w:rFonts w:hint="default" w:ascii="Times New Roman" w:hAnsi="Times New Roman" w:cs="Times New Roman"/>
        </w:rPr>
        <w:t>10.2危险、有害因素的基本对策措施</w:t>
      </w:r>
      <w:r>
        <w:tab/>
      </w:r>
      <w:r>
        <w:fldChar w:fldCharType="begin"/>
      </w:r>
      <w:r>
        <w:instrText xml:space="preserve"> PAGEREF _Toc10706 \h </w:instrText>
      </w:r>
      <w:r>
        <w:fldChar w:fldCharType="separate"/>
      </w:r>
      <w:r>
        <w:t>51</w:t>
      </w:r>
      <w:r>
        <w:fldChar w:fldCharType="end"/>
      </w:r>
      <w:r>
        <w:rPr>
          <w:rFonts w:hint="eastAsia" w:ascii="宋体" w:hAnsi="宋体" w:eastAsia="宋体" w:cs="宋体"/>
          <w:bCs w:val="0"/>
          <w:color w:val="auto"/>
          <w:szCs w:val="24"/>
        </w:rPr>
        <w:fldChar w:fldCharType="end"/>
      </w:r>
    </w:p>
    <w:p w14:paraId="551C8E63">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_Toc19870 </w:instrText>
      </w:r>
      <w:r>
        <w:rPr>
          <w:rFonts w:hint="eastAsia" w:ascii="宋体" w:hAnsi="宋体" w:eastAsia="宋体" w:cs="宋体"/>
          <w:bCs w:val="0"/>
          <w:szCs w:val="24"/>
        </w:rPr>
        <w:fldChar w:fldCharType="separate"/>
      </w:r>
      <w:r>
        <w:rPr>
          <w:rFonts w:hint="default" w:ascii="Times New Roman" w:hAnsi="Times New Roman" w:cs="Times New Roman"/>
        </w:rPr>
        <w:t>10.3安全管理方面对策措施</w:t>
      </w:r>
      <w:r>
        <w:tab/>
      </w:r>
      <w:r>
        <w:fldChar w:fldCharType="begin"/>
      </w:r>
      <w:r>
        <w:instrText xml:space="preserve"> PAGEREF _Toc19870 \h </w:instrText>
      </w:r>
      <w:r>
        <w:fldChar w:fldCharType="separate"/>
      </w:r>
      <w:r>
        <w:t>52</w:t>
      </w:r>
      <w:r>
        <w:fldChar w:fldCharType="end"/>
      </w:r>
      <w:r>
        <w:rPr>
          <w:rFonts w:hint="eastAsia" w:ascii="宋体" w:hAnsi="宋体" w:eastAsia="宋体" w:cs="宋体"/>
          <w:bCs w:val="0"/>
          <w:color w:val="auto"/>
          <w:szCs w:val="24"/>
        </w:rPr>
        <w:fldChar w:fldCharType="end"/>
      </w:r>
    </w:p>
    <w:p w14:paraId="4DD0522C">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_Toc26082 </w:instrText>
      </w:r>
      <w:r>
        <w:rPr>
          <w:rFonts w:hint="eastAsia" w:ascii="宋体" w:hAnsi="宋体" w:eastAsia="宋体" w:cs="宋体"/>
          <w:bCs w:val="0"/>
          <w:szCs w:val="24"/>
        </w:rPr>
        <w:fldChar w:fldCharType="separate"/>
      </w:r>
      <w:r>
        <w:rPr>
          <w:rFonts w:hint="default" w:ascii="Times New Roman" w:hAnsi="Times New Roman" w:cs="Times New Roman"/>
        </w:rPr>
        <w:t>10.4装置、设施、消防与电器方面的对策措施</w:t>
      </w:r>
      <w:r>
        <w:tab/>
      </w:r>
      <w:r>
        <w:fldChar w:fldCharType="begin"/>
      </w:r>
      <w:r>
        <w:instrText xml:space="preserve"> PAGEREF _Toc26082 \h </w:instrText>
      </w:r>
      <w:r>
        <w:fldChar w:fldCharType="separate"/>
      </w:r>
      <w:r>
        <w:t>56</w:t>
      </w:r>
      <w:r>
        <w:fldChar w:fldCharType="end"/>
      </w:r>
      <w:r>
        <w:rPr>
          <w:rFonts w:hint="eastAsia" w:ascii="宋体" w:hAnsi="宋体" w:eastAsia="宋体" w:cs="宋体"/>
          <w:bCs w:val="0"/>
          <w:color w:val="auto"/>
          <w:szCs w:val="24"/>
        </w:rPr>
        <w:fldChar w:fldCharType="end"/>
      </w:r>
    </w:p>
    <w:p w14:paraId="06045F72">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_Toc30865 </w:instrText>
      </w:r>
      <w:r>
        <w:rPr>
          <w:rFonts w:hint="eastAsia" w:ascii="宋体" w:hAnsi="宋体" w:eastAsia="宋体" w:cs="宋体"/>
          <w:bCs w:val="0"/>
          <w:szCs w:val="24"/>
        </w:rPr>
        <w:fldChar w:fldCharType="separate"/>
      </w:r>
      <w:r>
        <w:rPr>
          <w:rFonts w:hint="default" w:ascii="Times New Roman" w:hAnsi="Times New Roman" w:cs="Times New Roman"/>
        </w:rPr>
        <w:t>10.5加油工艺方面安全对策措施</w:t>
      </w:r>
      <w:r>
        <w:tab/>
      </w:r>
      <w:r>
        <w:fldChar w:fldCharType="begin"/>
      </w:r>
      <w:r>
        <w:instrText xml:space="preserve"> PAGEREF _Toc30865 \h </w:instrText>
      </w:r>
      <w:r>
        <w:fldChar w:fldCharType="separate"/>
      </w:r>
      <w:r>
        <w:t>57</w:t>
      </w:r>
      <w:r>
        <w:fldChar w:fldCharType="end"/>
      </w:r>
      <w:r>
        <w:rPr>
          <w:rFonts w:hint="eastAsia" w:ascii="宋体" w:hAnsi="宋体" w:eastAsia="宋体" w:cs="宋体"/>
          <w:bCs w:val="0"/>
          <w:color w:val="auto"/>
          <w:szCs w:val="24"/>
        </w:rPr>
        <w:fldChar w:fldCharType="end"/>
      </w:r>
    </w:p>
    <w:p w14:paraId="0372FBF4">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_Toc15040 </w:instrText>
      </w:r>
      <w:r>
        <w:rPr>
          <w:rFonts w:hint="eastAsia" w:ascii="宋体" w:hAnsi="宋体" w:eastAsia="宋体" w:cs="宋体"/>
          <w:bCs w:val="0"/>
          <w:szCs w:val="24"/>
        </w:rPr>
        <w:fldChar w:fldCharType="separate"/>
      </w:r>
      <w:r>
        <w:rPr>
          <w:rFonts w:hint="eastAsia"/>
        </w:rPr>
        <w:t>第十一章 安全评价结论</w:t>
      </w:r>
      <w:r>
        <w:tab/>
      </w:r>
      <w:r>
        <w:fldChar w:fldCharType="begin"/>
      </w:r>
      <w:r>
        <w:instrText xml:space="preserve"> PAGEREF _Toc15040 \h </w:instrText>
      </w:r>
      <w:r>
        <w:fldChar w:fldCharType="separate"/>
      </w:r>
      <w:r>
        <w:t>60</w:t>
      </w:r>
      <w:r>
        <w:fldChar w:fldCharType="end"/>
      </w:r>
      <w:r>
        <w:rPr>
          <w:rFonts w:hint="eastAsia" w:ascii="宋体" w:hAnsi="宋体" w:eastAsia="宋体" w:cs="宋体"/>
          <w:bCs w:val="0"/>
          <w:color w:val="auto"/>
          <w:szCs w:val="24"/>
        </w:rPr>
        <w:fldChar w:fldCharType="end"/>
      </w:r>
    </w:p>
    <w:p w14:paraId="53614D91">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_Toc8042 </w:instrText>
      </w:r>
      <w:r>
        <w:rPr>
          <w:rFonts w:hint="eastAsia" w:ascii="宋体" w:hAnsi="宋体" w:eastAsia="宋体" w:cs="宋体"/>
          <w:bCs w:val="0"/>
          <w:szCs w:val="24"/>
        </w:rPr>
        <w:fldChar w:fldCharType="separate"/>
      </w:r>
      <w:r>
        <w:rPr>
          <w:rFonts w:hint="eastAsia"/>
        </w:rPr>
        <w:t>第十二章 与建设单位交换意见的情况结果</w:t>
      </w:r>
      <w:r>
        <w:tab/>
      </w:r>
      <w:r>
        <w:fldChar w:fldCharType="begin"/>
      </w:r>
      <w:r>
        <w:instrText xml:space="preserve"> PAGEREF _Toc8042 \h </w:instrText>
      </w:r>
      <w:r>
        <w:fldChar w:fldCharType="separate"/>
      </w:r>
      <w:r>
        <w:t>63</w:t>
      </w:r>
      <w:r>
        <w:fldChar w:fldCharType="end"/>
      </w:r>
      <w:r>
        <w:rPr>
          <w:rFonts w:hint="eastAsia" w:ascii="宋体" w:hAnsi="宋体" w:eastAsia="宋体" w:cs="宋体"/>
          <w:bCs w:val="0"/>
          <w:color w:val="auto"/>
          <w:szCs w:val="24"/>
        </w:rPr>
        <w:fldChar w:fldCharType="end"/>
      </w:r>
    </w:p>
    <w:p w14:paraId="664FD6DE">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_Toc25080 </w:instrText>
      </w:r>
      <w:r>
        <w:rPr>
          <w:rFonts w:hint="eastAsia" w:ascii="宋体" w:hAnsi="宋体" w:eastAsia="宋体" w:cs="宋体"/>
          <w:bCs w:val="0"/>
          <w:szCs w:val="24"/>
        </w:rPr>
        <w:fldChar w:fldCharType="separate"/>
      </w:r>
      <w:r>
        <w:rPr>
          <w:rFonts w:hint="eastAsia"/>
        </w:rPr>
        <w:t>附件一：安全评价过程制作的图表</w:t>
      </w:r>
      <w:r>
        <w:tab/>
      </w:r>
      <w:r>
        <w:fldChar w:fldCharType="begin"/>
      </w:r>
      <w:r>
        <w:instrText xml:space="preserve"> PAGEREF _Toc25080 \h </w:instrText>
      </w:r>
      <w:r>
        <w:fldChar w:fldCharType="separate"/>
      </w:r>
      <w:r>
        <w:t>64</w:t>
      </w:r>
      <w:r>
        <w:fldChar w:fldCharType="end"/>
      </w:r>
      <w:r>
        <w:rPr>
          <w:rFonts w:hint="eastAsia" w:ascii="宋体" w:hAnsi="宋体" w:eastAsia="宋体" w:cs="宋体"/>
          <w:bCs w:val="0"/>
          <w:color w:val="auto"/>
          <w:szCs w:val="24"/>
        </w:rPr>
        <w:fldChar w:fldCharType="end"/>
      </w:r>
    </w:p>
    <w:p w14:paraId="61D19AF4">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_Toc12829 </w:instrText>
      </w:r>
      <w:r>
        <w:rPr>
          <w:rFonts w:hint="eastAsia" w:ascii="宋体" w:hAnsi="宋体" w:eastAsia="宋体" w:cs="宋体"/>
          <w:bCs w:val="0"/>
          <w:szCs w:val="24"/>
        </w:rPr>
        <w:fldChar w:fldCharType="separate"/>
      </w:r>
      <w:r>
        <w:rPr>
          <w:rFonts w:hint="default" w:ascii="Times New Roman" w:hAnsi="Times New Roman" w:cs="Times New Roman"/>
        </w:rPr>
        <w:t>F1.1总平面布置图</w:t>
      </w:r>
      <w:r>
        <w:tab/>
      </w:r>
      <w:r>
        <w:fldChar w:fldCharType="begin"/>
      </w:r>
      <w:r>
        <w:instrText xml:space="preserve"> PAGEREF _Toc12829 \h </w:instrText>
      </w:r>
      <w:r>
        <w:fldChar w:fldCharType="separate"/>
      </w:r>
      <w:r>
        <w:t>64</w:t>
      </w:r>
      <w:r>
        <w:fldChar w:fldCharType="end"/>
      </w:r>
      <w:r>
        <w:rPr>
          <w:rFonts w:hint="eastAsia" w:ascii="宋体" w:hAnsi="宋体" w:eastAsia="宋体" w:cs="宋体"/>
          <w:bCs w:val="0"/>
          <w:color w:val="auto"/>
          <w:szCs w:val="24"/>
        </w:rPr>
        <w:fldChar w:fldCharType="end"/>
      </w:r>
    </w:p>
    <w:p w14:paraId="2659C44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_Toc32246 </w:instrText>
      </w:r>
      <w:r>
        <w:rPr>
          <w:rFonts w:hint="eastAsia" w:ascii="宋体" w:hAnsi="宋体" w:eastAsia="宋体" w:cs="宋体"/>
          <w:bCs w:val="0"/>
          <w:szCs w:val="24"/>
        </w:rPr>
        <w:fldChar w:fldCharType="separate"/>
      </w:r>
      <w:r>
        <w:rPr>
          <w:rFonts w:hint="default" w:ascii="Times New Roman" w:hAnsi="Times New Roman" w:cs="Times New Roman"/>
        </w:rPr>
        <w:t>F1.</w:t>
      </w:r>
      <w:r>
        <w:rPr>
          <w:rFonts w:hint="default" w:ascii="Times New Roman" w:hAnsi="Times New Roman" w:cs="Times New Roman"/>
          <w:lang w:val="en-US" w:eastAsia="zh-CN"/>
        </w:rPr>
        <w:t xml:space="preserve">2 </w:t>
      </w:r>
      <w:r>
        <w:rPr>
          <w:rFonts w:hint="default" w:ascii="Times New Roman" w:hAnsi="Times New Roman" w:cs="Times New Roman"/>
        </w:rPr>
        <w:t>安全评价程序框图</w:t>
      </w:r>
      <w:r>
        <w:tab/>
      </w:r>
      <w:r>
        <w:fldChar w:fldCharType="begin"/>
      </w:r>
      <w:r>
        <w:instrText xml:space="preserve"> PAGEREF _Toc32246 \h </w:instrText>
      </w:r>
      <w:r>
        <w:fldChar w:fldCharType="separate"/>
      </w:r>
      <w:r>
        <w:t>64</w:t>
      </w:r>
      <w:r>
        <w:fldChar w:fldCharType="end"/>
      </w:r>
      <w:r>
        <w:rPr>
          <w:rFonts w:hint="eastAsia" w:ascii="宋体" w:hAnsi="宋体" w:eastAsia="宋体" w:cs="宋体"/>
          <w:bCs w:val="0"/>
          <w:color w:val="auto"/>
          <w:szCs w:val="24"/>
        </w:rPr>
        <w:fldChar w:fldCharType="end"/>
      </w:r>
    </w:p>
    <w:p w14:paraId="3D45F09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_Toc6785 </w:instrText>
      </w:r>
      <w:r>
        <w:rPr>
          <w:rFonts w:hint="eastAsia" w:ascii="宋体" w:hAnsi="宋体" w:eastAsia="宋体" w:cs="宋体"/>
          <w:bCs w:val="0"/>
          <w:szCs w:val="24"/>
        </w:rPr>
        <w:fldChar w:fldCharType="separate"/>
      </w:r>
      <w:r>
        <w:rPr>
          <w:rFonts w:hint="default" w:ascii="Times New Roman" w:hAnsi="Times New Roman" w:cs="Times New Roman"/>
        </w:rPr>
        <w:t>F1.</w:t>
      </w:r>
      <w:r>
        <w:rPr>
          <w:rFonts w:hint="default" w:ascii="Times New Roman" w:hAnsi="Times New Roman" w:cs="Times New Roman"/>
          <w:lang w:val="en-US" w:eastAsia="zh-CN"/>
        </w:rPr>
        <w:t>3</w:t>
      </w:r>
      <w:r>
        <w:rPr>
          <w:rFonts w:hint="default" w:ascii="Times New Roman" w:hAnsi="Times New Roman" w:cs="Times New Roman"/>
        </w:rPr>
        <w:t>工艺流程框图</w:t>
      </w:r>
      <w:r>
        <w:tab/>
      </w:r>
      <w:r>
        <w:fldChar w:fldCharType="begin"/>
      </w:r>
      <w:r>
        <w:instrText xml:space="preserve"> PAGEREF _Toc6785 \h </w:instrText>
      </w:r>
      <w:r>
        <w:fldChar w:fldCharType="separate"/>
      </w:r>
      <w:r>
        <w:t>65</w:t>
      </w:r>
      <w:r>
        <w:fldChar w:fldCharType="end"/>
      </w:r>
      <w:r>
        <w:rPr>
          <w:rFonts w:hint="eastAsia" w:ascii="宋体" w:hAnsi="宋体" w:eastAsia="宋体" w:cs="宋体"/>
          <w:bCs w:val="0"/>
          <w:color w:val="auto"/>
          <w:szCs w:val="24"/>
        </w:rPr>
        <w:fldChar w:fldCharType="end"/>
      </w:r>
    </w:p>
    <w:p w14:paraId="1BE537FE">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_Toc32151 </w:instrText>
      </w:r>
      <w:r>
        <w:rPr>
          <w:rFonts w:hint="eastAsia" w:ascii="宋体" w:hAnsi="宋体" w:eastAsia="宋体" w:cs="宋体"/>
          <w:bCs w:val="0"/>
          <w:szCs w:val="24"/>
        </w:rPr>
        <w:fldChar w:fldCharType="separate"/>
      </w:r>
      <w:r>
        <w:rPr>
          <w:rFonts w:hint="eastAsia"/>
        </w:rPr>
        <w:t>附件二：选用的安全评价方法简介</w:t>
      </w:r>
      <w:r>
        <w:tab/>
      </w:r>
      <w:r>
        <w:fldChar w:fldCharType="begin"/>
      </w:r>
      <w:r>
        <w:instrText xml:space="preserve"> PAGEREF _Toc32151 \h </w:instrText>
      </w:r>
      <w:r>
        <w:fldChar w:fldCharType="separate"/>
      </w:r>
      <w:r>
        <w:t>65</w:t>
      </w:r>
      <w:r>
        <w:fldChar w:fldCharType="end"/>
      </w:r>
      <w:r>
        <w:rPr>
          <w:rFonts w:hint="eastAsia" w:ascii="宋体" w:hAnsi="宋体" w:eastAsia="宋体" w:cs="宋体"/>
          <w:bCs w:val="0"/>
          <w:color w:val="auto"/>
          <w:szCs w:val="24"/>
        </w:rPr>
        <w:fldChar w:fldCharType="end"/>
      </w:r>
    </w:p>
    <w:p w14:paraId="18BED173">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_Toc29669 </w:instrText>
      </w:r>
      <w:r>
        <w:rPr>
          <w:rFonts w:hint="eastAsia" w:ascii="宋体" w:hAnsi="宋体" w:eastAsia="宋体" w:cs="宋体"/>
          <w:bCs w:val="0"/>
          <w:szCs w:val="24"/>
        </w:rPr>
        <w:fldChar w:fldCharType="separate"/>
      </w:r>
      <w:r>
        <w:rPr>
          <w:rFonts w:hint="default" w:ascii="Times New Roman" w:hAnsi="Times New Roman" w:cs="Times New Roman"/>
        </w:rPr>
        <w:t>F2.1安全检查表分析法</w:t>
      </w:r>
      <w:r>
        <w:tab/>
      </w:r>
      <w:r>
        <w:fldChar w:fldCharType="begin"/>
      </w:r>
      <w:r>
        <w:instrText xml:space="preserve"> PAGEREF _Toc29669 \h </w:instrText>
      </w:r>
      <w:r>
        <w:fldChar w:fldCharType="separate"/>
      </w:r>
      <w:r>
        <w:t>65</w:t>
      </w:r>
      <w:r>
        <w:fldChar w:fldCharType="end"/>
      </w:r>
      <w:r>
        <w:rPr>
          <w:rFonts w:hint="eastAsia" w:ascii="宋体" w:hAnsi="宋体" w:eastAsia="宋体" w:cs="宋体"/>
          <w:bCs w:val="0"/>
          <w:color w:val="auto"/>
          <w:szCs w:val="24"/>
        </w:rPr>
        <w:fldChar w:fldCharType="end"/>
      </w:r>
    </w:p>
    <w:p w14:paraId="494D3B0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_Toc6107 </w:instrText>
      </w:r>
      <w:r>
        <w:rPr>
          <w:rFonts w:hint="eastAsia" w:ascii="宋体" w:hAnsi="宋体" w:eastAsia="宋体" w:cs="宋体"/>
          <w:bCs w:val="0"/>
          <w:szCs w:val="24"/>
        </w:rPr>
        <w:fldChar w:fldCharType="separate"/>
      </w:r>
      <w:r>
        <w:rPr>
          <w:rFonts w:hint="default" w:ascii="Times New Roman" w:hAnsi="Times New Roman" w:cs="Times New Roman"/>
        </w:rPr>
        <w:t>F2.2作业条件危险性分析法</w:t>
      </w:r>
      <w:r>
        <w:tab/>
      </w:r>
      <w:r>
        <w:fldChar w:fldCharType="begin"/>
      </w:r>
      <w:r>
        <w:instrText xml:space="preserve"> PAGEREF _Toc6107 \h </w:instrText>
      </w:r>
      <w:r>
        <w:fldChar w:fldCharType="separate"/>
      </w:r>
      <w:r>
        <w:t>65</w:t>
      </w:r>
      <w:r>
        <w:fldChar w:fldCharType="end"/>
      </w:r>
      <w:r>
        <w:rPr>
          <w:rFonts w:hint="eastAsia" w:ascii="宋体" w:hAnsi="宋体" w:eastAsia="宋体" w:cs="宋体"/>
          <w:bCs w:val="0"/>
          <w:color w:val="auto"/>
          <w:szCs w:val="24"/>
        </w:rPr>
        <w:fldChar w:fldCharType="end"/>
      </w:r>
    </w:p>
    <w:p w14:paraId="544338E0">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_Toc6019 </w:instrText>
      </w:r>
      <w:r>
        <w:rPr>
          <w:rFonts w:hint="eastAsia" w:ascii="宋体" w:hAnsi="宋体" w:eastAsia="宋体" w:cs="宋体"/>
          <w:bCs w:val="0"/>
          <w:szCs w:val="24"/>
        </w:rPr>
        <w:fldChar w:fldCharType="separate"/>
      </w:r>
      <w:r>
        <w:rPr>
          <w:rFonts w:hint="default" w:ascii="Times New Roman" w:hAnsi="Times New Roman" w:cs="Times New Roman"/>
          <w:highlight w:val="none"/>
        </w:rPr>
        <w:t>附件三：主要危险、有害因素分析</w:t>
      </w:r>
      <w:r>
        <w:tab/>
      </w:r>
      <w:r>
        <w:fldChar w:fldCharType="begin"/>
      </w:r>
      <w:r>
        <w:instrText xml:space="preserve"> PAGEREF _Toc6019 \h </w:instrText>
      </w:r>
      <w:r>
        <w:fldChar w:fldCharType="separate"/>
      </w:r>
      <w:r>
        <w:t>67</w:t>
      </w:r>
      <w:r>
        <w:fldChar w:fldCharType="end"/>
      </w:r>
      <w:r>
        <w:rPr>
          <w:rFonts w:hint="eastAsia" w:ascii="宋体" w:hAnsi="宋体" w:eastAsia="宋体" w:cs="宋体"/>
          <w:bCs w:val="0"/>
          <w:color w:val="auto"/>
          <w:szCs w:val="24"/>
        </w:rPr>
        <w:fldChar w:fldCharType="end"/>
      </w:r>
    </w:p>
    <w:p w14:paraId="684312E9">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_Toc5472 </w:instrText>
      </w:r>
      <w:r>
        <w:rPr>
          <w:rFonts w:hint="eastAsia" w:ascii="宋体" w:hAnsi="宋体" w:eastAsia="宋体" w:cs="宋体"/>
          <w:bCs w:val="0"/>
          <w:szCs w:val="24"/>
        </w:rPr>
        <w:fldChar w:fldCharType="separate"/>
      </w:r>
      <w:r>
        <w:rPr>
          <w:rFonts w:hint="default" w:ascii="Times New Roman" w:hAnsi="Times New Roman" w:cs="Times New Roman"/>
          <w:highlight w:val="none"/>
        </w:rPr>
        <w:t>F3.1物料危险有害因素辨识与分析</w:t>
      </w:r>
      <w:r>
        <w:tab/>
      </w:r>
      <w:r>
        <w:fldChar w:fldCharType="begin"/>
      </w:r>
      <w:r>
        <w:instrText xml:space="preserve"> PAGEREF _Toc5472 \h </w:instrText>
      </w:r>
      <w:r>
        <w:fldChar w:fldCharType="separate"/>
      </w:r>
      <w:r>
        <w:t>67</w:t>
      </w:r>
      <w:r>
        <w:fldChar w:fldCharType="end"/>
      </w:r>
      <w:r>
        <w:rPr>
          <w:rFonts w:hint="eastAsia" w:ascii="宋体" w:hAnsi="宋体" w:eastAsia="宋体" w:cs="宋体"/>
          <w:bCs w:val="0"/>
          <w:color w:val="auto"/>
          <w:szCs w:val="24"/>
        </w:rPr>
        <w:fldChar w:fldCharType="end"/>
      </w:r>
    </w:p>
    <w:p w14:paraId="65C2503E">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_Toc9980 </w:instrText>
      </w:r>
      <w:r>
        <w:rPr>
          <w:rFonts w:hint="eastAsia" w:ascii="宋体" w:hAnsi="宋体" w:eastAsia="宋体" w:cs="宋体"/>
          <w:bCs w:val="0"/>
          <w:szCs w:val="24"/>
        </w:rPr>
        <w:fldChar w:fldCharType="separate"/>
      </w:r>
      <w:r>
        <w:rPr>
          <w:rFonts w:hint="default" w:ascii="Times New Roman" w:hAnsi="Times New Roman" w:cs="Times New Roman"/>
        </w:rPr>
        <w:t>F3.2</w:t>
      </w:r>
      <w:r>
        <w:rPr>
          <w:rFonts w:hint="default" w:ascii="Times New Roman" w:hAnsi="Times New Roman" w:cs="Times New Roman"/>
          <w:lang w:val="en-US" w:eastAsia="zh-CN"/>
        </w:rPr>
        <w:t>生产</w:t>
      </w:r>
      <w:r>
        <w:rPr>
          <w:rFonts w:hint="default" w:ascii="Times New Roman" w:hAnsi="Times New Roman" w:cs="Times New Roman"/>
        </w:rPr>
        <w:t>经营储存过程危险有害因素的辨识与分析</w:t>
      </w:r>
      <w:r>
        <w:tab/>
      </w:r>
      <w:r>
        <w:fldChar w:fldCharType="begin"/>
      </w:r>
      <w:r>
        <w:instrText xml:space="preserve"> PAGEREF _Toc9980 \h </w:instrText>
      </w:r>
      <w:r>
        <w:fldChar w:fldCharType="separate"/>
      </w:r>
      <w:r>
        <w:t>73</w:t>
      </w:r>
      <w:r>
        <w:fldChar w:fldCharType="end"/>
      </w:r>
      <w:r>
        <w:rPr>
          <w:rFonts w:hint="eastAsia" w:ascii="宋体" w:hAnsi="宋体" w:eastAsia="宋体" w:cs="宋体"/>
          <w:bCs w:val="0"/>
          <w:color w:val="auto"/>
          <w:szCs w:val="24"/>
        </w:rPr>
        <w:fldChar w:fldCharType="end"/>
      </w:r>
    </w:p>
    <w:p w14:paraId="30AF645C">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_Toc2947 </w:instrText>
      </w:r>
      <w:r>
        <w:rPr>
          <w:rFonts w:hint="eastAsia" w:ascii="宋体" w:hAnsi="宋体" w:eastAsia="宋体" w:cs="宋体"/>
          <w:bCs w:val="0"/>
          <w:szCs w:val="24"/>
        </w:rPr>
        <w:fldChar w:fldCharType="separate"/>
      </w:r>
      <w:r>
        <w:rPr>
          <w:rFonts w:hint="default" w:ascii="Times New Roman" w:hAnsi="Times New Roman" w:cs="Times New Roman"/>
        </w:rPr>
        <w:t>F3.3重点监管的危险化工工艺辨识</w:t>
      </w:r>
      <w:r>
        <w:tab/>
      </w:r>
      <w:r>
        <w:fldChar w:fldCharType="begin"/>
      </w:r>
      <w:r>
        <w:instrText xml:space="preserve"> PAGEREF _Toc2947 \h </w:instrText>
      </w:r>
      <w:r>
        <w:fldChar w:fldCharType="separate"/>
      </w:r>
      <w:r>
        <w:t>81</w:t>
      </w:r>
      <w:r>
        <w:fldChar w:fldCharType="end"/>
      </w:r>
      <w:r>
        <w:rPr>
          <w:rFonts w:hint="eastAsia" w:ascii="宋体" w:hAnsi="宋体" w:eastAsia="宋体" w:cs="宋体"/>
          <w:bCs w:val="0"/>
          <w:color w:val="auto"/>
          <w:szCs w:val="24"/>
        </w:rPr>
        <w:fldChar w:fldCharType="end"/>
      </w:r>
    </w:p>
    <w:p w14:paraId="6E1ABC7D">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_Toc8463 </w:instrText>
      </w:r>
      <w:r>
        <w:rPr>
          <w:rFonts w:hint="eastAsia" w:ascii="宋体" w:hAnsi="宋体" w:eastAsia="宋体" w:cs="宋体"/>
          <w:bCs w:val="0"/>
          <w:szCs w:val="24"/>
        </w:rPr>
        <w:fldChar w:fldCharType="separate"/>
      </w:r>
      <w:r>
        <w:rPr>
          <w:rFonts w:hint="default" w:ascii="Times New Roman" w:hAnsi="Times New Roman" w:cs="Times New Roman"/>
        </w:rPr>
        <w:t>F3.4重大危险源辨识</w:t>
      </w:r>
      <w:r>
        <w:tab/>
      </w:r>
      <w:r>
        <w:fldChar w:fldCharType="begin"/>
      </w:r>
      <w:r>
        <w:instrText xml:space="preserve"> PAGEREF _Toc8463 \h </w:instrText>
      </w:r>
      <w:r>
        <w:fldChar w:fldCharType="separate"/>
      </w:r>
      <w:r>
        <w:t>81</w:t>
      </w:r>
      <w:r>
        <w:fldChar w:fldCharType="end"/>
      </w:r>
      <w:r>
        <w:rPr>
          <w:rFonts w:hint="eastAsia" w:ascii="宋体" w:hAnsi="宋体" w:eastAsia="宋体" w:cs="宋体"/>
          <w:bCs w:val="0"/>
          <w:color w:val="auto"/>
          <w:szCs w:val="24"/>
        </w:rPr>
        <w:fldChar w:fldCharType="end"/>
      </w:r>
    </w:p>
    <w:p w14:paraId="58782918">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_Toc10613 </w:instrText>
      </w:r>
      <w:r>
        <w:rPr>
          <w:rFonts w:hint="eastAsia" w:ascii="宋体" w:hAnsi="宋体" w:eastAsia="宋体" w:cs="宋体"/>
          <w:bCs w:val="0"/>
          <w:szCs w:val="24"/>
        </w:rPr>
        <w:fldChar w:fldCharType="separate"/>
      </w:r>
      <w:r>
        <w:rPr>
          <w:rFonts w:hint="default" w:ascii="Times New Roman" w:hAnsi="Times New Roman" w:cs="Times New Roman"/>
        </w:rPr>
        <w:t>F3.5爆炸危险环境分析及划定</w:t>
      </w:r>
      <w:r>
        <w:tab/>
      </w:r>
      <w:r>
        <w:fldChar w:fldCharType="begin"/>
      </w:r>
      <w:r>
        <w:instrText xml:space="preserve"> PAGEREF _Toc10613 \h </w:instrText>
      </w:r>
      <w:r>
        <w:fldChar w:fldCharType="separate"/>
      </w:r>
      <w:r>
        <w:t>83</w:t>
      </w:r>
      <w:r>
        <w:fldChar w:fldCharType="end"/>
      </w:r>
      <w:r>
        <w:rPr>
          <w:rFonts w:hint="eastAsia" w:ascii="宋体" w:hAnsi="宋体" w:eastAsia="宋体" w:cs="宋体"/>
          <w:bCs w:val="0"/>
          <w:color w:val="auto"/>
          <w:szCs w:val="24"/>
        </w:rPr>
        <w:fldChar w:fldCharType="end"/>
      </w:r>
    </w:p>
    <w:p w14:paraId="19B4F590">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_Toc15827 </w:instrText>
      </w:r>
      <w:r>
        <w:rPr>
          <w:rFonts w:hint="eastAsia" w:ascii="宋体" w:hAnsi="宋体" w:eastAsia="宋体" w:cs="宋体"/>
          <w:bCs w:val="0"/>
          <w:szCs w:val="24"/>
        </w:rPr>
        <w:fldChar w:fldCharType="separate"/>
      </w:r>
      <w:r>
        <w:rPr>
          <w:rFonts w:hint="default" w:ascii="Times New Roman" w:hAnsi="Times New Roman" w:cs="Times New Roman"/>
          <w:highlight w:val="none"/>
        </w:rPr>
        <w:t>附件</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：各单元评价</w:t>
      </w:r>
      <w:r>
        <w:rPr>
          <w:rFonts w:hint="eastAsia" w:ascii="Times New Roman" w:hAnsi="Times New Roman" w:cs="Times New Roman"/>
          <w:highlight w:val="none"/>
          <w:lang w:val="en-US" w:eastAsia="zh-CN"/>
        </w:rPr>
        <w:t>过程</w:t>
      </w:r>
      <w:r>
        <w:tab/>
      </w:r>
      <w:r>
        <w:fldChar w:fldCharType="begin"/>
      </w:r>
      <w:r>
        <w:instrText xml:space="preserve"> PAGEREF _Toc15827 \h </w:instrText>
      </w:r>
      <w:r>
        <w:fldChar w:fldCharType="separate"/>
      </w:r>
      <w:r>
        <w:t>85</w:t>
      </w:r>
      <w:r>
        <w:fldChar w:fldCharType="end"/>
      </w:r>
      <w:r>
        <w:rPr>
          <w:rFonts w:hint="eastAsia" w:ascii="宋体" w:hAnsi="宋体" w:eastAsia="宋体" w:cs="宋体"/>
          <w:bCs w:val="0"/>
          <w:color w:val="auto"/>
          <w:szCs w:val="24"/>
        </w:rPr>
        <w:fldChar w:fldCharType="end"/>
      </w:r>
    </w:p>
    <w:p w14:paraId="39F9B59E">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_Toc7671 </w:instrText>
      </w:r>
      <w:r>
        <w:rPr>
          <w:rFonts w:hint="eastAsia" w:ascii="宋体" w:hAnsi="宋体" w:eastAsia="宋体" w:cs="宋体"/>
          <w:bCs w:val="0"/>
          <w:szCs w:val="24"/>
        </w:rPr>
        <w:fldChar w:fldCharType="separate"/>
      </w:r>
      <w:r>
        <w:rPr>
          <w:rFonts w:hint="default" w:ascii="Times New Roman" w:hAnsi="Times New Roman" w:cs="Times New Roman"/>
        </w:rPr>
        <w:t>F</w:t>
      </w:r>
      <w:r>
        <w:rPr>
          <w:rFonts w:hint="eastAsia" w:cs="Times New Roman"/>
          <w:lang w:val="en-US" w:eastAsia="zh-CN"/>
        </w:rPr>
        <w:t>4</w:t>
      </w:r>
      <w:r>
        <w:rPr>
          <w:rFonts w:hint="default" w:ascii="Times New Roman" w:hAnsi="Times New Roman" w:cs="Times New Roman"/>
        </w:rPr>
        <w:t>.</w:t>
      </w:r>
      <w:r>
        <w:rPr>
          <w:rFonts w:hint="eastAsia" w:cs="Times New Roman"/>
          <w:lang w:val="en-US" w:eastAsia="zh-CN"/>
        </w:rPr>
        <w:t>1</w:t>
      </w:r>
      <w:r>
        <w:rPr>
          <w:rFonts w:hint="default" w:ascii="Times New Roman" w:hAnsi="Times New Roman" w:cs="Times New Roman"/>
        </w:rPr>
        <w:t>定性、定量评价过程</w:t>
      </w:r>
      <w:r>
        <w:tab/>
      </w:r>
      <w:r>
        <w:fldChar w:fldCharType="begin"/>
      </w:r>
      <w:r>
        <w:instrText xml:space="preserve"> PAGEREF _Toc7671 \h </w:instrText>
      </w:r>
      <w:r>
        <w:fldChar w:fldCharType="separate"/>
      </w:r>
      <w:r>
        <w:t>85</w:t>
      </w:r>
      <w:r>
        <w:fldChar w:fldCharType="end"/>
      </w:r>
      <w:r>
        <w:rPr>
          <w:rFonts w:hint="eastAsia" w:ascii="宋体" w:hAnsi="宋体" w:eastAsia="宋体" w:cs="宋体"/>
          <w:bCs w:val="0"/>
          <w:color w:val="auto"/>
          <w:szCs w:val="24"/>
        </w:rPr>
        <w:fldChar w:fldCharType="end"/>
      </w:r>
    </w:p>
    <w:p w14:paraId="14D5B53E">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_Toc29696 </w:instrText>
      </w:r>
      <w:r>
        <w:rPr>
          <w:rFonts w:hint="eastAsia" w:ascii="宋体" w:hAnsi="宋体" w:eastAsia="宋体" w:cs="宋体"/>
          <w:bCs w:val="0"/>
          <w:szCs w:val="24"/>
        </w:rPr>
        <w:fldChar w:fldCharType="separate"/>
      </w:r>
      <w:r>
        <w:rPr>
          <w:rFonts w:hint="default" w:ascii="Times New Roman" w:hAnsi="Times New Roman" w:cs="Times New Roman"/>
        </w:rPr>
        <w:t>F</w:t>
      </w:r>
      <w:r>
        <w:rPr>
          <w:rFonts w:hint="default" w:ascii="Times New Roman" w:hAnsi="Times New Roman" w:cs="Times New Roman"/>
          <w:lang w:val="en-US" w:eastAsia="zh-CN"/>
        </w:rPr>
        <w:t>4</w:t>
      </w:r>
      <w:r>
        <w:rPr>
          <w:rFonts w:hint="default" w:ascii="Times New Roman" w:hAnsi="Times New Roman" w:cs="Times New Roman"/>
        </w:rPr>
        <w:t>.</w:t>
      </w:r>
      <w:r>
        <w:rPr>
          <w:rFonts w:hint="default" w:ascii="Times New Roman" w:hAnsi="Times New Roman" w:cs="Times New Roman"/>
          <w:lang w:val="en-US" w:eastAsia="zh-CN"/>
        </w:rPr>
        <w:t>2</w:t>
      </w:r>
      <w:r>
        <w:rPr>
          <w:rFonts w:hint="default" w:ascii="Times New Roman" w:hAnsi="Times New Roman" w:cs="Times New Roman"/>
        </w:rPr>
        <w:t>安全条件和安全生产条件的分析过程</w:t>
      </w:r>
      <w:r>
        <w:tab/>
      </w:r>
      <w:r>
        <w:fldChar w:fldCharType="begin"/>
      </w:r>
      <w:r>
        <w:instrText xml:space="preserve"> PAGEREF _Toc29696 \h </w:instrText>
      </w:r>
      <w:r>
        <w:fldChar w:fldCharType="separate"/>
      </w:r>
      <w:r>
        <w:t>107</w:t>
      </w:r>
      <w:r>
        <w:fldChar w:fldCharType="end"/>
      </w:r>
      <w:r>
        <w:rPr>
          <w:rFonts w:hint="eastAsia" w:ascii="宋体" w:hAnsi="宋体" w:eastAsia="宋体" w:cs="宋体"/>
          <w:bCs w:val="0"/>
          <w:color w:val="auto"/>
          <w:szCs w:val="24"/>
        </w:rPr>
        <w:fldChar w:fldCharType="end"/>
      </w:r>
    </w:p>
    <w:p w14:paraId="443E621D">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_Toc25586 </w:instrText>
      </w:r>
      <w:r>
        <w:rPr>
          <w:rFonts w:hint="eastAsia" w:ascii="宋体" w:hAnsi="宋体" w:eastAsia="宋体" w:cs="宋体"/>
          <w:bCs w:val="0"/>
          <w:szCs w:val="24"/>
        </w:rPr>
        <w:fldChar w:fldCharType="separate"/>
      </w:r>
      <w:r>
        <w:rPr>
          <w:rFonts w:hint="default" w:ascii="Times New Roman" w:hAnsi="Times New Roman" w:cs="Times New Roman"/>
        </w:rPr>
        <w:t>附件</w:t>
      </w:r>
      <w:r>
        <w:rPr>
          <w:rFonts w:hint="eastAsia" w:cs="Times New Roman"/>
          <w:lang w:val="en-US" w:eastAsia="zh-CN"/>
        </w:rPr>
        <w:t>五</w:t>
      </w:r>
      <w:r>
        <w:rPr>
          <w:rFonts w:hint="default" w:ascii="Times New Roman" w:hAnsi="Times New Roman" w:cs="Times New Roman"/>
        </w:rPr>
        <w:t>：安全评价依据</w:t>
      </w:r>
      <w:r>
        <w:tab/>
      </w:r>
      <w:r>
        <w:fldChar w:fldCharType="begin"/>
      </w:r>
      <w:r>
        <w:instrText xml:space="preserve"> PAGEREF _Toc25586 \h </w:instrText>
      </w:r>
      <w:r>
        <w:fldChar w:fldCharType="separate"/>
      </w:r>
      <w:r>
        <w:t>112</w:t>
      </w:r>
      <w:r>
        <w:fldChar w:fldCharType="end"/>
      </w:r>
      <w:r>
        <w:rPr>
          <w:rFonts w:hint="eastAsia" w:ascii="宋体" w:hAnsi="宋体" w:eastAsia="宋体" w:cs="宋体"/>
          <w:bCs w:val="0"/>
          <w:color w:val="auto"/>
          <w:szCs w:val="24"/>
        </w:rPr>
        <w:fldChar w:fldCharType="end"/>
      </w:r>
    </w:p>
    <w:p w14:paraId="677E8172">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_Toc32169 </w:instrText>
      </w:r>
      <w:r>
        <w:rPr>
          <w:rFonts w:hint="eastAsia" w:ascii="宋体" w:hAnsi="宋体" w:eastAsia="宋体" w:cs="宋体"/>
          <w:bCs w:val="0"/>
          <w:szCs w:val="24"/>
        </w:rPr>
        <w:fldChar w:fldCharType="separate"/>
      </w:r>
      <w:r>
        <w:rPr>
          <w:rFonts w:hint="default" w:ascii="Times New Roman" w:hAnsi="Times New Roman" w:eastAsia="黑体" w:cs="Times New Roman"/>
        </w:rPr>
        <w:t>F</w:t>
      </w:r>
      <w:r>
        <w:rPr>
          <w:rFonts w:hint="eastAsia" w:eastAsia="黑体" w:cs="Times New Roman"/>
          <w:lang w:val="en-US" w:eastAsia="zh-CN"/>
        </w:rPr>
        <w:t>5</w:t>
      </w:r>
      <w:r>
        <w:rPr>
          <w:rFonts w:hint="default" w:ascii="Times New Roman" w:hAnsi="Times New Roman" w:eastAsia="黑体" w:cs="Times New Roman"/>
        </w:rPr>
        <w:t>.1法律依据</w:t>
      </w:r>
      <w:r>
        <w:tab/>
      </w:r>
      <w:r>
        <w:fldChar w:fldCharType="begin"/>
      </w:r>
      <w:r>
        <w:instrText xml:space="preserve"> PAGEREF _Toc32169 \h </w:instrText>
      </w:r>
      <w:r>
        <w:fldChar w:fldCharType="separate"/>
      </w:r>
      <w:r>
        <w:t>112</w:t>
      </w:r>
      <w:r>
        <w:fldChar w:fldCharType="end"/>
      </w:r>
      <w:r>
        <w:rPr>
          <w:rFonts w:hint="eastAsia" w:ascii="宋体" w:hAnsi="宋体" w:eastAsia="宋体" w:cs="宋体"/>
          <w:bCs w:val="0"/>
          <w:color w:val="auto"/>
          <w:szCs w:val="24"/>
        </w:rPr>
        <w:fldChar w:fldCharType="end"/>
      </w:r>
    </w:p>
    <w:p w14:paraId="28ED0E7F">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_Toc29906 </w:instrText>
      </w:r>
      <w:r>
        <w:rPr>
          <w:rFonts w:hint="eastAsia" w:ascii="宋体" w:hAnsi="宋体" w:eastAsia="宋体" w:cs="宋体"/>
          <w:bCs w:val="0"/>
          <w:szCs w:val="24"/>
        </w:rPr>
        <w:fldChar w:fldCharType="separate"/>
      </w:r>
      <w:r>
        <w:rPr>
          <w:rFonts w:hint="eastAsia" w:ascii="Times New Roman" w:hAnsi="Times New Roman" w:eastAsia="黑体"/>
        </w:rPr>
        <w:t>F</w:t>
      </w:r>
      <w:r>
        <w:rPr>
          <w:rFonts w:hint="eastAsia" w:eastAsia="黑体"/>
          <w:lang w:val="en-US" w:eastAsia="zh-CN"/>
        </w:rPr>
        <w:t>5</w:t>
      </w:r>
      <w:r>
        <w:rPr>
          <w:rFonts w:hint="eastAsia" w:ascii="黑体" w:hAnsi="黑体" w:eastAsia="黑体"/>
        </w:rPr>
        <w:t>.</w:t>
      </w:r>
      <w:r>
        <w:rPr>
          <w:rFonts w:hint="eastAsia" w:ascii="Times New Roman" w:hAnsi="Times New Roman" w:eastAsia="黑体"/>
        </w:rPr>
        <w:t>2</w:t>
      </w:r>
      <w:r>
        <w:rPr>
          <w:rFonts w:hint="eastAsia" w:ascii="黑体" w:hAnsi="黑体" w:eastAsia="黑体"/>
        </w:rPr>
        <w:t>行政法规依据</w:t>
      </w:r>
      <w:r>
        <w:tab/>
      </w:r>
      <w:r>
        <w:fldChar w:fldCharType="begin"/>
      </w:r>
      <w:r>
        <w:instrText xml:space="preserve"> PAGEREF _Toc29906 \h </w:instrText>
      </w:r>
      <w:r>
        <w:fldChar w:fldCharType="separate"/>
      </w:r>
      <w:r>
        <w:t>113</w:t>
      </w:r>
      <w:r>
        <w:fldChar w:fldCharType="end"/>
      </w:r>
      <w:r>
        <w:rPr>
          <w:rFonts w:hint="eastAsia" w:ascii="宋体" w:hAnsi="宋体" w:eastAsia="宋体" w:cs="宋体"/>
          <w:bCs w:val="0"/>
          <w:color w:val="auto"/>
          <w:szCs w:val="24"/>
        </w:rPr>
        <w:fldChar w:fldCharType="end"/>
      </w:r>
    </w:p>
    <w:p w14:paraId="0CF960D0">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_Toc32669 </w:instrText>
      </w:r>
      <w:r>
        <w:rPr>
          <w:rFonts w:hint="eastAsia" w:ascii="宋体" w:hAnsi="宋体" w:eastAsia="宋体" w:cs="宋体"/>
          <w:bCs w:val="0"/>
          <w:szCs w:val="24"/>
        </w:rPr>
        <w:fldChar w:fldCharType="separate"/>
      </w:r>
      <w:r>
        <w:rPr>
          <w:rFonts w:hint="eastAsia" w:ascii="Times New Roman" w:hAnsi="Times New Roman" w:eastAsia="黑体"/>
          <w:lang w:val="en-US" w:eastAsia="zh-CN"/>
        </w:rPr>
        <w:t>F</w:t>
      </w:r>
      <w:r>
        <w:rPr>
          <w:rFonts w:hint="eastAsia" w:eastAsia="黑体"/>
          <w:lang w:val="en-US" w:eastAsia="zh-CN"/>
        </w:rPr>
        <w:t>5</w:t>
      </w:r>
      <w:r>
        <w:rPr>
          <w:rFonts w:hint="eastAsia" w:ascii="黑体" w:hAnsi="黑体" w:eastAsia="黑体"/>
          <w:lang w:val="en-US" w:eastAsia="zh-CN"/>
        </w:rPr>
        <w:t>.</w:t>
      </w:r>
      <w:r>
        <w:rPr>
          <w:rFonts w:hint="eastAsia" w:ascii="Times New Roman" w:hAnsi="Times New Roman" w:eastAsia="黑体"/>
          <w:lang w:val="en-US" w:eastAsia="zh-CN"/>
        </w:rPr>
        <w:t>3</w:t>
      </w:r>
      <w:r>
        <w:rPr>
          <w:rFonts w:hint="eastAsia" w:ascii="黑体" w:hAnsi="黑体" w:eastAsia="黑体"/>
          <w:lang w:val="en-US" w:eastAsia="zh-CN"/>
        </w:rPr>
        <w:t>部门规章及规范性文件</w:t>
      </w:r>
      <w:r>
        <w:tab/>
      </w:r>
      <w:r>
        <w:fldChar w:fldCharType="begin"/>
      </w:r>
      <w:r>
        <w:instrText xml:space="preserve"> PAGEREF _Toc32669 \h </w:instrText>
      </w:r>
      <w:r>
        <w:fldChar w:fldCharType="separate"/>
      </w:r>
      <w:r>
        <w:t>114</w:t>
      </w:r>
      <w:r>
        <w:fldChar w:fldCharType="end"/>
      </w:r>
      <w:r>
        <w:rPr>
          <w:rFonts w:hint="eastAsia" w:ascii="宋体" w:hAnsi="宋体" w:eastAsia="宋体" w:cs="宋体"/>
          <w:bCs w:val="0"/>
          <w:color w:val="auto"/>
          <w:szCs w:val="24"/>
        </w:rPr>
        <w:fldChar w:fldCharType="end"/>
      </w:r>
    </w:p>
    <w:p w14:paraId="4BF3535B">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_Toc5845 </w:instrText>
      </w:r>
      <w:r>
        <w:rPr>
          <w:rFonts w:hint="eastAsia" w:ascii="宋体" w:hAnsi="宋体" w:eastAsia="宋体" w:cs="宋体"/>
          <w:bCs w:val="0"/>
          <w:szCs w:val="24"/>
        </w:rPr>
        <w:fldChar w:fldCharType="separate"/>
      </w:r>
      <w:r>
        <w:rPr>
          <w:rFonts w:hint="default" w:ascii="Times New Roman" w:hAnsi="Times New Roman" w:eastAsia="黑体" w:cs="Times New Roman"/>
          <w:lang w:val="en-US" w:eastAsia="zh-CN"/>
        </w:rPr>
        <w:t>F</w:t>
      </w:r>
      <w:r>
        <w:rPr>
          <w:rFonts w:hint="eastAsia" w:eastAsia="黑体" w:cs="Times New Roman"/>
          <w:lang w:val="en-US" w:eastAsia="zh-CN"/>
        </w:rPr>
        <w:t>5</w:t>
      </w:r>
      <w:r>
        <w:rPr>
          <w:rFonts w:hint="default" w:ascii="Times New Roman" w:hAnsi="Times New Roman" w:eastAsia="黑体" w:cs="Times New Roman"/>
          <w:lang w:val="en-US" w:eastAsia="zh-CN"/>
        </w:rPr>
        <w:t>.4地方性法规及文件</w:t>
      </w:r>
      <w:r>
        <w:tab/>
      </w:r>
      <w:r>
        <w:fldChar w:fldCharType="begin"/>
      </w:r>
      <w:r>
        <w:instrText xml:space="preserve"> PAGEREF _Toc5845 \h </w:instrText>
      </w:r>
      <w:r>
        <w:fldChar w:fldCharType="separate"/>
      </w:r>
      <w:r>
        <w:t>117</w:t>
      </w:r>
      <w:r>
        <w:fldChar w:fldCharType="end"/>
      </w:r>
      <w:r>
        <w:rPr>
          <w:rFonts w:hint="eastAsia" w:ascii="宋体" w:hAnsi="宋体" w:eastAsia="宋体" w:cs="宋体"/>
          <w:bCs w:val="0"/>
          <w:color w:val="auto"/>
          <w:szCs w:val="24"/>
        </w:rPr>
        <w:fldChar w:fldCharType="end"/>
      </w:r>
    </w:p>
    <w:p w14:paraId="4929EDC6">
      <w:pPr>
        <w:pStyle w:val="44"/>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_Toc20752 </w:instrText>
      </w:r>
      <w:r>
        <w:rPr>
          <w:rFonts w:hint="eastAsia" w:ascii="宋体" w:hAnsi="宋体" w:eastAsia="宋体" w:cs="宋体"/>
          <w:bCs w:val="0"/>
          <w:szCs w:val="24"/>
        </w:rPr>
        <w:fldChar w:fldCharType="separate"/>
      </w:r>
      <w:r>
        <w:rPr>
          <w:rFonts w:hint="eastAsia" w:ascii="Times New Roman" w:hAnsi="Times New Roman" w:eastAsia="黑体"/>
          <w:lang w:val="en-US" w:eastAsia="zh-CN"/>
        </w:rPr>
        <w:t>F</w:t>
      </w:r>
      <w:r>
        <w:rPr>
          <w:rFonts w:hint="eastAsia" w:eastAsia="黑体"/>
          <w:lang w:val="en-US" w:eastAsia="zh-CN"/>
        </w:rPr>
        <w:t>5</w:t>
      </w:r>
      <w:r>
        <w:rPr>
          <w:rFonts w:hint="eastAsia" w:ascii="黑体" w:hAnsi="黑体" w:eastAsia="黑体"/>
          <w:lang w:val="en-US" w:eastAsia="zh-CN"/>
        </w:rPr>
        <w:t>.</w:t>
      </w:r>
      <w:r>
        <w:rPr>
          <w:rFonts w:hint="eastAsia" w:eastAsia="黑体"/>
          <w:lang w:val="en-US" w:eastAsia="zh-CN"/>
        </w:rPr>
        <w:t>5</w:t>
      </w:r>
      <w:r>
        <w:rPr>
          <w:rFonts w:hint="eastAsia" w:ascii="黑体" w:hAnsi="黑体" w:eastAsia="黑体"/>
          <w:lang w:val="en-US" w:eastAsia="zh-CN"/>
        </w:rPr>
        <w:t>相关安全标准及设计规范</w:t>
      </w:r>
      <w:r>
        <w:tab/>
      </w:r>
      <w:r>
        <w:fldChar w:fldCharType="begin"/>
      </w:r>
      <w:r>
        <w:instrText xml:space="preserve"> PAGEREF _Toc20752 \h </w:instrText>
      </w:r>
      <w:r>
        <w:fldChar w:fldCharType="separate"/>
      </w:r>
      <w:r>
        <w:t>119</w:t>
      </w:r>
      <w:r>
        <w:fldChar w:fldCharType="end"/>
      </w:r>
      <w:r>
        <w:rPr>
          <w:rFonts w:hint="eastAsia" w:ascii="宋体" w:hAnsi="宋体" w:eastAsia="宋体" w:cs="宋体"/>
          <w:bCs w:val="0"/>
          <w:color w:val="auto"/>
          <w:szCs w:val="24"/>
        </w:rPr>
        <w:fldChar w:fldCharType="end"/>
      </w:r>
    </w:p>
    <w:p w14:paraId="2AA067C4">
      <w:pPr>
        <w:pStyle w:val="40"/>
        <w:tabs>
          <w:tab w:val="right" w:leader="dot" w:pos="9183"/>
        </w:tabs>
      </w:pPr>
      <w:r>
        <w:rPr>
          <w:rFonts w:hint="eastAsia" w:ascii="宋体" w:hAnsi="宋体" w:eastAsia="宋体" w:cs="宋体"/>
          <w:bCs w:val="0"/>
          <w:color w:val="auto"/>
          <w:szCs w:val="24"/>
        </w:rPr>
        <w:fldChar w:fldCharType="begin"/>
      </w:r>
      <w:r>
        <w:rPr>
          <w:rFonts w:hint="eastAsia" w:ascii="宋体" w:hAnsi="宋体" w:eastAsia="宋体" w:cs="宋体"/>
          <w:bCs w:val="0"/>
          <w:szCs w:val="24"/>
        </w:rPr>
        <w:instrText xml:space="preserve"> HYPERLINK \l _Toc28328 </w:instrText>
      </w:r>
      <w:r>
        <w:rPr>
          <w:rFonts w:hint="eastAsia" w:ascii="宋体" w:hAnsi="宋体" w:eastAsia="宋体" w:cs="宋体"/>
          <w:bCs w:val="0"/>
          <w:szCs w:val="24"/>
        </w:rPr>
        <w:fldChar w:fldCharType="separate"/>
      </w:r>
      <w:r>
        <w:rPr>
          <w:rFonts w:hint="eastAsia" w:ascii="黑体"/>
        </w:rPr>
        <w:t>附件</w:t>
      </w:r>
      <w:r>
        <w:rPr>
          <w:rFonts w:hint="eastAsia" w:ascii="黑体"/>
          <w:lang w:val="en-US" w:eastAsia="zh-CN"/>
        </w:rPr>
        <w:t>六</w:t>
      </w:r>
      <w:r>
        <w:rPr>
          <w:rFonts w:hint="eastAsia" w:ascii="黑体"/>
        </w:rPr>
        <w:t>：收集的建设单位提供的文件、资料目录</w:t>
      </w:r>
      <w:r>
        <w:tab/>
      </w:r>
      <w:r>
        <w:fldChar w:fldCharType="begin"/>
      </w:r>
      <w:r>
        <w:instrText xml:space="preserve"> PAGEREF _Toc28328 \h </w:instrText>
      </w:r>
      <w:r>
        <w:fldChar w:fldCharType="separate"/>
      </w:r>
      <w:r>
        <w:t>123</w:t>
      </w:r>
      <w:r>
        <w:fldChar w:fldCharType="end"/>
      </w:r>
      <w:r>
        <w:rPr>
          <w:rFonts w:hint="eastAsia" w:ascii="宋体" w:hAnsi="宋体" w:eastAsia="宋体" w:cs="宋体"/>
          <w:bCs w:val="0"/>
          <w:color w:val="auto"/>
          <w:szCs w:val="24"/>
        </w:rPr>
        <w:fldChar w:fldCharType="end"/>
      </w:r>
    </w:p>
    <w:p w14:paraId="611B6A09">
      <w:pPr>
        <w:pStyle w:val="40"/>
        <w:keepNext w:val="0"/>
        <w:keepLines w:val="0"/>
        <w:pageBreakBefore w:val="0"/>
        <w:widowControl/>
        <w:tabs>
          <w:tab w:val="right" w:leader="dot" w:pos="9185"/>
        </w:tabs>
        <w:kinsoku/>
        <w:wordWrap/>
        <w:overflowPunct/>
        <w:topLinePunct w:val="0"/>
        <w:autoSpaceDE/>
        <w:autoSpaceDN/>
        <w:bidi w:val="0"/>
        <w:snapToGrid w:val="0"/>
        <w:textAlignment w:val="auto"/>
        <w:rPr>
          <w:rFonts w:hint="eastAsia" w:ascii="宋体" w:hAnsi="宋体" w:eastAsia="宋体" w:cs="宋体"/>
          <w:b w:val="0"/>
          <w:bCs w:val="0"/>
          <w:color w:val="auto"/>
          <w:szCs w:val="24"/>
        </w:rPr>
      </w:pPr>
      <w:r>
        <w:rPr>
          <w:rFonts w:hint="eastAsia" w:ascii="宋体" w:hAnsi="宋体" w:eastAsia="宋体" w:cs="宋体"/>
          <w:bCs w:val="0"/>
          <w:color w:val="auto"/>
          <w:szCs w:val="24"/>
        </w:rPr>
        <w:fldChar w:fldCharType="end"/>
      </w:r>
      <w:r>
        <w:rPr>
          <w:rFonts w:hint="eastAsia" w:ascii="宋体" w:hAnsi="宋体" w:eastAsia="宋体" w:cs="宋体"/>
          <w:b w:val="0"/>
          <w:bCs w:val="0"/>
          <w:color w:val="auto"/>
          <w:szCs w:val="24"/>
        </w:rPr>
        <w:br w:type="page"/>
      </w:r>
    </w:p>
    <w:p w14:paraId="2D6107DD">
      <w:pPr>
        <w:pStyle w:val="21"/>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upperRoman"/>
          <w:cols w:space="0" w:num="1"/>
          <w:rtlGutter w:val="0"/>
          <w:docGrid w:linePitch="312" w:charSpace="0"/>
        </w:sectPr>
      </w:pPr>
    </w:p>
    <w:p w14:paraId="1A4231B0">
      <w:pPr>
        <w:pStyle w:val="3"/>
        <w:spacing w:line="360" w:lineRule="auto"/>
        <w:jc w:val="center"/>
        <w:rPr>
          <w:color w:val="auto"/>
        </w:rPr>
      </w:pPr>
      <w:bookmarkStart w:id="0" w:name="_Toc271963146"/>
      <w:bookmarkStart w:id="1" w:name="_Toc262135792"/>
      <w:bookmarkStart w:id="2" w:name="_Toc7429"/>
      <w:bookmarkStart w:id="3" w:name="_Toc489459226"/>
      <w:bookmarkStart w:id="4" w:name="_Toc2662"/>
      <w:bookmarkStart w:id="5" w:name="_Toc28575"/>
      <w:bookmarkStart w:id="6" w:name="_Toc12565"/>
      <w:bookmarkStart w:id="7" w:name="_Toc136025018"/>
      <w:bookmarkStart w:id="8" w:name="_Toc138326164"/>
      <w:bookmarkStart w:id="9" w:name="_Toc135816788"/>
      <w:bookmarkStart w:id="10" w:name="_Toc7062"/>
      <w:bookmarkStart w:id="11" w:name="_Toc11352"/>
      <w:bookmarkStart w:id="12" w:name="_Toc9811"/>
      <w:bookmarkStart w:id="13" w:name="_Toc136024963"/>
      <w:bookmarkStart w:id="14" w:name="_Toc4159"/>
      <w:bookmarkStart w:id="15" w:name="_Toc21937"/>
      <w:bookmarkStart w:id="16" w:name="_Toc154744449"/>
      <w:bookmarkStart w:id="17" w:name="_Toc149365533"/>
      <w:r>
        <w:rPr>
          <w:rFonts w:hint="eastAsia"/>
          <w:color w:val="auto"/>
        </w:rPr>
        <w:t>第一章 安全评价</w:t>
      </w:r>
      <w:bookmarkEnd w:id="0"/>
      <w:bookmarkEnd w:id="1"/>
      <w:bookmarkEnd w:id="2"/>
      <w:bookmarkEnd w:id="3"/>
      <w:bookmarkStart w:id="18" w:name="_Toc200947444"/>
      <w:bookmarkStart w:id="19" w:name="_Toc259188772"/>
      <w:bookmarkStart w:id="20" w:name="_Toc122756300"/>
      <w:bookmarkStart w:id="21" w:name="_Toc262135793"/>
      <w:bookmarkStart w:id="22" w:name="_Toc271963147"/>
      <w:r>
        <w:rPr>
          <w:rFonts w:hint="eastAsia"/>
          <w:color w:val="auto"/>
        </w:rPr>
        <w:t>概述</w:t>
      </w:r>
      <w:bookmarkEnd w:id="4"/>
      <w:bookmarkEnd w:id="5"/>
      <w:bookmarkEnd w:id="6"/>
    </w:p>
    <w:bookmarkEnd w:id="18"/>
    <w:bookmarkEnd w:id="19"/>
    <w:bookmarkEnd w:id="20"/>
    <w:bookmarkEnd w:id="21"/>
    <w:bookmarkEnd w:id="22"/>
    <w:p w14:paraId="34D52DCA">
      <w:pPr>
        <w:pStyle w:val="4"/>
        <w:spacing w:line="360" w:lineRule="auto"/>
        <w:jc w:val="both"/>
        <w:rPr>
          <w:rFonts w:ascii="楷体" w:hAnsi="楷体"/>
          <w:color w:val="auto"/>
        </w:rPr>
      </w:pPr>
      <w:bookmarkStart w:id="23" w:name="_Toc22776"/>
      <w:bookmarkStart w:id="24" w:name="_Toc26400"/>
      <w:bookmarkStart w:id="25" w:name="_Toc213658032"/>
      <w:bookmarkStart w:id="26" w:name="_Toc12627"/>
      <w:bookmarkStart w:id="27" w:name="_Toc12590"/>
      <w:bookmarkStart w:id="28" w:name="_Toc3152"/>
      <w:bookmarkStart w:id="29" w:name="_Toc271963152"/>
      <w:bookmarkStart w:id="30" w:name="_Toc259188773"/>
      <w:bookmarkStart w:id="31" w:name="_Toc200947445"/>
      <w:bookmarkStart w:id="32" w:name="_Toc262135798"/>
      <w:r>
        <w:rPr>
          <w:rFonts w:hint="eastAsia" w:ascii="Times New Roman" w:hAnsi="Times New Roman"/>
          <w:color w:val="auto"/>
        </w:rPr>
        <w:t>1</w:t>
      </w:r>
      <w:r>
        <w:rPr>
          <w:rFonts w:hint="eastAsia" w:ascii="楷体" w:hAnsi="楷体"/>
          <w:color w:val="auto"/>
        </w:rPr>
        <w:t>.</w:t>
      </w:r>
      <w:r>
        <w:rPr>
          <w:rFonts w:hint="eastAsia" w:ascii="Times New Roman" w:hAnsi="Times New Roman"/>
          <w:color w:val="auto"/>
        </w:rPr>
        <w:t>1</w:t>
      </w:r>
      <w:r>
        <w:rPr>
          <w:rFonts w:hint="eastAsia" w:ascii="楷体" w:hAnsi="楷体"/>
          <w:color w:val="auto"/>
        </w:rPr>
        <w:t>安全评价目的</w:t>
      </w:r>
      <w:bookmarkEnd w:id="23"/>
      <w:bookmarkEnd w:id="24"/>
      <w:bookmarkEnd w:id="25"/>
      <w:bookmarkEnd w:id="26"/>
      <w:bookmarkEnd w:id="27"/>
    </w:p>
    <w:p w14:paraId="456E6208">
      <w:pPr>
        <w:spacing w:line="360" w:lineRule="auto"/>
        <w:ind w:firstLine="560"/>
        <w:rPr>
          <w:rFonts w:ascii="宋体" w:hAnsi="宋体" w:cs="宋体"/>
          <w:color w:val="auto"/>
          <w:szCs w:val="28"/>
        </w:rPr>
      </w:pPr>
      <w:r>
        <w:rPr>
          <w:rFonts w:hint="eastAsia" w:ascii="宋体" w:hAnsi="宋体" w:cs="宋体"/>
          <w:color w:val="auto"/>
          <w:szCs w:val="28"/>
        </w:rPr>
        <w:t>安全评价的目的是查找、分析和预测工程、系统存在的危险、有害因素及可能导致的危险、危害后果和程度，提出合理可行的安全对策措施，指导危险源监控和事故预防，以达到最低事故率、最少损失和最优的安全投资效益。安全评价可以达到以下目的：</w:t>
      </w:r>
    </w:p>
    <w:p w14:paraId="1A4BDDC8">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（1）提高系统本质安全化程度</w:t>
      </w:r>
    </w:p>
    <w:p w14:paraId="6271A5B0">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通过安全评价，对工程或系统的设计、建设、运行等过程中存在的事故和事故隐患进行系统分析，针对事故和事故隐患发生的可能原因事件和条件，提出消除危险的最佳技术措施方案，实现生产过程的本质安全化。</w:t>
      </w:r>
    </w:p>
    <w:p w14:paraId="2CF42CBA">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（2）实现全过程安全控制</w:t>
      </w:r>
    </w:p>
    <w:p w14:paraId="6B224A53">
      <w:pPr>
        <w:spacing w:line="360" w:lineRule="auto"/>
        <w:ind w:firstLine="560"/>
        <w:rPr>
          <w:rFonts w:hint="default" w:ascii="Times New Roman" w:hAnsi="Times New Roman" w:cs="Times New Roman"/>
          <w:color w:val="auto"/>
          <w:szCs w:val="28"/>
        </w:rPr>
      </w:pPr>
      <w:r>
        <w:rPr>
          <w:rFonts w:hint="eastAsia" w:cs="Times New Roman"/>
          <w:color w:val="auto"/>
          <w:szCs w:val="28"/>
          <w:lang w:val="en-US" w:eastAsia="zh-CN"/>
        </w:rPr>
        <w:t>通过</w:t>
      </w:r>
      <w:r>
        <w:rPr>
          <w:rFonts w:hint="default" w:ascii="Times New Roman" w:hAnsi="Times New Roman" w:cs="Times New Roman"/>
          <w:color w:val="auto"/>
          <w:szCs w:val="28"/>
        </w:rPr>
        <w:t>安全</w:t>
      </w:r>
      <w:r>
        <w:rPr>
          <w:rFonts w:hint="eastAsia" w:cs="Times New Roman"/>
          <w:color w:val="auto"/>
          <w:szCs w:val="28"/>
          <w:lang w:val="en-US" w:eastAsia="zh-CN"/>
        </w:rPr>
        <w:t>验收</w:t>
      </w:r>
      <w:r>
        <w:rPr>
          <w:rFonts w:hint="default" w:ascii="Times New Roman" w:hAnsi="Times New Roman" w:cs="Times New Roman"/>
          <w:color w:val="auto"/>
          <w:szCs w:val="28"/>
        </w:rPr>
        <w:t>评价，可避免选用不安全的工艺流程及不合适的设备、设施，避免安全设施不符合要求或存在缺陷，并提出降低或消除危险的有效方法。</w:t>
      </w:r>
    </w:p>
    <w:p w14:paraId="41CC51BF">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（3）建立系统安全的最优方案，为决策提供依据</w:t>
      </w:r>
    </w:p>
    <w:p w14:paraId="7D8DB115">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通过安全</w:t>
      </w:r>
      <w:r>
        <w:rPr>
          <w:rFonts w:hint="eastAsia" w:cs="Times New Roman"/>
          <w:color w:val="auto"/>
          <w:szCs w:val="28"/>
          <w:lang w:val="en-US" w:eastAsia="zh-CN"/>
        </w:rPr>
        <w:t>验收</w:t>
      </w:r>
      <w:r>
        <w:rPr>
          <w:rFonts w:hint="default" w:ascii="Times New Roman" w:hAnsi="Times New Roman" w:cs="Times New Roman"/>
          <w:color w:val="auto"/>
          <w:szCs w:val="28"/>
        </w:rPr>
        <w:t>评价，可确定系统存在的危险源及其分布部位，预测系统发生事故的可能性及其严重程度，进而提出应采取的安全对策措施等。决策者可以根据评价结果选择系统安全最优方案和进行管理决策。</w:t>
      </w:r>
    </w:p>
    <w:p w14:paraId="7E631E33">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（4）为实现安全技术、安全管理的标准化和科学化创造条件</w:t>
      </w:r>
    </w:p>
    <w:p w14:paraId="6D219F2B">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通过对设备、设施或系统在生产过程中的安全性是否符合有关技术标准、规范相关规定的评价，对照技术标准、规范找出存在的问题，实现安全技术</w:t>
      </w:r>
      <w:r>
        <w:rPr>
          <w:rFonts w:hint="eastAsia" w:cs="Times New Roman"/>
          <w:color w:val="auto"/>
          <w:szCs w:val="28"/>
          <w:lang w:eastAsia="zh-CN"/>
        </w:rPr>
        <w:t>的目标。</w:t>
      </w:r>
    </w:p>
    <w:p w14:paraId="034D2DA3">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（5）为企业申请新建项目安全设施竣工验收、申办经营许可及安全管理决策和政府应急管理部门实行安全监察提供技术依据。</w:t>
      </w:r>
    </w:p>
    <w:p w14:paraId="13CA72A2">
      <w:pPr>
        <w:pStyle w:val="4"/>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auto"/>
        </w:rPr>
      </w:pPr>
      <w:bookmarkStart w:id="33" w:name="_Toc1921"/>
      <w:bookmarkStart w:id="34" w:name="_Toc489459228"/>
      <w:bookmarkStart w:id="35" w:name="_Toc9852"/>
      <w:bookmarkStart w:id="36" w:name="_Toc6915"/>
      <w:r>
        <w:rPr>
          <w:rFonts w:hint="default" w:ascii="Times New Roman" w:hAnsi="Times New Roman" w:cs="Times New Roman"/>
          <w:color w:val="auto"/>
        </w:rPr>
        <w:t>1.2安全评价对象及范围</w:t>
      </w:r>
      <w:bookmarkEnd w:id="28"/>
      <w:bookmarkEnd w:id="29"/>
      <w:bookmarkEnd w:id="30"/>
      <w:bookmarkEnd w:id="31"/>
      <w:bookmarkEnd w:id="32"/>
      <w:bookmarkEnd w:id="33"/>
      <w:bookmarkEnd w:id="34"/>
      <w:bookmarkEnd w:id="35"/>
      <w:bookmarkEnd w:id="36"/>
    </w:p>
    <w:p w14:paraId="52D2E9ED">
      <w:pPr>
        <w:pageBreakBefore w:val="0"/>
        <w:widowControl/>
        <w:kinsoku/>
        <w:wordWrap/>
        <w:overflowPunct/>
        <w:topLinePunct w:val="0"/>
        <w:autoSpaceDE/>
        <w:autoSpaceDN/>
        <w:bidi w:val="0"/>
        <w:adjustRightInd/>
        <w:snapToGrid/>
        <w:spacing w:line="56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安全评价对象是</w:t>
      </w:r>
      <w:r>
        <w:rPr>
          <w:rFonts w:hint="default" w:ascii="Times New Roman" w:hAnsi="Times New Roman" w:cs="Times New Roman"/>
          <w:color w:val="auto"/>
          <w:lang w:val="en-US" w:eastAsia="zh-CN"/>
        </w:rPr>
        <w:t>中国石化销售股份有限公司江西宜春铜鼓县城加油站单罐单线改造项目</w:t>
      </w:r>
      <w:r>
        <w:rPr>
          <w:rFonts w:hint="default" w:ascii="Times New Roman" w:hAnsi="Times New Roman" w:cs="Times New Roman"/>
          <w:color w:val="auto"/>
          <w:lang w:eastAsia="zh-CN"/>
        </w:rPr>
        <w:t>安全验收评价</w:t>
      </w:r>
      <w:r>
        <w:rPr>
          <w:rFonts w:hint="default" w:ascii="Times New Roman" w:hAnsi="Times New Roman" w:cs="Times New Roman"/>
          <w:color w:val="auto"/>
        </w:rPr>
        <w:t>。</w:t>
      </w:r>
    </w:p>
    <w:p w14:paraId="1AA0FAD5">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ascii="宋体" w:hAnsi="宋体" w:cs="宋体"/>
          <w:color w:val="auto"/>
          <w:szCs w:val="28"/>
        </w:rPr>
      </w:pPr>
      <w:r>
        <w:rPr>
          <w:rFonts w:hint="default" w:ascii="Times New Roman" w:hAnsi="Times New Roman" w:cs="Times New Roman"/>
          <w:color w:val="auto"/>
          <w:szCs w:val="28"/>
        </w:rPr>
        <w:t>评价范围：包括该加油站的周边环境、总平面布置、建（构）筑物（包括</w:t>
      </w:r>
      <w:r>
        <w:rPr>
          <w:rFonts w:hint="default" w:ascii="Times New Roman" w:hAnsi="Times New Roman" w:cs="Times New Roman"/>
          <w:color w:val="auto"/>
          <w:szCs w:val="28"/>
          <w:lang w:eastAsia="zh-CN"/>
        </w:rPr>
        <w:t>：</w:t>
      </w:r>
      <w:r>
        <w:rPr>
          <w:rFonts w:hint="default" w:ascii="Times New Roman" w:hAnsi="Times New Roman" w:cs="Times New Roman"/>
          <w:color w:val="auto"/>
          <w:szCs w:val="28"/>
        </w:rPr>
        <w:t>站房、罩棚、承重罐池、加油岛、</w:t>
      </w:r>
      <w:r>
        <w:rPr>
          <w:rFonts w:hint="default" w:ascii="Times New Roman" w:hAnsi="Times New Roman" w:cs="Times New Roman"/>
          <w:color w:val="auto"/>
          <w:szCs w:val="28"/>
          <w:lang w:val="en-US" w:eastAsia="zh-CN"/>
        </w:rPr>
        <w:t>密闭卸油点</w:t>
      </w: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油水池、</w:t>
      </w:r>
      <w:r>
        <w:rPr>
          <w:rFonts w:hint="default" w:ascii="Times New Roman" w:hAnsi="Times New Roman" w:cs="Times New Roman"/>
          <w:color w:val="auto"/>
          <w:szCs w:val="28"/>
        </w:rPr>
        <w:t>工艺流程、经</w:t>
      </w:r>
      <w:r>
        <w:rPr>
          <w:rFonts w:hint="eastAsia" w:ascii="宋体" w:hAnsi="宋体" w:cs="宋体"/>
          <w:color w:val="auto"/>
          <w:szCs w:val="28"/>
        </w:rPr>
        <w:t>营、储存场所、公用工程、安全管理等方面。本次评价将对以上各单元可能存在的危险因素、有害因素以及危害程度进行评价，并针对不同的危险因素和有害因素提出相应的防范措施。</w:t>
      </w:r>
    </w:p>
    <w:p w14:paraId="15947DD5">
      <w:pPr>
        <w:keepNext w:val="0"/>
        <w:keepLines w:val="0"/>
        <w:pageBreakBefore w:val="0"/>
        <w:widowControl/>
        <w:kinsoku/>
        <w:wordWrap/>
        <w:overflowPunct/>
        <w:topLinePunct w:val="0"/>
        <w:autoSpaceDE/>
        <w:autoSpaceDN/>
        <w:bidi w:val="0"/>
        <w:adjustRightInd/>
        <w:snapToGrid/>
        <w:spacing w:line="540" w:lineRule="exact"/>
        <w:ind w:firstLine="560"/>
        <w:textAlignment w:val="auto"/>
        <w:rPr>
          <w:rFonts w:hint="default" w:ascii="宋体" w:hAnsi="宋体" w:eastAsia="宋体" w:cs="宋体"/>
          <w:b w:val="0"/>
          <w:bCs w:val="0"/>
          <w:color w:val="auto"/>
          <w:szCs w:val="28"/>
          <w:lang w:val="en-US" w:eastAsia="zh-CN"/>
        </w:rPr>
      </w:pPr>
      <w:r>
        <w:rPr>
          <w:rFonts w:hint="eastAsia" w:ascii="宋体" w:hAnsi="宋体" w:cs="宋体"/>
          <w:b w:val="0"/>
          <w:bCs w:val="0"/>
          <w:color w:val="auto"/>
          <w:szCs w:val="28"/>
          <w:lang w:val="en-US" w:eastAsia="zh-CN"/>
        </w:rPr>
        <w:t>特别说明：站内光伏发电不在本次评价范围内。</w:t>
      </w:r>
    </w:p>
    <w:p w14:paraId="0F3CFCA0">
      <w:pPr>
        <w:keepNext w:val="0"/>
        <w:keepLines w:val="0"/>
        <w:pageBreakBefore w:val="0"/>
        <w:widowControl/>
        <w:kinsoku/>
        <w:wordWrap/>
        <w:overflowPunct/>
        <w:topLinePunct w:val="0"/>
        <w:autoSpaceDE/>
        <w:autoSpaceDN/>
        <w:bidi w:val="0"/>
        <w:adjustRightInd/>
        <w:snapToGrid/>
        <w:spacing w:line="540" w:lineRule="exact"/>
        <w:ind w:firstLine="560"/>
        <w:textAlignment w:val="auto"/>
        <w:rPr>
          <w:color w:val="auto"/>
        </w:rPr>
      </w:pPr>
      <w:r>
        <w:rPr>
          <w:rFonts w:hint="eastAsia" w:ascii="宋体" w:hAnsi="宋体" w:cs="宋体"/>
          <w:color w:val="auto"/>
          <w:szCs w:val="28"/>
        </w:rPr>
        <w:t>本次验收评价仅为该加油站的安全评价，不涉及该加油站的环境影响评价、职业卫生评价等</w:t>
      </w:r>
      <w:r>
        <w:rPr>
          <w:rFonts w:hint="eastAsia"/>
          <w:color w:val="auto"/>
        </w:rPr>
        <w:t>。</w:t>
      </w:r>
    </w:p>
    <w:p w14:paraId="11BA73BF">
      <w:pPr>
        <w:keepNext w:val="0"/>
        <w:keepLines w:val="0"/>
        <w:pageBreakBefore w:val="0"/>
        <w:widowControl/>
        <w:kinsoku/>
        <w:wordWrap/>
        <w:overflowPunct/>
        <w:topLinePunct w:val="0"/>
        <w:autoSpaceDE/>
        <w:autoSpaceDN/>
        <w:bidi w:val="0"/>
        <w:adjustRightInd/>
        <w:snapToGrid/>
        <w:spacing w:line="540" w:lineRule="exact"/>
        <w:ind w:firstLine="560"/>
        <w:textAlignment w:val="auto"/>
        <w:rPr>
          <w:rFonts w:hint="eastAsia"/>
          <w:color w:val="auto"/>
        </w:rPr>
      </w:pPr>
      <w:r>
        <w:rPr>
          <w:rFonts w:hint="eastAsia"/>
          <w:color w:val="auto"/>
        </w:rPr>
        <w:t>在安全评价报告通过评审后企业有关方面的变更以及项目以外的设施、运输、作业活动等均不在本报告评价范围内。对于环保、消防、防雷、职业卫生等，以有关部门负责审批、监测的报告为准。凡涉及该项目的消防、环保、卫生、抗震、运输、界区外的管道及其配套设施等问题则应执行国家有关标准和规定，该站区的其他环节、场所以及站外运输等环节不在本次评价范围之内。</w:t>
      </w:r>
    </w:p>
    <w:p w14:paraId="3461D0F4">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本次项目总体情况：</w:t>
      </w:r>
    </w:p>
    <w:p w14:paraId="0BDCCFD7">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改造前：原有4台自吸双枪加油机，设有3座30m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汽油罐，总容积90m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，折合油罐总容积为90m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，根据《汽车加油加气加氢站技术标准》GB50156-2021第3.0.9条本站为三级加油站。</w:t>
      </w:r>
    </w:p>
    <w:p w14:paraId="3466D7B7">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改造后：</w:t>
      </w:r>
    </w:p>
    <w:p w14:paraId="019E17E9">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清洗、拆除原有管线，拆除原有罐区油罐。新建承重框架柱结构罐区，新换30m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埋地SF双层汽油罐3座；4台加油机利旧改造为潜泵加油机，油品布局调整，整体更换工艺管道；</w:t>
      </w:r>
    </w:p>
    <w:p w14:paraId="44FC0D4F">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土建：加油岛后原位置拆除新建，站房屋面新做防水。</w:t>
      </w:r>
    </w:p>
    <w:p w14:paraId="0652D94F">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自控：新设油罐液位报警系统、新设双层油罐与双层管线渗漏检测系统。</w:t>
      </w:r>
    </w:p>
    <w:p w14:paraId="554D14B6">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电气：加油机、潜油泵及仪表的供配电线路，加油机的通讯线路，油罐及加油机等防雷防静电接地系统，增设紧急切断系统。</w:t>
      </w:r>
    </w:p>
    <w:p w14:paraId="3F4F86EE">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给排水、消防：利旧原有消防、给水及生活污水排水系统。</w:t>
      </w:r>
    </w:p>
    <w:p w14:paraId="0E5FC2A2">
      <w:pPr>
        <w:keepNext w:val="0"/>
        <w:keepLines w:val="0"/>
        <w:pageBreakBefore w:val="0"/>
        <w:widowControl w:val="0"/>
        <w:numPr>
          <w:ilvl w:val="0"/>
          <w:numId w:val="5"/>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其他：（1）新增砖砌消防五件套；（2）修复加油场地地面（约120m</w:t>
      </w:r>
      <w:r>
        <w:rPr>
          <w:rFonts w:hint="eastAsia" w:ascii="Times New Roman" w:hAnsi="Times New Roman" w:eastAsia="宋体" w:cs="Times New Roman"/>
          <w:color w:val="auto"/>
          <w:sz w:val="28"/>
          <w:szCs w:val="28"/>
          <w:vertAlign w:val="superscript"/>
          <w:lang w:eastAsia="zh-CN"/>
        </w:rPr>
        <w:t>2</w:t>
      </w:r>
      <w:r>
        <w:rPr>
          <w:rFonts w:hint="eastAsia" w:ascii="Times New Roman" w:hAnsi="Times New Roman" w:eastAsia="宋体" w:cs="Times New Roman"/>
          <w:color w:val="auto"/>
          <w:sz w:val="28"/>
          <w:szCs w:val="28"/>
          <w:lang w:eastAsia="zh-CN"/>
        </w:rPr>
        <w:t>），并划线。</w:t>
      </w:r>
    </w:p>
    <w:p w14:paraId="548E510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本次</w:t>
      </w:r>
      <w:r>
        <w:rPr>
          <w:rFonts w:hint="default" w:ascii="Times New Roman" w:hAnsi="Times New Roman" w:eastAsia="宋体" w:cs="Times New Roman"/>
          <w:color w:val="auto"/>
          <w:sz w:val="28"/>
          <w:szCs w:val="28"/>
          <w:lang w:eastAsia="zh-CN"/>
        </w:rPr>
        <w:t>评价内容</w:t>
      </w:r>
      <w:r>
        <w:rPr>
          <w:rFonts w:hint="eastAsia" w:ascii="Times New Roman" w:hAnsi="Times New Roman" w:eastAsia="宋体" w:cs="Times New Roman"/>
          <w:color w:val="auto"/>
          <w:sz w:val="28"/>
          <w:szCs w:val="28"/>
          <w:lang w:val="en-US" w:eastAsia="zh-CN"/>
        </w:rPr>
        <w:t>如下：</w:t>
      </w:r>
    </w:p>
    <w:p w14:paraId="67AC0986">
      <w:pPr>
        <w:keepNext w:val="0"/>
        <w:keepLines w:val="0"/>
        <w:pageBreakBefore w:val="0"/>
        <w:widowControl w:val="0"/>
        <w:numPr>
          <w:ilvl w:val="0"/>
          <w:numId w:val="6"/>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检查项目中安全设施是否与主体工程同时设计、同时施工、同时投入生产和使用；检查与评价项目及与之配套的安全设施是否符合国家有关安全生产的法律、法规和标准。</w:t>
      </w:r>
    </w:p>
    <w:p w14:paraId="138D664C">
      <w:pPr>
        <w:keepNext w:val="0"/>
        <w:keepLines w:val="0"/>
        <w:pageBreakBefore w:val="0"/>
        <w:widowControl w:val="0"/>
        <w:numPr>
          <w:ilvl w:val="0"/>
          <w:numId w:val="6"/>
        </w:numPr>
        <w:kinsoku/>
        <w:wordWrap/>
        <w:overflowPunct/>
        <w:topLinePunct w:val="0"/>
        <w:autoSpaceDE/>
        <w:autoSpaceDN/>
        <w:bidi w:val="0"/>
        <w:adjustRightInd/>
        <w:snapToGrid/>
        <w:spacing w:line="540" w:lineRule="exact"/>
        <w:ind w:firstLine="560" w:firstLineChars="200"/>
        <w:jc w:val="both"/>
        <w:textAlignment w:val="auto"/>
        <w:outlineLvl w:val="9"/>
        <w:rPr>
          <w:rFonts w:ascii="Times New Roman" w:hAnsi="Times New Roman" w:cs="Times New Roman"/>
          <w:color w:val="auto"/>
          <w:sz w:val="28"/>
          <w:szCs w:val="28"/>
        </w:rPr>
      </w:pPr>
      <w:r>
        <w:rPr>
          <w:rFonts w:hint="eastAsia" w:ascii="Times New Roman" w:hAnsi="Times New Roman" w:eastAsia="宋体" w:cs="Times New Roman"/>
          <w:color w:val="auto"/>
          <w:sz w:val="28"/>
          <w:szCs w:val="28"/>
          <w:lang w:eastAsia="zh-CN"/>
        </w:rPr>
        <w:t>检查项目运行情况，以及对员工的安全教育培训情况和作业人员的</w:t>
      </w:r>
      <w:r>
        <w:rPr>
          <w:rFonts w:ascii="Times New Roman" w:hAnsi="Times New Roman" w:cs="Times New Roman"/>
          <w:color w:val="auto"/>
          <w:sz w:val="28"/>
          <w:szCs w:val="28"/>
        </w:rPr>
        <w:t>培训、取证情况；</w:t>
      </w:r>
    </w:p>
    <w:p w14:paraId="2FD5BF33">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3、检查安全生产管理体系及安全生产管理制度的建立健全和执行情况；</w:t>
      </w:r>
    </w:p>
    <w:p w14:paraId="0B2B6B50">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4、检查审核国家要求的设备、管道等的检验取证工作及有强制检验要求的防雷、防静电设施的检测、校验情况，以及项目消防验收的情况；</w:t>
      </w:r>
    </w:p>
    <w:p w14:paraId="01959C72">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5、分析项目工程中存在的危险、有害因素，采用安全检查表法检查工程项目与国家相关标准的符合性；</w:t>
      </w:r>
    </w:p>
    <w:p w14:paraId="2EB0CCE4">
      <w:pPr>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6、采用定性、定量的评价方</w:t>
      </w:r>
      <w:r>
        <w:rPr>
          <w:rFonts w:hint="eastAsia" w:ascii="Times New Roman" w:hAnsi="Times New Roman" w:cs="Times New Roman"/>
          <w:color w:val="auto"/>
          <w:sz w:val="28"/>
          <w:szCs w:val="28"/>
        </w:rPr>
        <w:t>法</w:t>
      </w:r>
      <w:r>
        <w:rPr>
          <w:rFonts w:ascii="Times New Roman" w:hAnsi="Times New Roman" w:cs="Times New Roman"/>
          <w:color w:val="auto"/>
          <w:sz w:val="28"/>
          <w:szCs w:val="28"/>
        </w:rPr>
        <w:t>进行评价；</w:t>
      </w:r>
    </w:p>
    <w:p w14:paraId="567928B1">
      <w:pPr>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7、提出对策措施和建议；</w:t>
      </w:r>
    </w:p>
    <w:p w14:paraId="1439A3D4">
      <w:pPr>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ascii="Times New Roman" w:hAnsi="Times New Roman" w:cs="Times New Roman"/>
          <w:color w:val="auto"/>
          <w:sz w:val="28"/>
          <w:szCs w:val="28"/>
        </w:rPr>
      </w:pPr>
      <w:r>
        <w:rPr>
          <w:rFonts w:ascii="Times New Roman" w:hAnsi="Times New Roman" w:cs="Times New Roman"/>
          <w:color w:val="auto"/>
          <w:sz w:val="28"/>
          <w:szCs w:val="28"/>
        </w:rPr>
        <w:t>8、得出评价结论。</w:t>
      </w:r>
      <w:bookmarkStart w:id="37" w:name="_Toc10200"/>
      <w:bookmarkStart w:id="38" w:name="_Toc30676"/>
      <w:bookmarkStart w:id="39" w:name="_Toc262135802"/>
      <w:bookmarkStart w:id="40" w:name="_Toc259188775"/>
      <w:bookmarkStart w:id="41" w:name="_Toc271963156"/>
      <w:bookmarkStart w:id="42" w:name="_Toc31164"/>
      <w:bookmarkStart w:id="43" w:name="_Toc200947447"/>
      <w:bookmarkStart w:id="44" w:name="_Toc489459230"/>
      <w:bookmarkStart w:id="45" w:name="_Toc122756303"/>
    </w:p>
    <w:p w14:paraId="4316B7FD">
      <w:pPr>
        <w:pStyle w:val="4"/>
        <w:pageBreakBefore w:val="0"/>
        <w:kinsoku/>
        <w:wordWrap/>
        <w:overflowPunct/>
        <w:topLinePunct w:val="0"/>
        <w:autoSpaceDE/>
        <w:autoSpaceDN/>
        <w:bidi w:val="0"/>
        <w:adjustRightInd/>
        <w:snapToGrid/>
        <w:spacing w:line="540" w:lineRule="exact"/>
        <w:jc w:val="both"/>
        <w:textAlignment w:val="auto"/>
        <w:rPr>
          <w:rFonts w:hint="default" w:ascii="Times New Roman" w:hAnsi="Times New Roman" w:cs="Times New Roman"/>
          <w:color w:val="auto"/>
        </w:rPr>
      </w:pPr>
      <w:bookmarkStart w:id="46" w:name="_Toc17442"/>
      <w:r>
        <w:rPr>
          <w:rFonts w:hint="default" w:ascii="Times New Roman" w:hAnsi="Times New Roman" w:cs="Times New Roman"/>
          <w:color w:val="auto"/>
          <w:lang w:val="en-US" w:eastAsia="zh-CN"/>
        </w:rPr>
        <w:t>1.</w:t>
      </w:r>
      <w:r>
        <w:rPr>
          <w:rFonts w:hint="default" w:ascii="Times New Roman" w:hAnsi="Times New Roman" w:cs="Times New Roman"/>
          <w:color w:val="auto"/>
        </w:rPr>
        <w:t>3安全评价程序</w:t>
      </w:r>
      <w:bookmarkEnd w:id="37"/>
      <w:bookmarkEnd w:id="38"/>
      <w:bookmarkEnd w:id="39"/>
      <w:bookmarkEnd w:id="40"/>
      <w:bookmarkEnd w:id="41"/>
      <w:bookmarkEnd w:id="42"/>
      <w:bookmarkEnd w:id="43"/>
      <w:bookmarkEnd w:id="44"/>
      <w:bookmarkEnd w:id="45"/>
      <w:bookmarkEnd w:id="46"/>
    </w:p>
    <w:bookmarkEnd w:id="7"/>
    <w:bookmarkEnd w:id="8"/>
    <w:bookmarkEnd w:id="9"/>
    <w:bookmarkEnd w:id="10"/>
    <w:bookmarkEnd w:id="11"/>
    <w:bookmarkEnd w:id="12"/>
    <w:bookmarkEnd w:id="13"/>
    <w:bookmarkEnd w:id="14"/>
    <w:bookmarkEnd w:id="15"/>
    <w:bookmarkEnd w:id="16"/>
    <w:bookmarkEnd w:id="17"/>
    <w:p w14:paraId="60CC5211">
      <w:pPr>
        <w:keepNext w:val="0"/>
        <w:keepLines w:val="0"/>
        <w:pageBreakBefore w:val="0"/>
        <w:widowControl/>
        <w:kinsoku/>
        <w:wordWrap/>
        <w:overflowPunct/>
        <w:topLinePunct w:val="0"/>
        <w:autoSpaceDE/>
        <w:autoSpaceDN/>
        <w:bidi w:val="0"/>
        <w:adjustRightInd/>
        <w:snapToGrid/>
        <w:spacing w:line="54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本次评价工作分为三个阶段，第一阶段为准备阶段；第二阶段为安全评价阶段；第三阶段为安全评价报告编制阶段。主要程序包括：</w:t>
      </w:r>
    </w:p>
    <w:p w14:paraId="24CC7B96">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辨识危险、有害因素</w:t>
      </w:r>
    </w:p>
    <w:p w14:paraId="4EB5F3A2">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划分评价单元</w:t>
      </w:r>
    </w:p>
    <w:p w14:paraId="452FB680">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确定安全评价方法</w:t>
      </w:r>
    </w:p>
    <w:p w14:paraId="206C4ACC">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定性、定量分析危险、有害程度</w:t>
      </w:r>
    </w:p>
    <w:p w14:paraId="76C68E8E">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分析安全条件和安全生产条件</w:t>
      </w:r>
    </w:p>
    <w:p w14:paraId="2F573814">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提出安全对策与建议</w:t>
      </w:r>
    </w:p>
    <w:p w14:paraId="4615A6D9">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整理、归纳安全评价结论</w:t>
      </w:r>
    </w:p>
    <w:p w14:paraId="6DB57675">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与建设单位交换意见</w:t>
      </w:r>
    </w:p>
    <w:p w14:paraId="3575A61D">
      <w:pPr>
        <w:keepNext w:val="0"/>
        <w:keepLines w:val="0"/>
        <w:pageBreakBefore w:val="0"/>
        <w:widowControl/>
        <w:numPr>
          <w:ilvl w:val="0"/>
          <w:numId w:val="7"/>
        </w:numPr>
        <w:kinsoku/>
        <w:wordWrap/>
        <w:overflowPunct/>
        <w:topLinePunct w:val="0"/>
        <w:autoSpaceDE/>
        <w:autoSpaceDN/>
        <w:bidi w:val="0"/>
        <w:adjustRightInd/>
        <w:snapToGrid/>
        <w:spacing w:line="520" w:lineRule="exact"/>
        <w:ind w:firstLine="560"/>
        <w:textAlignment w:val="auto"/>
        <w:rPr>
          <w:color w:val="auto"/>
        </w:rPr>
      </w:pPr>
      <w:r>
        <w:rPr>
          <w:rFonts w:hint="eastAsia" w:ascii="宋体" w:hAnsi="宋体" w:cs="宋体"/>
          <w:color w:val="auto"/>
          <w:szCs w:val="28"/>
        </w:rPr>
        <w:t>编制安全设施竣工验收安全评价报告</w:t>
      </w:r>
    </w:p>
    <w:p w14:paraId="33F4686C">
      <w:pPr>
        <w:keepNext w:val="0"/>
        <w:keepLines w:val="0"/>
        <w:pageBreakBefore w:val="0"/>
        <w:widowControl/>
        <w:kinsoku/>
        <w:wordWrap/>
        <w:overflowPunct/>
        <w:topLinePunct w:val="0"/>
        <w:autoSpaceDE/>
        <w:autoSpaceDN/>
        <w:bidi w:val="0"/>
        <w:adjustRightInd/>
        <w:snapToGrid/>
        <w:spacing w:line="520" w:lineRule="exact"/>
        <w:ind w:firstLine="560"/>
        <w:textAlignment w:val="auto"/>
        <w:rPr>
          <w:color w:val="auto"/>
        </w:rPr>
      </w:pPr>
      <w:r>
        <w:rPr>
          <w:rFonts w:hint="eastAsia"/>
          <w:color w:val="auto"/>
        </w:rPr>
        <w:t>安全评价程序如下图所示：</w:t>
      </w:r>
    </w:p>
    <w:p w14:paraId="24EF31A5">
      <w:pPr>
        <w:spacing w:line="240" w:lineRule="auto"/>
        <w:ind w:firstLine="0" w:firstLineChars="0"/>
        <w:jc w:val="center"/>
        <w:rPr>
          <w:color w:val="auto"/>
          <w:szCs w:val="28"/>
        </w:rPr>
      </w:pPr>
      <w:r>
        <w:rPr>
          <w:color w:val="auto"/>
          <w:szCs w:val="28"/>
        </w:rPr>
        <mc:AlternateContent>
          <mc:Choice Requires="wpg">
            <w:drawing>
              <wp:inline distT="0" distB="0" distL="114300" distR="114300">
                <wp:extent cx="1828800" cy="5151120"/>
                <wp:effectExtent l="4445" t="4445" r="10795" b="10795"/>
                <wp:docPr id="23" name="组合 25"/>
                <wp:cNvGraphicFramePr/>
                <a:graphic xmlns:a="http://schemas.openxmlformats.org/drawingml/2006/main">
                  <a:graphicData uri="http://schemas.microsoft.com/office/word/2010/wordprocessingGroup">
                    <wpg:wgp>
                      <wpg:cNvGrpSpPr>
                        <a:grpSpLocks noRot="1"/>
                      </wpg:cNvGrpSpPr>
                      <wpg:grpSpPr>
                        <a:xfrm>
                          <a:off x="0" y="0"/>
                          <a:ext cx="1828800" cy="5151120"/>
                          <a:chOff x="4487" y="3786"/>
                          <a:chExt cx="2880" cy="8112"/>
                        </a:xfrm>
                      </wpg:grpSpPr>
                      <wpg:grpSp>
                        <wpg:cNvPr id="3" name="组合 26"/>
                        <wpg:cNvGrpSpPr/>
                        <wpg:grpSpPr>
                          <a:xfrm>
                            <a:off x="4487" y="3786"/>
                            <a:ext cx="2880" cy="1092"/>
                            <a:chOff x="4487" y="3786"/>
                            <a:chExt cx="2880" cy="1092"/>
                          </a:xfrm>
                        </wpg:grpSpPr>
                        <wps:wsp>
                          <wps:cNvPr id="1" name="矩形 27"/>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D252252">
                                <w:pPr>
                                  <w:spacing w:line="320" w:lineRule="exact"/>
                                  <w:ind w:firstLine="0" w:firstLineChars="0"/>
                                  <w:jc w:val="center"/>
                                  <w:rPr>
                                    <w:sz w:val="21"/>
                                    <w:szCs w:val="21"/>
                                  </w:rPr>
                                </w:pPr>
                                <w:r>
                                  <w:rPr>
                                    <w:rFonts w:hint="eastAsia"/>
                                    <w:sz w:val="21"/>
                                    <w:szCs w:val="21"/>
                                  </w:rPr>
                                  <w:t>前期准备</w:t>
                                </w:r>
                              </w:p>
                            </w:txbxContent>
                          </wps:txbx>
                          <wps:bodyPr wrap="square" upright="1"/>
                        </wps:wsp>
                        <wps:wsp>
                          <wps:cNvPr id="2" name="直线 28"/>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6" name="组合 29"/>
                        <wpg:cNvGrpSpPr/>
                        <wpg:grpSpPr>
                          <a:xfrm>
                            <a:off x="4487" y="4878"/>
                            <a:ext cx="2880" cy="1092"/>
                            <a:chOff x="4487" y="3786"/>
                            <a:chExt cx="2880" cy="1092"/>
                          </a:xfrm>
                        </wpg:grpSpPr>
                        <wps:wsp>
                          <wps:cNvPr id="4" name="矩形 30"/>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F8DA30">
                                <w:pPr>
                                  <w:spacing w:line="320" w:lineRule="exact"/>
                                  <w:ind w:firstLine="0" w:firstLineChars="0"/>
                                  <w:jc w:val="center"/>
                                  <w:rPr>
                                    <w:sz w:val="21"/>
                                    <w:szCs w:val="21"/>
                                  </w:rPr>
                                </w:pPr>
                                <w:r>
                                  <w:rPr>
                                    <w:rFonts w:hint="eastAsia"/>
                                    <w:sz w:val="21"/>
                                    <w:szCs w:val="21"/>
                                  </w:rPr>
                                  <w:t>辨识与分析危险、有害因素</w:t>
                                </w:r>
                              </w:p>
                            </w:txbxContent>
                          </wps:txbx>
                          <wps:bodyPr wrap="square" upright="1"/>
                        </wps:wsp>
                        <wps:wsp>
                          <wps:cNvPr id="5" name="直线 31"/>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9" name="组合 32"/>
                        <wpg:cNvGrpSpPr/>
                        <wpg:grpSpPr>
                          <a:xfrm>
                            <a:off x="4487" y="5970"/>
                            <a:ext cx="2880" cy="1092"/>
                            <a:chOff x="4487" y="3786"/>
                            <a:chExt cx="2880" cy="1092"/>
                          </a:xfrm>
                        </wpg:grpSpPr>
                        <wps:wsp>
                          <wps:cNvPr id="7" name="矩形 33"/>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90AD31">
                                <w:pPr>
                                  <w:spacing w:line="320" w:lineRule="exact"/>
                                  <w:ind w:firstLine="0" w:firstLineChars="0"/>
                                  <w:jc w:val="center"/>
                                  <w:rPr>
                                    <w:sz w:val="21"/>
                                    <w:szCs w:val="21"/>
                                  </w:rPr>
                                </w:pPr>
                                <w:r>
                                  <w:rPr>
                                    <w:rFonts w:hint="eastAsia"/>
                                    <w:sz w:val="21"/>
                                    <w:szCs w:val="21"/>
                                  </w:rPr>
                                  <w:t>划分评价单元</w:t>
                                </w:r>
                              </w:p>
                            </w:txbxContent>
                          </wps:txbx>
                          <wps:bodyPr wrap="square" upright="1"/>
                        </wps:wsp>
                        <wps:wsp>
                          <wps:cNvPr id="8" name="直线 34"/>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12" name="组合 35"/>
                        <wpg:cNvGrpSpPr/>
                        <wpg:grpSpPr>
                          <a:xfrm>
                            <a:off x="4487" y="7062"/>
                            <a:ext cx="2880" cy="1092"/>
                            <a:chOff x="4487" y="3786"/>
                            <a:chExt cx="2880" cy="1092"/>
                          </a:xfrm>
                        </wpg:grpSpPr>
                        <wps:wsp>
                          <wps:cNvPr id="10" name="矩形 36"/>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2A54116">
                                <w:pPr>
                                  <w:spacing w:line="320" w:lineRule="exact"/>
                                  <w:ind w:firstLine="0" w:firstLineChars="0"/>
                                  <w:jc w:val="center"/>
                                  <w:rPr>
                                    <w:sz w:val="21"/>
                                    <w:szCs w:val="21"/>
                                  </w:rPr>
                                </w:pPr>
                                <w:r>
                                  <w:rPr>
                                    <w:rFonts w:hint="eastAsia"/>
                                    <w:sz w:val="21"/>
                                    <w:szCs w:val="21"/>
                                  </w:rPr>
                                  <w:t>选择评价方法</w:t>
                                </w:r>
                              </w:p>
                            </w:txbxContent>
                          </wps:txbx>
                          <wps:bodyPr wrap="square" upright="1"/>
                        </wps:wsp>
                        <wps:wsp>
                          <wps:cNvPr id="11" name="直线 37"/>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15" name="组合 38"/>
                        <wpg:cNvGrpSpPr/>
                        <wpg:grpSpPr>
                          <a:xfrm>
                            <a:off x="4487" y="8154"/>
                            <a:ext cx="2880" cy="1092"/>
                            <a:chOff x="4487" y="3786"/>
                            <a:chExt cx="2880" cy="1092"/>
                          </a:xfrm>
                        </wpg:grpSpPr>
                        <wps:wsp>
                          <wps:cNvPr id="13" name="矩形 39"/>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D87078C">
                                <w:pPr>
                                  <w:spacing w:line="320" w:lineRule="exact"/>
                                  <w:ind w:firstLine="0" w:firstLineChars="0"/>
                                  <w:jc w:val="center"/>
                                  <w:rPr>
                                    <w:sz w:val="21"/>
                                    <w:szCs w:val="21"/>
                                  </w:rPr>
                                </w:pPr>
                                <w:r>
                                  <w:rPr>
                                    <w:rFonts w:hint="eastAsia"/>
                                    <w:sz w:val="21"/>
                                    <w:szCs w:val="21"/>
                                  </w:rPr>
                                  <w:t>定性、定量评价</w:t>
                                </w:r>
                              </w:p>
                            </w:txbxContent>
                          </wps:txbx>
                          <wps:bodyPr wrap="square" upright="1"/>
                        </wps:wsp>
                        <wps:wsp>
                          <wps:cNvPr id="14" name="直线 40"/>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18" name="组合 41"/>
                        <wpg:cNvGrpSpPr/>
                        <wpg:grpSpPr>
                          <a:xfrm>
                            <a:off x="4487" y="9246"/>
                            <a:ext cx="2880" cy="1092"/>
                            <a:chOff x="4487" y="3786"/>
                            <a:chExt cx="2880" cy="1092"/>
                          </a:xfrm>
                        </wpg:grpSpPr>
                        <wps:wsp>
                          <wps:cNvPr id="16" name="矩形 42"/>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71CD7F">
                                <w:pPr>
                                  <w:spacing w:line="320" w:lineRule="exact"/>
                                  <w:ind w:firstLine="0" w:firstLineChars="0"/>
                                  <w:jc w:val="center"/>
                                  <w:rPr>
                                    <w:sz w:val="21"/>
                                    <w:szCs w:val="21"/>
                                  </w:rPr>
                                </w:pPr>
                                <w:r>
                                  <w:rPr>
                                    <w:rFonts w:hint="eastAsia"/>
                                    <w:sz w:val="21"/>
                                    <w:szCs w:val="21"/>
                                  </w:rPr>
                                  <w:t>提出安全对策措施建议</w:t>
                                </w:r>
                              </w:p>
                            </w:txbxContent>
                          </wps:txbx>
                          <wps:bodyPr wrap="square" upright="1"/>
                        </wps:wsp>
                        <wps:wsp>
                          <wps:cNvPr id="17" name="直线 43"/>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21" name="组合 44"/>
                        <wpg:cNvGrpSpPr/>
                        <wpg:grpSpPr>
                          <a:xfrm>
                            <a:off x="4487" y="10338"/>
                            <a:ext cx="2880" cy="1092"/>
                            <a:chOff x="4487" y="3786"/>
                            <a:chExt cx="2880" cy="1092"/>
                          </a:xfrm>
                        </wpg:grpSpPr>
                        <wps:wsp>
                          <wps:cNvPr id="19" name="矩形 45"/>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C96DF15">
                                <w:pPr>
                                  <w:spacing w:line="320" w:lineRule="exact"/>
                                  <w:ind w:firstLine="0" w:firstLineChars="0"/>
                                  <w:jc w:val="center"/>
                                  <w:rPr>
                                    <w:sz w:val="21"/>
                                    <w:szCs w:val="21"/>
                                  </w:rPr>
                                </w:pPr>
                                <w:r>
                                  <w:rPr>
                                    <w:rFonts w:hint="eastAsia"/>
                                    <w:sz w:val="21"/>
                                    <w:szCs w:val="21"/>
                                  </w:rPr>
                                  <w:t>做出评价结论</w:t>
                                </w:r>
                              </w:p>
                            </w:txbxContent>
                          </wps:txbx>
                          <wps:bodyPr wrap="square" upright="1"/>
                        </wps:wsp>
                        <wps:wsp>
                          <wps:cNvPr id="20" name="直线 46"/>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s:wsp>
                        <wps:cNvPr id="22" name="矩形 47"/>
                        <wps:cNvSpPr/>
                        <wps:spPr>
                          <a:xfrm>
                            <a:off x="4487" y="11430"/>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36FA98">
                              <w:pPr>
                                <w:spacing w:line="240" w:lineRule="auto"/>
                                <w:ind w:firstLine="0" w:firstLineChars="0"/>
                                <w:jc w:val="center"/>
                                <w:rPr>
                                  <w:rFonts w:hint="eastAsia" w:eastAsia="宋体"/>
                                  <w:lang w:eastAsia="zh-CN"/>
                                </w:rPr>
                              </w:pPr>
                              <w:r>
                                <w:rPr>
                                  <w:rFonts w:hint="eastAsia"/>
                                  <w:sz w:val="21"/>
                                  <w:szCs w:val="21"/>
                                </w:rPr>
                                <w:t>编制</w:t>
                              </w:r>
                              <w:r>
                                <w:rPr>
                                  <w:rFonts w:hint="eastAsia"/>
                                  <w:sz w:val="21"/>
                                  <w:szCs w:val="21"/>
                                  <w:lang w:eastAsia="zh-CN"/>
                                </w:rPr>
                                <w:t>安全验收评价报告</w:t>
                              </w:r>
                            </w:p>
                          </w:txbxContent>
                        </wps:txbx>
                        <wps:bodyPr wrap="square" upright="1"/>
                      </wps:wsp>
                    </wpg:wgp>
                  </a:graphicData>
                </a:graphic>
              </wp:inline>
            </w:drawing>
          </mc:Choice>
          <mc:Fallback>
            <w:pict>
              <v:group id="组合 25" o:spid="_x0000_s1026" o:spt="203" style="height:405.6pt;width:144pt;" coordorigin="4487,3786" coordsize="2880,8112" o:gfxdata="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">
                <o:lock v:ext="edit" rotation="t" aspectratio="f"/>
                <v:group id="组合 26" o:spid="_x0000_s1026" o:spt="203" style="position:absolute;left:4487;top:3786;height:1092;width:2880;" coordorigin="4487,3786" coordsize="2880,1092"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rect id="矩形 27" o:spid="_x0000_s1026" o:spt="1" style="position:absolute;left:4487;top:3786;height:468;width:2880;"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14:paraId="6D252252">
                          <w:pPr>
                            <w:spacing w:line="320" w:lineRule="exact"/>
                            <w:ind w:firstLine="0" w:firstLineChars="0"/>
                            <w:jc w:val="center"/>
                            <w:rPr>
                              <w:sz w:val="21"/>
                              <w:szCs w:val="21"/>
                            </w:rPr>
                          </w:pPr>
                          <w:r>
                            <w:rPr>
                              <w:rFonts w:hint="eastAsia"/>
                              <w:sz w:val="21"/>
                              <w:szCs w:val="21"/>
                            </w:rPr>
                            <w:t>前期准备</w:t>
                          </w:r>
                        </w:p>
                      </w:txbxContent>
                    </v:textbox>
                  </v:rect>
                  <v:line id="直线 28" o:spid="_x0000_s1026" o:spt="20" style="position:absolute;left:5927;top:4254;height:624;width:0;" filled="f" stroked="t" coordsize="21600,21600" o:gfxdata="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ZBma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group id="组合 29" o:spid="_x0000_s1026" o:spt="203" style="position:absolute;left:4487;top:4878;height:1092;width:2880;" coordorigin="4487,3786" coordsize="2880,1092" o:gfxdata="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CDXDL0AAADaAAAADwAAAAAAAAABACAAAAAiAAAAZHJzL2Rvd25yZXYueG1s&#10;UEsBAhQAFAAAAAgAh07iQDMvBZ47AAAAOQAAABUAAAAAAAAAAQAgAAAADAEAAGRycy9ncm91cHNo&#10;YXBleG1sLnhtbFBLBQYAAAAABgAGAGABAADJAwAAAAA=&#10;">
                  <o:lock v:ext="edit" aspectratio="f"/>
                  <v:rect id="矩形 30" o:spid="_x0000_s1026" o:spt="1" style="position:absolute;left:4487;top:3786;height:468;width:288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8F8DA30">
                          <w:pPr>
                            <w:spacing w:line="320" w:lineRule="exact"/>
                            <w:ind w:firstLine="0" w:firstLineChars="0"/>
                            <w:jc w:val="center"/>
                            <w:rPr>
                              <w:sz w:val="21"/>
                              <w:szCs w:val="21"/>
                            </w:rPr>
                          </w:pPr>
                          <w:r>
                            <w:rPr>
                              <w:rFonts w:hint="eastAsia"/>
                              <w:sz w:val="21"/>
                              <w:szCs w:val="21"/>
                            </w:rPr>
                            <w:t>辨识与分析危险、有害因素</w:t>
                          </w:r>
                        </w:p>
                      </w:txbxContent>
                    </v:textbox>
                  </v:rect>
                  <v:line id="直线 31" o:spid="_x0000_s1026" o:spt="20" style="position:absolute;left:5927;top:4254;height:624;width:0;" filled="f" stroked="t" coordsize="21600,21600" o:gfxdata="UEsDBAoAAAAAAIdO4kAAAAAAAAAAAAAAAAAEAAAAZHJzL1BLAwQUAAAACACHTuJABnn+Hb4AAADa&#10;AAAADwAAAGRycy9kb3ducmV2LnhtbEWPT2vCQBTE74V+h+UVvNVNBCW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n+H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group id="组合 32" o:spid="_x0000_s1026" o:spt="203" style="position:absolute;left:4487;top:5970;height:1092;width:2880;" coordorigin="4487,3786" coordsize="2880,1092"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rect id="矩形 33" o:spid="_x0000_s1026" o:spt="1" style="position:absolute;left:4487;top:3786;height:468;width:2880;" fillcolor="#FFFFFF" filled="t" stroked="t" coordsize="21600,21600" o:gfxdata="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xaGm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E90AD31">
                          <w:pPr>
                            <w:spacing w:line="320" w:lineRule="exact"/>
                            <w:ind w:firstLine="0" w:firstLineChars="0"/>
                            <w:jc w:val="center"/>
                            <w:rPr>
                              <w:sz w:val="21"/>
                              <w:szCs w:val="21"/>
                            </w:rPr>
                          </w:pPr>
                          <w:r>
                            <w:rPr>
                              <w:rFonts w:hint="eastAsia"/>
                              <w:sz w:val="21"/>
                              <w:szCs w:val="21"/>
                            </w:rPr>
                            <w:t>划分评价单元</w:t>
                          </w:r>
                        </w:p>
                      </w:txbxContent>
                    </v:textbox>
                  </v:rect>
                  <v:line id="直线 34" o:spid="_x0000_s1026" o:spt="20" style="position:absolute;left:5927;top:4254;height:624;width:0;" filled="f" stroked="t" coordsize="21600,21600" o:gfxdata="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eFGD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group>
                <v:group id="组合 35" o:spid="_x0000_s1026" o:spt="203" style="position:absolute;left:4487;top:7062;height:1092;width:2880;" coordorigin="4487,3786" coordsize="2880,1092"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rect id="矩形 36" o:spid="_x0000_s1026" o:spt="1" style="position:absolute;left:4487;top:3786;height:468;width:2880;" fillcolor="#FFFFFF" filled="t" stroked="t" coordsize="21600,21600" o:gfxdata="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cHpG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2A54116">
                          <w:pPr>
                            <w:spacing w:line="320" w:lineRule="exact"/>
                            <w:ind w:firstLine="0" w:firstLineChars="0"/>
                            <w:jc w:val="center"/>
                            <w:rPr>
                              <w:sz w:val="21"/>
                              <w:szCs w:val="21"/>
                            </w:rPr>
                          </w:pPr>
                          <w:r>
                            <w:rPr>
                              <w:rFonts w:hint="eastAsia"/>
                              <w:sz w:val="21"/>
                              <w:szCs w:val="21"/>
                            </w:rPr>
                            <w:t>选择评价方法</w:t>
                          </w:r>
                        </w:p>
                      </w:txbxContent>
                    </v:textbox>
                  </v:rect>
                  <v:line id="直线 37" o:spid="_x0000_s1026" o:spt="20" style="position:absolute;left:5927;top:4254;height:624;width: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id="组合 38" o:spid="_x0000_s1026" o:spt="203" style="position:absolute;left:4487;top:8154;height:1092;width:2880;" coordorigin="4487,3786" coordsize="2880,1092"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rect id="矩形 39" o:spid="_x0000_s1026" o:spt="1" style="position:absolute;left:4487;top:3786;height:468;width:2880;" fillcolor="#FFFFFF" filled="t" stroked="t" coordsize="21600,21600" o:gfxdata="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ToDm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2D87078C">
                          <w:pPr>
                            <w:spacing w:line="320" w:lineRule="exact"/>
                            <w:ind w:firstLine="0" w:firstLineChars="0"/>
                            <w:jc w:val="center"/>
                            <w:rPr>
                              <w:sz w:val="21"/>
                              <w:szCs w:val="21"/>
                            </w:rPr>
                          </w:pPr>
                          <w:r>
                            <w:rPr>
                              <w:rFonts w:hint="eastAsia"/>
                              <w:sz w:val="21"/>
                              <w:szCs w:val="21"/>
                            </w:rPr>
                            <w:t>定性、定量评价</w:t>
                          </w:r>
                        </w:p>
                      </w:txbxContent>
                    </v:textbox>
                  </v:rect>
                  <v:line id="直线 40" o:spid="_x0000_s1026" o:spt="20" style="position:absolute;left:5927;top:4254;height:624;width:0;" filled="f" stroked="t" coordsize="21600,2160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group>
                <v:group id="组合 41" o:spid="_x0000_s1026" o:spt="203" style="position:absolute;left:4487;top:9246;height:1092;width:2880;" coordorigin="4487,3786" coordsize="2880,109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rect id="矩形 42" o:spid="_x0000_s1026" o:spt="1" style="position:absolute;left:4487;top:3786;height:468;width:2880;" fillcolor="#FFFFFF" filled="t" stroked="t" coordsize="21600,21600" o:gfxdata="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OSN+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4971CD7F">
                          <w:pPr>
                            <w:spacing w:line="320" w:lineRule="exact"/>
                            <w:ind w:firstLine="0" w:firstLineChars="0"/>
                            <w:jc w:val="center"/>
                            <w:rPr>
                              <w:sz w:val="21"/>
                              <w:szCs w:val="21"/>
                            </w:rPr>
                          </w:pPr>
                          <w:r>
                            <w:rPr>
                              <w:rFonts w:hint="eastAsia"/>
                              <w:sz w:val="21"/>
                              <w:szCs w:val="21"/>
                            </w:rPr>
                            <w:t>提出安全对策措施建议</w:t>
                          </w:r>
                        </w:p>
                      </w:txbxContent>
                    </v:textbox>
                  </v:rect>
                  <v:line id="直线 43" o:spid="_x0000_s1026" o:spt="20" style="position:absolute;left:5927;top:4254;height:624;width:0;" filled="f" stroked="t" coordsize="21600,21600" o:gfxdata="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AZN+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group>
                <v:group id="组合 44" o:spid="_x0000_s1026" o:spt="203" style="position:absolute;left:4487;top:10338;height:1092;width:2880;" coordorigin="4487,3786" coordsize="2880,1092"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rect id="矩形 45" o:spid="_x0000_s1026" o:spt="1" style="position:absolute;left:4487;top:3786;height:468;width:2880;" fillcolor="#FFFFFF" filled="t" stroked="t" coordsize="21600,21600" o:gfxdata="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Ka3D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C96DF15">
                          <w:pPr>
                            <w:spacing w:line="320" w:lineRule="exact"/>
                            <w:ind w:firstLine="0" w:firstLineChars="0"/>
                            <w:jc w:val="center"/>
                            <w:rPr>
                              <w:sz w:val="21"/>
                              <w:szCs w:val="21"/>
                            </w:rPr>
                          </w:pPr>
                          <w:r>
                            <w:rPr>
                              <w:rFonts w:hint="eastAsia"/>
                              <w:sz w:val="21"/>
                              <w:szCs w:val="21"/>
                            </w:rPr>
                            <w:t>做出评价结论</w:t>
                          </w:r>
                        </w:p>
                      </w:txbxContent>
                    </v:textbox>
                  </v:rect>
                  <v:line id="直线 46" o:spid="_x0000_s1026" o:spt="20" style="position:absolute;left:5927;top:4254;height:624;width:0;" filled="f" stroked="t" coordsize="21600,21600" o:gfxdata="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FNha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group>
                <v:rect id="矩形 47" o:spid="_x0000_s1026" o:spt="1" style="position:absolute;left:4487;top:11430;height:468;width:2880;" fillcolor="#FFFFFF" filled="t" stroked="t" coordsize="21600,21600" o:gfxdata="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bu/A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736FA98">
                        <w:pPr>
                          <w:spacing w:line="240" w:lineRule="auto"/>
                          <w:ind w:firstLine="0" w:firstLineChars="0"/>
                          <w:jc w:val="center"/>
                          <w:rPr>
                            <w:rFonts w:hint="eastAsia" w:eastAsia="宋体"/>
                            <w:lang w:eastAsia="zh-CN"/>
                          </w:rPr>
                        </w:pPr>
                        <w:r>
                          <w:rPr>
                            <w:rFonts w:hint="eastAsia"/>
                            <w:sz w:val="21"/>
                            <w:szCs w:val="21"/>
                          </w:rPr>
                          <w:t>编制</w:t>
                        </w:r>
                        <w:r>
                          <w:rPr>
                            <w:rFonts w:hint="eastAsia"/>
                            <w:sz w:val="21"/>
                            <w:szCs w:val="21"/>
                            <w:lang w:eastAsia="zh-CN"/>
                          </w:rPr>
                          <w:t>安全验收评价报告</w:t>
                        </w:r>
                      </w:p>
                    </w:txbxContent>
                  </v:textbox>
                </v:rect>
                <w10:wrap type="none"/>
                <w10:anchorlock/>
              </v:group>
            </w:pict>
          </mc:Fallback>
        </mc:AlternateContent>
      </w:r>
    </w:p>
    <w:p w14:paraId="5ABB3177">
      <w:pPr>
        <w:pStyle w:val="37"/>
        <w:spacing w:line="240" w:lineRule="exact"/>
        <w:ind w:firstLine="0" w:firstLineChars="0"/>
        <w:jc w:val="center"/>
        <w:rPr>
          <w:color w:val="auto"/>
        </w:rPr>
      </w:pPr>
    </w:p>
    <w:p w14:paraId="2CF58FB7">
      <w:pPr>
        <w:widowControl w:val="0"/>
        <w:spacing w:line="240" w:lineRule="auto"/>
        <w:ind w:firstLine="0" w:firstLineChars="0"/>
        <w:jc w:val="center"/>
        <w:rPr>
          <w:rFonts w:hint="default" w:ascii="Times New Roman" w:hAnsi="Times New Roman" w:eastAsia="黑体" w:cs="Times New Roman"/>
          <w:b/>
          <w:bCs/>
          <w:color w:val="auto"/>
          <w:sz w:val="24"/>
        </w:rPr>
      </w:pPr>
      <w:r>
        <w:rPr>
          <w:rFonts w:hint="default" w:ascii="Times New Roman" w:hAnsi="Times New Roman" w:eastAsia="黑体" w:cs="Times New Roman"/>
          <w:b/>
          <w:bCs/>
          <w:color w:val="auto"/>
          <w:sz w:val="21"/>
          <w:szCs w:val="21"/>
        </w:rPr>
        <w:t>图1.3-1 安全评价程序框图</w:t>
      </w:r>
    </w:p>
    <w:p w14:paraId="340671CD">
      <w:pPr>
        <w:pStyle w:val="37"/>
        <w:ind w:firstLine="360"/>
        <w:rPr>
          <w:rFonts w:hint="default" w:ascii="Times New Roman" w:hAnsi="Times New Roman" w:cs="Times New Roman"/>
          <w:color w:val="auto"/>
        </w:rPr>
        <w:sectPr>
          <w:footerReference r:id="rId11" w:type="default"/>
          <w:pgSz w:w="11905" w:h="16838"/>
          <w:pgMar w:top="1417" w:right="1134" w:bottom="1236" w:left="1588" w:header="850" w:footer="986" w:gutter="0"/>
          <w:pgBorders>
            <w:top w:val="none" w:sz="0" w:space="0"/>
            <w:left w:val="none" w:sz="0" w:space="0"/>
            <w:bottom w:val="none" w:sz="0" w:space="0"/>
            <w:right w:val="none" w:sz="0" w:space="0"/>
          </w:pgBorders>
          <w:pgNumType w:fmt="decimal" w:start="1"/>
          <w:cols w:space="0" w:num="1"/>
          <w:rtlGutter w:val="0"/>
          <w:docGrid w:linePitch="312" w:charSpace="0"/>
        </w:sectPr>
      </w:pPr>
    </w:p>
    <w:p w14:paraId="3FF8A2D4">
      <w:pPr>
        <w:pStyle w:val="3"/>
        <w:spacing w:line="360" w:lineRule="auto"/>
        <w:rPr>
          <w:color w:val="auto"/>
        </w:rPr>
      </w:pPr>
      <w:bookmarkStart w:id="47" w:name="_Toc16146"/>
      <w:bookmarkStart w:id="48" w:name="_Toc8322"/>
      <w:bookmarkStart w:id="49" w:name="_Toc19419"/>
      <w:bookmarkStart w:id="50" w:name="_Toc14590"/>
      <w:bookmarkStart w:id="51" w:name="_Toc10057"/>
      <w:bookmarkStart w:id="52" w:name="_Toc4843"/>
      <w:bookmarkStart w:id="53" w:name="_Toc20897"/>
      <w:bookmarkStart w:id="54" w:name="_Toc16943"/>
      <w:r>
        <w:rPr>
          <w:rFonts w:hint="eastAsia"/>
          <w:color w:val="auto"/>
        </w:rPr>
        <w:t xml:space="preserve">第二章 </w:t>
      </w:r>
      <w:bookmarkEnd w:id="47"/>
      <w:bookmarkEnd w:id="48"/>
      <w:bookmarkEnd w:id="49"/>
      <w:bookmarkEnd w:id="50"/>
      <w:bookmarkEnd w:id="51"/>
      <w:r>
        <w:rPr>
          <w:rFonts w:hint="eastAsia"/>
          <w:color w:val="auto"/>
        </w:rPr>
        <w:t>建设项目概况</w:t>
      </w:r>
      <w:bookmarkEnd w:id="52"/>
      <w:bookmarkEnd w:id="53"/>
      <w:bookmarkEnd w:id="54"/>
    </w:p>
    <w:p w14:paraId="445B2244">
      <w:pPr>
        <w:pStyle w:val="4"/>
        <w:spacing w:line="360" w:lineRule="auto"/>
        <w:jc w:val="both"/>
        <w:rPr>
          <w:rFonts w:hint="eastAsia" w:ascii="楷体" w:hAnsi="楷体" w:eastAsia="楷体"/>
          <w:color w:val="auto"/>
          <w:lang w:val="en-US" w:eastAsia="zh-CN"/>
        </w:rPr>
      </w:pPr>
      <w:bookmarkStart w:id="55" w:name="_Toc14024"/>
      <w:bookmarkStart w:id="56" w:name="_Toc12532"/>
      <w:bookmarkStart w:id="57" w:name="_Toc11525"/>
      <w:bookmarkStart w:id="58" w:name="_Toc182584447"/>
      <w:bookmarkStart w:id="59" w:name="_Toc178832283"/>
      <w:bookmarkStart w:id="60" w:name="_Toc186440681"/>
      <w:bookmarkStart w:id="61" w:name="_Toc15776"/>
      <w:bookmarkStart w:id="62" w:name="_Toc22389"/>
      <w:bookmarkStart w:id="63" w:name="_Toc28500"/>
      <w:bookmarkStart w:id="64" w:name="_Toc22082"/>
      <w:bookmarkStart w:id="65" w:name="_Toc15203"/>
      <w:bookmarkStart w:id="66" w:name="_Toc5115"/>
      <w:bookmarkStart w:id="67" w:name="_Toc32692"/>
      <w:bookmarkStart w:id="68" w:name="_Toc17661"/>
      <w:bookmarkStart w:id="69" w:name="_Toc12603"/>
      <w:bookmarkStart w:id="70" w:name="_Toc12617"/>
      <w:bookmarkStart w:id="71" w:name="_Toc306281990"/>
      <w:bookmarkStart w:id="72" w:name="_Toc4614"/>
      <w:bookmarkStart w:id="73" w:name="_Toc6198"/>
      <w:bookmarkStart w:id="74" w:name="_Toc237773299"/>
      <w:bookmarkStart w:id="75" w:name="_Toc99152309"/>
      <w:bookmarkStart w:id="76" w:name="_Toc98014209"/>
      <w:bookmarkStart w:id="77" w:name="_Toc98049556"/>
      <w:bookmarkStart w:id="78" w:name="_Toc98048952"/>
      <w:bookmarkStart w:id="79" w:name="_Toc102566570"/>
      <w:bookmarkStart w:id="80" w:name="_Toc101770232"/>
      <w:bookmarkStart w:id="81" w:name="_Toc98013858"/>
      <w:bookmarkStart w:id="82" w:name="_Toc99151486"/>
      <w:bookmarkStart w:id="83" w:name="_Toc99189606"/>
      <w:bookmarkStart w:id="84" w:name="_Toc101770425"/>
      <w:bookmarkStart w:id="85" w:name="_Toc99150656"/>
      <w:bookmarkStart w:id="86" w:name="_Toc136416406"/>
      <w:bookmarkStart w:id="87" w:name="_Toc126030407"/>
      <w:bookmarkStart w:id="88" w:name="_Toc134746347"/>
      <w:bookmarkStart w:id="89" w:name="_Toc99151694"/>
      <w:bookmarkStart w:id="90" w:name="_Toc98063264"/>
      <w:r>
        <w:rPr>
          <w:rFonts w:hint="eastAsia" w:ascii="Times New Roman" w:hAnsi="Times New Roman"/>
          <w:color w:val="auto"/>
        </w:rPr>
        <w:t>2</w:t>
      </w:r>
      <w:r>
        <w:rPr>
          <w:rFonts w:hint="eastAsia" w:ascii="楷体" w:hAnsi="楷体"/>
          <w:color w:val="auto"/>
        </w:rPr>
        <w:t>.</w:t>
      </w:r>
      <w:r>
        <w:rPr>
          <w:rFonts w:hint="eastAsia" w:ascii="Times New Roman" w:hAnsi="Times New Roman"/>
          <w:color w:val="auto"/>
        </w:rPr>
        <w:t>1</w:t>
      </w:r>
      <w:r>
        <w:rPr>
          <w:rFonts w:hint="eastAsia" w:ascii="楷体" w:hAnsi="楷体"/>
          <w:color w:val="auto"/>
        </w:rPr>
        <w:t>建设单位</w:t>
      </w:r>
      <w:bookmarkEnd w:id="55"/>
      <w:bookmarkEnd w:id="56"/>
      <w:bookmarkEnd w:id="57"/>
      <w:bookmarkEnd w:id="58"/>
      <w:bookmarkEnd w:id="59"/>
      <w:bookmarkEnd w:id="60"/>
      <w:bookmarkEnd w:id="61"/>
      <w:bookmarkEnd w:id="62"/>
      <w:bookmarkEnd w:id="63"/>
      <w:bookmarkEnd w:id="64"/>
      <w:bookmarkEnd w:id="65"/>
      <w:r>
        <w:rPr>
          <w:rFonts w:hint="eastAsia" w:ascii="楷体" w:hAnsi="楷体"/>
          <w:color w:val="auto"/>
          <w:lang w:val="en-US" w:eastAsia="zh-CN"/>
        </w:rPr>
        <w:t>概况</w:t>
      </w:r>
      <w:bookmarkEnd w:id="66"/>
    </w:p>
    <w:p w14:paraId="5518BDFC">
      <w:pPr>
        <w:adjustRightInd w:val="0"/>
        <w:snapToGrid w:val="0"/>
        <w:spacing w:line="360" w:lineRule="auto"/>
        <w:ind w:firstLine="560"/>
        <w:rPr>
          <w:rFonts w:hint="eastAsia"/>
          <w:color w:val="auto"/>
          <w:szCs w:val="28"/>
          <w:lang w:val="en-US" w:eastAsia="zh-CN" w:bidi="ar"/>
        </w:rPr>
      </w:pPr>
      <w:r>
        <w:rPr>
          <w:rFonts w:hint="eastAsia"/>
          <w:color w:val="auto"/>
          <w:szCs w:val="28"/>
          <w:lang w:val="en-US" w:eastAsia="zh-CN" w:bidi="ar"/>
        </w:rPr>
        <w:t>建设单位：中国石化销售股份有限公司江西宜春石油分公司</w:t>
      </w:r>
    </w:p>
    <w:p w14:paraId="2B80DCDF">
      <w:pPr>
        <w:adjustRightInd w:val="0"/>
        <w:snapToGrid w:val="0"/>
        <w:spacing w:line="360" w:lineRule="auto"/>
        <w:ind w:firstLine="560"/>
        <w:rPr>
          <w:rFonts w:hint="eastAsia"/>
          <w:color w:val="auto"/>
          <w:szCs w:val="28"/>
          <w:lang w:val="en-US" w:eastAsia="zh-CN" w:bidi="ar"/>
        </w:rPr>
      </w:pPr>
      <w:r>
        <w:rPr>
          <w:rFonts w:hint="eastAsia"/>
          <w:color w:val="auto"/>
          <w:szCs w:val="28"/>
          <w:lang w:val="en-US" w:eastAsia="zh-CN" w:bidi="ar"/>
        </w:rPr>
        <w:t>成立日期：2000年12月08日</w:t>
      </w:r>
    </w:p>
    <w:p w14:paraId="30F8FA62">
      <w:pPr>
        <w:adjustRightInd w:val="0"/>
        <w:snapToGrid w:val="0"/>
        <w:spacing w:line="360" w:lineRule="auto"/>
        <w:ind w:firstLine="560"/>
        <w:rPr>
          <w:rFonts w:hint="eastAsia"/>
          <w:color w:val="auto"/>
          <w:szCs w:val="28"/>
          <w:lang w:val="en-US" w:eastAsia="zh-CN" w:bidi="ar"/>
        </w:rPr>
      </w:pPr>
      <w:r>
        <w:rPr>
          <w:rFonts w:hint="eastAsia"/>
          <w:color w:val="auto"/>
          <w:szCs w:val="28"/>
          <w:lang w:val="en-US" w:eastAsia="zh-CN" w:bidi="ar"/>
        </w:rPr>
        <w:t>企业类型：外商投资企业分公司</w:t>
      </w:r>
    </w:p>
    <w:p w14:paraId="7B92654D">
      <w:pPr>
        <w:adjustRightInd w:val="0"/>
        <w:snapToGrid w:val="0"/>
        <w:spacing w:line="360" w:lineRule="auto"/>
        <w:ind w:firstLine="560"/>
        <w:rPr>
          <w:rFonts w:hint="eastAsia"/>
          <w:color w:val="auto"/>
          <w:szCs w:val="28"/>
          <w:lang w:val="en-US" w:eastAsia="zh-CN" w:bidi="ar"/>
        </w:rPr>
      </w:pPr>
      <w:r>
        <w:rPr>
          <w:rFonts w:hint="eastAsia"/>
          <w:color w:val="auto"/>
          <w:szCs w:val="28"/>
          <w:lang w:val="en-US" w:eastAsia="zh-CN" w:bidi="ar"/>
        </w:rPr>
        <w:t>法定代表人：李晶</w:t>
      </w:r>
    </w:p>
    <w:p w14:paraId="11464059">
      <w:pPr>
        <w:adjustRightInd w:val="0"/>
        <w:snapToGrid w:val="0"/>
        <w:spacing w:line="360" w:lineRule="auto"/>
        <w:ind w:firstLine="560"/>
        <w:rPr>
          <w:rFonts w:hint="eastAsia"/>
          <w:color w:val="auto"/>
          <w:szCs w:val="28"/>
          <w:lang w:val="en-US" w:eastAsia="zh-CN" w:bidi="ar"/>
        </w:rPr>
      </w:pPr>
      <w:r>
        <w:rPr>
          <w:rFonts w:hint="eastAsia"/>
          <w:color w:val="auto"/>
          <w:szCs w:val="28"/>
          <w:lang w:val="en-US" w:eastAsia="zh-CN" w:bidi="ar"/>
        </w:rPr>
        <w:t>经营住所：江西省宜春市袁州区宜阳大道149号</w:t>
      </w:r>
    </w:p>
    <w:p w14:paraId="68CA99D5">
      <w:pPr>
        <w:adjustRightInd w:val="0"/>
        <w:snapToGrid w:val="0"/>
        <w:spacing w:line="360" w:lineRule="auto"/>
        <w:ind w:firstLine="560"/>
        <w:rPr>
          <w:rFonts w:hint="eastAsia"/>
          <w:color w:val="auto"/>
          <w:kern w:val="0"/>
          <w:szCs w:val="28"/>
          <w:lang w:val="en-US" w:eastAsia="zh-CN" w:bidi="ar"/>
        </w:rPr>
      </w:pPr>
      <w:r>
        <w:rPr>
          <w:rFonts w:hint="eastAsia"/>
          <w:color w:val="auto"/>
          <w:szCs w:val="28"/>
          <w:lang w:val="en-US" w:eastAsia="zh-CN" w:bidi="ar"/>
        </w:rPr>
        <w:t>经营范围：许可项目：成品油批发，成品油仓储，成品油零售，成品油零售（不含危险化学品），第一类增值电信业务，第二类增值电信业务，第三类医疗器械经营，出版物零售，出版物批发，保险代理业务，电子烟零售，发电业务、输电业务、供（配）电业务，互联网直播技术服务，酒类经营，食品销售,小食杂，药品零售，燃气经营，烟草制品零售，旅游业务,住宿服务，餐饮服务，港口经营，保税仓库经营，保税物流中心经营，消毒剂生产（不含危险化学品）（依法须经批准的项目，经相关部门批准后在许可有效期内方可开展经营活动，具体经营项目和许可期限以相关部门批准文件或许可证件为准）一般项目：二手车交易市场经营，第一类医疗器械销售，第二类医疗器械销售，办公设备销售，电池销售登记机关,轮胎销售，低温仓储（不含危险化学品等需许可审批的项目），电动自行车销售，电动汽车充电基础设施运营，宠物食品及用品批发，非电力家用器具制造，化妆品零售，化妆品批发，个人卫生用品销售，会议及展览服务，金银制品销售，集中式快速充电站，普通货物仓储服务（不含危险化学品等需许可审批的项目），人力资源服务（不含职业中介活动、劳务派遣服务），食品互联网销售（仅销售预包装食品），食用农产品零售，保健食品（预包装）销售，外卖递送服务，新能源汽车换电设施销售，站用加氢及储氢设施销售，钟表销售，专用化学产品制造（不含危险化学品），针纺织品销售，服装服饰零售，日用品销售，五金产品零售等。</w:t>
      </w:r>
    </w:p>
    <w:p w14:paraId="3E983FA2">
      <w:pPr>
        <w:pStyle w:val="4"/>
        <w:pageBreakBefore w:val="0"/>
        <w:widowControl/>
        <w:kinsoku/>
        <w:wordWrap/>
        <w:overflowPunct/>
        <w:topLinePunct w:val="0"/>
        <w:autoSpaceDE/>
        <w:autoSpaceDN/>
        <w:bidi w:val="0"/>
        <w:adjustRightInd/>
        <w:snapToGrid/>
        <w:spacing w:line="560" w:lineRule="exact"/>
        <w:jc w:val="both"/>
        <w:textAlignment w:val="auto"/>
        <w:rPr>
          <w:rFonts w:ascii="楷体" w:hAnsi="楷体"/>
          <w:color w:val="auto"/>
        </w:rPr>
      </w:pPr>
      <w:bookmarkStart w:id="91" w:name="_Toc8285"/>
      <w:bookmarkStart w:id="92" w:name="_Toc15821"/>
      <w:bookmarkStart w:id="93" w:name="_Toc2033"/>
      <w:bookmarkStart w:id="94" w:name="_Toc18728"/>
      <w:r>
        <w:rPr>
          <w:rFonts w:hint="eastAsia" w:ascii="Times New Roman" w:hAnsi="Times New Roman"/>
          <w:color w:val="auto"/>
        </w:rPr>
        <w:t>2</w:t>
      </w:r>
      <w:r>
        <w:rPr>
          <w:rFonts w:hint="eastAsia" w:ascii="楷体" w:hAnsi="楷体"/>
          <w:color w:val="auto"/>
        </w:rPr>
        <w:t>.</w:t>
      </w:r>
      <w:r>
        <w:rPr>
          <w:rFonts w:hint="eastAsia" w:ascii="Times New Roman" w:hAnsi="Times New Roman"/>
          <w:color w:val="auto"/>
        </w:rPr>
        <w:t>2</w:t>
      </w:r>
      <w:r>
        <w:rPr>
          <w:rFonts w:hint="eastAsia" w:ascii="楷体" w:hAnsi="楷体"/>
          <w:color w:val="auto"/>
        </w:rPr>
        <w:t>建设项目概况</w:t>
      </w:r>
      <w:bookmarkEnd w:id="67"/>
      <w:bookmarkEnd w:id="68"/>
      <w:bookmarkEnd w:id="69"/>
      <w:bookmarkEnd w:id="70"/>
      <w:bookmarkEnd w:id="71"/>
      <w:bookmarkEnd w:id="72"/>
      <w:bookmarkEnd w:id="73"/>
      <w:bookmarkEnd w:id="74"/>
      <w:bookmarkEnd w:id="91"/>
      <w:bookmarkEnd w:id="92"/>
      <w:bookmarkEnd w:id="93"/>
      <w:bookmarkEnd w:id="94"/>
    </w:p>
    <w:p w14:paraId="36000E27">
      <w:pPr>
        <w:pageBreakBefore w:val="0"/>
        <w:widowControl/>
        <w:kinsoku/>
        <w:wordWrap/>
        <w:overflowPunct/>
        <w:topLinePunct w:val="0"/>
        <w:autoSpaceDE/>
        <w:autoSpaceDN/>
        <w:bidi w:val="0"/>
        <w:adjustRightInd/>
        <w:snapToGrid/>
        <w:spacing w:line="560" w:lineRule="exact"/>
        <w:ind w:firstLine="420" w:firstLineChars="150"/>
        <w:textAlignment w:val="auto"/>
        <w:rPr>
          <w:rFonts w:hint="eastAsia" w:ascii="Times New Roman" w:hAnsi="Times New Roman" w:cs="Times New Roman"/>
          <w:color w:val="auto"/>
          <w:sz w:val="28"/>
          <w:szCs w:val="28"/>
          <w:u w:val="none"/>
          <w:lang w:val="en-US" w:eastAsia="zh-CN"/>
        </w:rPr>
      </w:pPr>
      <w:bookmarkStart w:id="95" w:name="_Toc28075"/>
      <w:bookmarkStart w:id="96" w:name="_Toc21830"/>
      <w:r>
        <w:rPr>
          <w:rFonts w:hint="eastAsia" w:ascii="Times New Roman" w:hAnsi="Times New Roman" w:cs="Times New Roman"/>
          <w:color w:val="auto"/>
          <w:sz w:val="28"/>
          <w:szCs w:val="28"/>
          <w:u w:val="none"/>
          <w:lang w:val="en-US" w:eastAsia="zh-CN"/>
        </w:rPr>
        <w:t>项目名称：中国石化销售股份有限公司江西宜春铜鼓县城加油站单罐单线改造项目</w:t>
      </w:r>
    </w:p>
    <w:p w14:paraId="7586EF0A">
      <w:pPr>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该加油站已取得成品油零售经营许可证，有效期为2023年4月</w:t>
      </w:r>
      <w:r>
        <w:rPr>
          <w:rFonts w:hint="default" w:ascii="Times New Roman" w:hAnsi="Times New Roman" w:eastAsia="宋体" w:cs="Times New Roman"/>
          <w:color w:val="auto"/>
          <w:sz w:val="28"/>
          <w:szCs w:val="28"/>
          <w:lang w:val="en-US" w:eastAsia="zh-CN"/>
        </w:rPr>
        <w:t>6日至2028年4月5日；已取得危险化学品经营许可证：</w:t>
      </w:r>
      <w:r>
        <w:rPr>
          <w:rFonts w:hint="default" w:ascii="Times New Roman" w:hAnsi="Times New Roman" w:cs="Times New Roman"/>
          <w:color w:val="auto"/>
          <w:spacing w:val="-4"/>
          <w:sz w:val="28"/>
          <w:szCs w:val="28"/>
          <w:lang w:eastAsia="zh-CN"/>
        </w:rPr>
        <w:t>赣</w:t>
      </w:r>
      <w:r>
        <w:rPr>
          <w:rFonts w:hint="default" w:ascii="Times New Roman" w:hAnsi="Times New Roman" w:cs="Times New Roman"/>
          <w:color w:val="auto"/>
          <w:spacing w:val="-4"/>
          <w:sz w:val="28"/>
          <w:szCs w:val="28"/>
          <w:lang w:val="en-US" w:eastAsia="zh-CN"/>
        </w:rPr>
        <w:t>宜危化经字</w:t>
      </w:r>
      <w:r>
        <w:rPr>
          <w:rFonts w:hint="eastAsia" w:ascii="Times New Roman" w:hAnsi="Times New Roman" w:cs="Times New Roman"/>
          <w:color w:val="auto"/>
          <w:spacing w:val="-4"/>
          <w:sz w:val="28"/>
          <w:szCs w:val="28"/>
          <w:lang w:val="en-US" w:eastAsia="zh-CN"/>
        </w:rPr>
        <w:t>[</w:t>
      </w:r>
      <w:r>
        <w:rPr>
          <w:rFonts w:hint="default" w:ascii="Times New Roman" w:hAnsi="Times New Roman" w:cs="Times New Roman"/>
          <w:color w:val="auto"/>
          <w:spacing w:val="-4"/>
          <w:sz w:val="28"/>
          <w:szCs w:val="28"/>
        </w:rPr>
        <w:t>20</w:t>
      </w:r>
      <w:r>
        <w:rPr>
          <w:rFonts w:hint="default" w:ascii="Times New Roman" w:hAnsi="Times New Roman" w:cs="Times New Roman"/>
          <w:color w:val="auto"/>
          <w:spacing w:val="-4"/>
          <w:sz w:val="28"/>
          <w:szCs w:val="28"/>
          <w:lang w:val="en-US" w:eastAsia="zh-CN"/>
        </w:rPr>
        <w:t>19</w:t>
      </w:r>
      <w:r>
        <w:rPr>
          <w:rFonts w:hint="eastAsia" w:ascii="Times New Roman" w:hAnsi="Times New Roman" w:cs="Times New Roman"/>
          <w:color w:val="auto"/>
          <w:spacing w:val="-4"/>
          <w:sz w:val="28"/>
          <w:szCs w:val="28"/>
          <w:lang w:val="en-US" w:eastAsia="zh-CN"/>
        </w:rPr>
        <w:t>]</w:t>
      </w:r>
      <w:r>
        <w:rPr>
          <w:rFonts w:hint="default" w:ascii="Times New Roman" w:hAnsi="Times New Roman" w:cs="Times New Roman"/>
          <w:color w:val="auto"/>
          <w:spacing w:val="-4"/>
          <w:sz w:val="28"/>
          <w:szCs w:val="28"/>
          <w:lang w:val="en-US" w:eastAsia="zh-CN"/>
        </w:rPr>
        <w:t>800019</w:t>
      </w:r>
      <w:r>
        <w:rPr>
          <w:rFonts w:hint="default" w:ascii="Times New Roman" w:hAnsi="Times New Roman" w:cs="Times New Roman"/>
          <w:color w:val="auto"/>
          <w:spacing w:val="-4"/>
          <w:sz w:val="28"/>
          <w:szCs w:val="28"/>
        </w:rPr>
        <w:t>号</w:t>
      </w:r>
      <w:r>
        <w:rPr>
          <w:rFonts w:hint="default" w:ascii="Times New Roman" w:hAnsi="Times New Roman" w:cs="Times New Roman"/>
          <w:color w:val="auto"/>
          <w:spacing w:val="-4"/>
          <w:sz w:val="28"/>
          <w:szCs w:val="28"/>
          <w:lang w:eastAsia="zh-CN"/>
        </w:rPr>
        <w:t>，</w:t>
      </w:r>
      <w:r>
        <w:rPr>
          <w:rFonts w:hint="default" w:ascii="Times New Roman" w:hAnsi="Times New Roman" w:eastAsia="宋体" w:cs="Times New Roman"/>
          <w:color w:val="auto"/>
          <w:sz w:val="28"/>
          <w:szCs w:val="28"/>
          <w:lang w:val="en-US" w:eastAsia="zh-CN"/>
        </w:rPr>
        <w:t>有效期为2022年6月29日至2025年6月28日。</w:t>
      </w:r>
    </w:p>
    <w:p w14:paraId="6DBA5C6B">
      <w:pPr>
        <w:widowControl/>
        <w:spacing w:line="600" w:lineRule="exact"/>
        <w:ind w:firstLine="560" w:firstLineChars="200"/>
        <w:jc w:val="left"/>
        <w:rPr>
          <w:rFonts w:ascii="Times New Roman" w:hAnsi="Times New Roman" w:cs="Times New Roman"/>
          <w:color w:val="auto"/>
          <w:sz w:val="28"/>
          <w:szCs w:val="28"/>
          <w:u w:val="none"/>
        </w:rPr>
      </w:pPr>
      <w:r>
        <w:rPr>
          <w:rFonts w:ascii="Times New Roman" w:hAnsi="Times New Roman" w:cs="Times New Roman"/>
          <w:color w:val="auto"/>
          <w:sz w:val="28"/>
          <w:szCs w:val="28"/>
          <w:u w:val="none"/>
        </w:rPr>
        <w:t>20</w:t>
      </w:r>
      <w:r>
        <w:rPr>
          <w:rFonts w:hint="eastAsia" w:ascii="Times New Roman" w:hAnsi="Times New Roman" w:cs="Times New Roman"/>
          <w:color w:val="auto"/>
          <w:sz w:val="28"/>
          <w:szCs w:val="28"/>
          <w:u w:val="none"/>
          <w:lang w:val="en-US" w:eastAsia="zh-CN"/>
        </w:rPr>
        <w:t>07</w:t>
      </w:r>
      <w:r>
        <w:rPr>
          <w:rFonts w:ascii="Times New Roman" w:hAnsi="Times New Roman" w:cs="Times New Roman"/>
          <w:color w:val="auto"/>
          <w:sz w:val="28"/>
          <w:szCs w:val="28"/>
          <w:u w:val="none"/>
        </w:rPr>
        <w:t>年</w:t>
      </w:r>
      <w:r>
        <w:rPr>
          <w:rFonts w:hint="eastAsia" w:ascii="Times New Roman" w:hAnsi="Times New Roman" w:cs="Times New Roman"/>
          <w:color w:val="auto"/>
          <w:sz w:val="28"/>
          <w:szCs w:val="28"/>
          <w:u w:val="none"/>
          <w:lang w:val="en-US" w:eastAsia="zh-CN"/>
        </w:rPr>
        <w:t>5</w:t>
      </w:r>
      <w:r>
        <w:rPr>
          <w:rFonts w:ascii="Times New Roman" w:hAnsi="Times New Roman" w:cs="Times New Roman"/>
          <w:color w:val="auto"/>
          <w:sz w:val="28"/>
          <w:szCs w:val="28"/>
          <w:u w:val="none"/>
        </w:rPr>
        <w:t>月</w:t>
      </w:r>
      <w:r>
        <w:rPr>
          <w:rFonts w:hint="eastAsia" w:ascii="Times New Roman" w:hAnsi="Times New Roman" w:cs="Times New Roman"/>
          <w:color w:val="auto"/>
          <w:sz w:val="28"/>
          <w:szCs w:val="28"/>
          <w:u w:val="none"/>
          <w:lang w:val="en-US" w:eastAsia="zh-CN"/>
        </w:rPr>
        <w:t>1</w:t>
      </w:r>
      <w:r>
        <w:rPr>
          <w:rFonts w:hint="eastAsia" w:ascii="Times New Roman" w:hAnsi="Times New Roman" w:cs="Times New Roman"/>
          <w:color w:val="auto"/>
          <w:sz w:val="28"/>
          <w:szCs w:val="28"/>
          <w:u w:val="none"/>
        </w:rPr>
        <w:t>7</w:t>
      </w:r>
      <w:r>
        <w:rPr>
          <w:rFonts w:ascii="Times New Roman" w:hAnsi="Times New Roman" w:cs="Times New Roman"/>
          <w:color w:val="auto"/>
          <w:sz w:val="28"/>
          <w:szCs w:val="28"/>
          <w:u w:val="none"/>
        </w:rPr>
        <w:t>日取得</w:t>
      </w:r>
      <w:r>
        <w:rPr>
          <w:rFonts w:hint="eastAsia" w:ascii="Times New Roman" w:hAnsi="Times New Roman" w:cs="Times New Roman"/>
          <w:color w:val="auto"/>
          <w:sz w:val="28"/>
          <w:szCs w:val="28"/>
          <w:u w:val="none"/>
          <w:lang w:val="en-US" w:eastAsia="zh-CN"/>
        </w:rPr>
        <w:t>铜鼓县人民政府和铜鼓县国土资源局共同</w:t>
      </w:r>
      <w:r>
        <w:rPr>
          <w:rFonts w:ascii="Times New Roman" w:hAnsi="Times New Roman" w:cs="Times New Roman"/>
          <w:color w:val="auto"/>
          <w:sz w:val="28"/>
          <w:szCs w:val="28"/>
          <w:u w:val="none"/>
        </w:rPr>
        <w:t>颁发的</w:t>
      </w:r>
      <w:r>
        <w:rPr>
          <w:rFonts w:hint="eastAsia" w:ascii="Times New Roman" w:hAnsi="Times New Roman" w:cs="Times New Roman"/>
          <w:color w:val="auto"/>
          <w:sz w:val="28"/>
          <w:szCs w:val="28"/>
          <w:u w:val="none"/>
          <w:lang w:val="en-US" w:eastAsia="zh-CN"/>
        </w:rPr>
        <w:t>土地</w:t>
      </w:r>
      <w:r>
        <w:rPr>
          <w:rFonts w:ascii="Times New Roman" w:hAnsi="Times New Roman" w:cs="Times New Roman"/>
          <w:color w:val="auto"/>
          <w:sz w:val="28"/>
          <w:szCs w:val="28"/>
          <w:u w:val="none"/>
        </w:rPr>
        <w:t>证（</w:t>
      </w:r>
      <w:r>
        <w:rPr>
          <w:rFonts w:hint="eastAsia" w:ascii="Times New Roman" w:hAnsi="Times New Roman" w:cs="Times New Roman"/>
          <w:color w:val="auto"/>
          <w:sz w:val="28"/>
          <w:szCs w:val="28"/>
          <w:u w:val="none"/>
          <w:lang w:val="en-US" w:eastAsia="zh-CN"/>
        </w:rPr>
        <w:t>铜土国用</w:t>
      </w:r>
      <w:r>
        <w:rPr>
          <w:rFonts w:hint="eastAsia" w:ascii="Times New Roman" w:hAnsi="Times New Roman" w:cs="Times New Roman"/>
          <w:color w:val="auto"/>
          <w:sz w:val="28"/>
          <w:szCs w:val="28"/>
          <w:u w:val="none"/>
          <w:lang w:eastAsia="zh-CN"/>
        </w:rPr>
        <w:t>（</w:t>
      </w:r>
      <w:r>
        <w:rPr>
          <w:rFonts w:hint="eastAsia" w:ascii="Times New Roman" w:hAnsi="Times New Roman" w:cs="Times New Roman"/>
          <w:color w:val="auto"/>
          <w:sz w:val="28"/>
          <w:szCs w:val="28"/>
          <w:u w:val="none"/>
          <w:lang w:val="en-US" w:eastAsia="zh-CN"/>
        </w:rPr>
        <w:t>2007</w:t>
      </w:r>
      <w:r>
        <w:rPr>
          <w:rFonts w:hint="eastAsia" w:ascii="Times New Roman" w:hAnsi="Times New Roman" w:cs="Times New Roman"/>
          <w:color w:val="auto"/>
          <w:sz w:val="28"/>
          <w:szCs w:val="28"/>
          <w:u w:val="none"/>
          <w:lang w:eastAsia="zh-CN"/>
        </w:rPr>
        <w:t>）</w:t>
      </w:r>
      <w:r>
        <w:rPr>
          <w:rFonts w:ascii="Times New Roman" w:hAnsi="Times New Roman" w:cs="Times New Roman"/>
          <w:color w:val="auto"/>
          <w:sz w:val="28"/>
          <w:szCs w:val="28"/>
          <w:u w:val="none"/>
        </w:rPr>
        <w:t>第</w:t>
      </w:r>
      <w:r>
        <w:rPr>
          <w:rFonts w:hint="eastAsia" w:ascii="Times New Roman" w:hAnsi="Times New Roman" w:cs="Times New Roman"/>
          <w:color w:val="auto"/>
          <w:sz w:val="28"/>
          <w:szCs w:val="28"/>
          <w:u w:val="none"/>
          <w:lang w:val="en-US" w:eastAsia="zh-CN"/>
        </w:rPr>
        <w:t>163</w:t>
      </w:r>
      <w:r>
        <w:rPr>
          <w:rFonts w:ascii="Times New Roman" w:hAnsi="Times New Roman" w:cs="Times New Roman"/>
          <w:color w:val="auto"/>
          <w:sz w:val="28"/>
          <w:szCs w:val="28"/>
          <w:u w:val="none"/>
        </w:rPr>
        <w:t>号），土地用途：加油站用地。</w:t>
      </w:r>
    </w:p>
    <w:p w14:paraId="25876504">
      <w:pPr>
        <w:widowControl/>
        <w:spacing w:line="600" w:lineRule="exact"/>
        <w:ind w:firstLine="560" w:firstLineChars="200"/>
        <w:jc w:val="left"/>
        <w:rPr>
          <w:rFonts w:ascii="Times New Roman" w:hAnsi="Times New Roman" w:cs="Times New Roman"/>
          <w:color w:val="auto"/>
          <w:sz w:val="28"/>
          <w:szCs w:val="28"/>
        </w:rPr>
      </w:pPr>
      <w:r>
        <w:rPr>
          <w:rFonts w:ascii="Times New Roman" w:hAnsi="Times New Roman" w:cs="Times New Roman"/>
          <w:color w:val="auto"/>
          <w:sz w:val="28"/>
          <w:szCs w:val="28"/>
        </w:rPr>
        <w:t>202</w:t>
      </w:r>
      <w:r>
        <w:rPr>
          <w:rFonts w:hint="eastAsia" w:ascii="Times New Roman" w:hAnsi="Times New Roman" w:cs="Times New Roman"/>
          <w:color w:val="auto"/>
          <w:sz w:val="28"/>
          <w:szCs w:val="28"/>
          <w:lang w:val="en-US" w:eastAsia="zh-CN"/>
        </w:rPr>
        <w:t>4</w:t>
      </w:r>
      <w:r>
        <w:rPr>
          <w:rFonts w:ascii="Times New Roman" w:hAnsi="Times New Roman" w:cs="Times New Roman"/>
          <w:color w:val="auto"/>
          <w:sz w:val="28"/>
          <w:szCs w:val="28"/>
        </w:rPr>
        <w:t>年</w:t>
      </w:r>
      <w:r>
        <w:rPr>
          <w:rFonts w:hint="eastAsia" w:ascii="Times New Roman" w:hAnsi="Times New Roman" w:cs="Times New Roman"/>
          <w:color w:val="auto"/>
          <w:sz w:val="28"/>
          <w:szCs w:val="28"/>
          <w:lang w:val="en-US" w:eastAsia="zh-CN"/>
        </w:rPr>
        <w:t>5</w:t>
      </w:r>
      <w:r>
        <w:rPr>
          <w:rFonts w:ascii="Times New Roman" w:hAnsi="Times New Roman" w:cs="Times New Roman"/>
          <w:color w:val="auto"/>
          <w:sz w:val="28"/>
          <w:szCs w:val="28"/>
        </w:rPr>
        <w:t>月</w:t>
      </w:r>
      <w:r>
        <w:rPr>
          <w:rFonts w:hint="eastAsia" w:ascii="Times New Roman" w:hAnsi="Times New Roman" w:cs="Times New Roman"/>
          <w:color w:val="auto"/>
          <w:sz w:val="28"/>
          <w:szCs w:val="28"/>
          <w:lang w:val="en-US" w:eastAsia="zh-CN"/>
        </w:rPr>
        <w:t>18</w:t>
      </w:r>
      <w:r>
        <w:rPr>
          <w:rFonts w:ascii="Times New Roman" w:hAnsi="Times New Roman" w:cs="Times New Roman"/>
          <w:color w:val="auto"/>
          <w:sz w:val="28"/>
          <w:szCs w:val="28"/>
        </w:rPr>
        <w:t>日</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取得江西石油分公司批复的关于宜春铜鼓县城加油站隐患统筹改造的批复</w:t>
      </w:r>
      <w:r>
        <w:rPr>
          <w:rFonts w:ascii="Times New Roman" w:hAnsi="Times New Roman" w:cs="Times New Roman"/>
          <w:color w:val="auto"/>
          <w:sz w:val="28"/>
          <w:szCs w:val="28"/>
        </w:rPr>
        <w:t>（</w:t>
      </w:r>
      <w:r>
        <w:rPr>
          <w:rFonts w:hint="eastAsia" w:ascii="Times New Roman" w:hAnsi="Times New Roman" w:cs="Times New Roman"/>
          <w:color w:val="auto"/>
          <w:sz w:val="28"/>
          <w:szCs w:val="28"/>
          <w:lang w:val="en-US" w:eastAsia="zh-CN"/>
        </w:rPr>
        <w:t>文号</w:t>
      </w:r>
      <w:r>
        <w:rPr>
          <w:rFonts w:ascii="Times New Roman" w:hAnsi="Times New Roman" w:cs="Times New Roman"/>
          <w:color w:val="auto"/>
          <w:sz w:val="28"/>
          <w:szCs w:val="28"/>
        </w:rPr>
        <w:t>：</w:t>
      </w:r>
      <w:r>
        <w:rPr>
          <w:rFonts w:hint="eastAsia" w:ascii="Times New Roman" w:hAnsi="Times New Roman" w:cs="Times New Roman"/>
          <w:color w:val="auto"/>
          <w:sz w:val="28"/>
          <w:szCs w:val="28"/>
        </w:rPr>
        <w:t>石化销售赣发〔2024〕395 号</w:t>
      </w:r>
      <w:r>
        <w:rPr>
          <w:rFonts w:ascii="Times New Roman" w:hAnsi="Times New Roman" w:cs="Times New Roman"/>
          <w:color w:val="auto"/>
          <w:sz w:val="28"/>
          <w:szCs w:val="28"/>
        </w:rPr>
        <w:t>）。</w:t>
      </w:r>
    </w:p>
    <w:p w14:paraId="58B5D886">
      <w:pPr>
        <w:pStyle w:val="155"/>
        <w:spacing w:line="600" w:lineRule="exact"/>
        <w:ind w:firstLine="560" w:firstLineChars="200"/>
        <w:jc w:val="both"/>
        <w:rPr>
          <w:rFonts w:hint="eastAsia" w:ascii="Times New Roman" w:cs="Times New Roman"/>
          <w:color w:val="auto"/>
          <w:sz w:val="28"/>
          <w:szCs w:val="28"/>
          <w:lang w:val="en-US" w:eastAsia="zh-CN"/>
        </w:rPr>
      </w:pPr>
      <w:r>
        <w:rPr>
          <w:rFonts w:ascii="Times New Roman" w:hAnsi="Times New Roman" w:cs="Times New Roman"/>
          <w:color w:val="auto"/>
          <w:sz w:val="28"/>
          <w:szCs w:val="28"/>
        </w:rPr>
        <w:t>20</w:t>
      </w:r>
      <w:r>
        <w:rPr>
          <w:rFonts w:hint="eastAsia" w:ascii="Times New Roman" w:hAnsi="Times New Roman" w:cs="Times New Roman"/>
          <w:color w:val="auto"/>
          <w:sz w:val="28"/>
          <w:szCs w:val="28"/>
          <w:lang w:val="en-US" w:eastAsia="zh-CN"/>
        </w:rPr>
        <w:t>07</w:t>
      </w:r>
      <w:r>
        <w:rPr>
          <w:rFonts w:ascii="Times New Roman" w:hAnsi="Times New Roman" w:cs="Times New Roman"/>
          <w:color w:val="auto"/>
          <w:sz w:val="28"/>
          <w:szCs w:val="28"/>
        </w:rPr>
        <w:t>年01月</w:t>
      </w:r>
      <w:r>
        <w:rPr>
          <w:rFonts w:hint="eastAsia" w:ascii="Times New Roman" w:hAnsi="Times New Roman" w:cs="Times New Roman"/>
          <w:color w:val="auto"/>
          <w:sz w:val="28"/>
          <w:szCs w:val="28"/>
          <w:lang w:val="en-US" w:eastAsia="zh-CN"/>
        </w:rPr>
        <w:t>17</w:t>
      </w:r>
      <w:r>
        <w:rPr>
          <w:rFonts w:ascii="Times New Roman" w:hAnsi="Times New Roman" w:cs="Times New Roman"/>
          <w:color w:val="auto"/>
          <w:sz w:val="28"/>
          <w:szCs w:val="28"/>
        </w:rPr>
        <w:t>日</w:t>
      </w:r>
      <w:r>
        <w:rPr>
          <w:rFonts w:hint="eastAsia" w:ascii="Times New Roman" w:cs="Times New Roman"/>
          <w:color w:val="auto"/>
          <w:sz w:val="28"/>
          <w:szCs w:val="28"/>
          <w:lang w:eastAsia="zh-CN"/>
        </w:rPr>
        <w:t>，</w:t>
      </w:r>
      <w:r>
        <w:rPr>
          <w:rFonts w:hint="eastAsia" w:ascii="Times New Roman" w:cs="Times New Roman"/>
          <w:color w:val="auto"/>
          <w:sz w:val="28"/>
          <w:szCs w:val="28"/>
          <w:lang w:val="en-US" w:eastAsia="zh-CN"/>
        </w:rPr>
        <w:t>取得铜鼓县公安消防大队颁发</w:t>
      </w:r>
      <w:r>
        <w:rPr>
          <w:rFonts w:hint="eastAsia" w:ascii="Times New Roman" w:cs="Times New Roman"/>
          <w:color w:val="auto"/>
          <w:sz w:val="28"/>
          <w:szCs w:val="28"/>
          <w:lang w:eastAsia="zh-CN"/>
        </w:rPr>
        <w:t>的</w:t>
      </w:r>
      <w:r>
        <w:rPr>
          <w:rFonts w:hint="eastAsia" w:ascii="Times New Roman" w:cs="Times New Roman"/>
          <w:color w:val="auto"/>
          <w:sz w:val="28"/>
          <w:szCs w:val="28"/>
          <w:lang w:val="en-US" w:eastAsia="zh-CN"/>
        </w:rPr>
        <w:t>易燃易爆场所</w:t>
      </w:r>
      <w:r>
        <w:rPr>
          <w:rFonts w:ascii="Times New Roman" w:cs="Times New Roman"/>
          <w:color w:val="auto"/>
          <w:sz w:val="28"/>
          <w:szCs w:val="28"/>
        </w:rPr>
        <w:t>消防验收意见书（</w:t>
      </w:r>
      <w:r>
        <w:rPr>
          <w:rFonts w:hint="eastAsia" w:ascii="Times New Roman" w:cs="Times New Roman"/>
          <w:color w:val="auto"/>
          <w:sz w:val="28"/>
          <w:szCs w:val="28"/>
          <w:lang w:val="en-US" w:eastAsia="zh-CN"/>
        </w:rPr>
        <w:t>铜公</w:t>
      </w:r>
      <w:r>
        <w:rPr>
          <w:rFonts w:ascii="Times New Roman" w:cs="Times New Roman"/>
          <w:color w:val="auto"/>
          <w:sz w:val="28"/>
          <w:szCs w:val="28"/>
        </w:rPr>
        <w:t>消验</w:t>
      </w:r>
      <w:r>
        <w:rPr>
          <w:rFonts w:hint="eastAsia" w:ascii="Times New Roman" w:cs="Times New Roman"/>
          <w:color w:val="auto"/>
          <w:sz w:val="28"/>
          <w:szCs w:val="28"/>
        </w:rPr>
        <w:t>字</w:t>
      </w:r>
      <w:r>
        <w:rPr>
          <w:rFonts w:hint="eastAsia" w:ascii="Times New Roman" w:cs="Times New Roman"/>
          <w:color w:val="auto"/>
          <w:sz w:val="28"/>
          <w:szCs w:val="28"/>
          <w:lang w:val="en-US" w:eastAsia="zh-CN"/>
        </w:rPr>
        <w:t>[</w:t>
      </w:r>
      <w:r>
        <w:rPr>
          <w:rFonts w:hint="eastAsia" w:ascii="Times New Roman" w:cs="Times New Roman"/>
          <w:color w:val="auto"/>
          <w:sz w:val="28"/>
          <w:szCs w:val="28"/>
        </w:rPr>
        <w:t>20</w:t>
      </w:r>
      <w:r>
        <w:rPr>
          <w:rFonts w:hint="eastAsia" w:ascii="Times New Roman" w:cs="Times New Roman"/>
          <w:color w:val="auto"/>
          <w:sz w:val="28"/>
          <w:szCs w:val="28"/>
          <w:lang w:val="en-US" w:eastAsia="zh-CN"/>
        </w:rPr>
        <w:t>07]</w:t>
      </w:r>
      <w:r>
        <w:rPr>
          <w:rFonts w:ascii="Times New Roman" w:cs="Times New Roman"/>
          <w:color w:val="auto"/>
          <w:sz w:val="28"/>
          <w:szCs w:val="28"/>
        </w:rPr>
        <w:t>第</w:t>
      </w:r>
      <w:r>
        <w:rPr>
          <w:rFonts w:hint="eastAsia" w:ascii="Times New Roman" w:cs="Times New Roman"/>
          <w:color w:val="auto"/>
          <w:sz w:val="28"/>
          <w:szCs w:val="28"/>
          <w:lang w:val="en-US" w:eastAsia="zh-CN"/>
        </w:rPr>
        <w:t>010</w:t>
      </w:r>
      <w:r>
        <w:rPr>
          <w:rFonts w:ascii="Times New Roman" w:cs="Times New Roman"/>
          <w:color w:val="auto"/>
          <w:sz w:val="28"/>
          <w:szCs w:val="28"/>
        </w:rPr>
        <w:t>号）。</w:t>
      </w:r>
      <w:r>
        <w:rPr>
          <w:rFonts w:hint="eastAsia" w:ascii="Times New Roman" w:cs="Times New Roman"/>
          <w:color w:val="auto"/>
          <w:sz w:val="28"/>
          <w:szCs w:val="28"/>
          <w:lang w:val="en-US" w:eastAsia="zh-CN"/>
        </w:rPr>
        <w:t>因站房和罩棚利旧，加油站的整体结构未变，因此，未重新进行消防安全验收。</w:t>
      </w:r>
    </w:p>
    <w:p w14:paraId="76A60C52">
      <w:pPr>
        <w:pStyle w:val="155"/>
        <w:spacing w:line="600" w:lineRule="exact"/>
        <w:ind w:firstLine="560" w:firstLineChars="200"/>
        <w:jc w:val="both"/>
        <w:rPr>
          <w:rFonts w:hint="eastAsia" w:ascii="Times New Roman" w:hAnsi="Times New Roman" w:cs="Times New Roman"/>
          <w:color w:val="auto"/>
          <w:sz w:val="28"/>
          <w:szCs w:val="28"/>
          <w:lang w:eastAsia="zh-CN"/>
        </w:rPr>
      </w:pPr>
      <w:r>
        <w:rPr>
          <w:rFonts w:ascii="Times New Roman" w:hAnsi="Times New Roman" w:cs="Times New Roman"/>
          <w:color w:val="auto"/>
          <w:sz w:val="28"/>
          <w:szCs w:val="28"/>
        </w:rPr>
        <w:t>20</w:t>
      </w:r>
      <w:r>
        <w:rPr>
          <w:rFonts w:hint="eastAsia" w:ascii="Times New Roman" w:hAnsi="Times New Roman" w:cs="Times New Roman"/>
          <w:color w:val="auto"/>
          <w:sz w:val="28"/>
          <w:szCs w:val="28"/>
          <w:lang w:val="en-US" w:eastAsia="zh-CN"/>
        </w:rPr>
        <w:t>24</w:t>
      </w:r>
      <w:r>
        <w:rPr>
          <w:rFonts w:ascii="Times New Roman" w:hAnsi="Times New Roman" w:cs="Times New Roman"/>
          <w:color w:val="auto"/>
          <w:sz w:val="28"/>
          <w:szCs w:val="28"/>
        </w:rPr>
        <w:t>年</w:t>
      </w:r>
      <w:r>
        <w:rPr>
          <w:rFonts w:hint="eastAsia" w:ascii="Times New Roman" w:hAnsi="Times New Roman" w:cs="Times New Roman"/>
          <w:color w:val="auto"/>
          <w:sz w:val="28"/>
          <w:szCs w:val="28"/>
          <w:lang w:val="en-US" w:eastAsia="zh-CN"/>
        </w:rPr>
        <w:t>10</w:t>
      </w:r>
      <w:r>
        <w:rPr>
          <w:rFonts w:ascii="Times New Roman" w:hAnsi="Times New Roman" w:cs="Times New Roman"/>
          <w:color w:val="auto"/>
          <w:sz w:val="28"/>
          <w:szCs w:val="28"/>
        </w:rPr>
        <w:t>月</w:t>
      </w:r>
      <w:r>
        <w:rPr>
          <w:rFonts w:hint="eastAsia" w:ascii="Times New Roman" w:hAnsi="Times New Roman" w:cs="Times New Roman"/>
          <w:color w:val="auto"/>
          <w:sz w:val="28"/>
          <w:szCs w:val="28"/>
          <w:lang w:val="en-US" w:eastAsia="zh-CN"/>
        </w:rPr>
        <w:t>28</w:t>
      </w:r>
      <w:r>
        <w:rPr>
          <w:rFonts w:ascii="Times New Roman" w:hAnsi="Times New Roman" w:cs="Times New Roman"/>
          <w:color w:val="auto"/>
          <w:sz w:val="28"/>
          <w:szCs w:val="28"/>
        </w:rPr>
        <w:t>日</w:t>
      </w:r>
      <w:r>
        <w:rPr>
          <w:rFonts w:hint="eastAsia" w:ascii="Times New Roman" w:hAnsi="Times New Roman" w:cs="Times New Roman"/>
          <w:color w:val="auto"/>
          <w:sz w:val="28"/>
          <w:szCs w:val="28"/>
          <w:lang w:eastAsia="zh-CN"/>
        </w:rPr>
        <w:t>，</w:t>
      </w:r>
      <w:r>
        <w:rPr>
          <w:rFonts w:ascii="Times New Roman" w:hAnsi="Times New Roman" w:cs="Times New Roman"/>
          <w:color w:val="auto"/>
          <w:sz w:val="28"/>
          <w:szCs w:val="28"/>
        </w:rPr>
        <w:t>取得</w:t>
      </w:r>
      <w:r>
        <w:rPr>
          <w:rFonts w:hint="eastAsia" w:ascii="Times New Roman" w:hAnsi="Times New Roman" w:cs="Times New Roman"/>
          <w:color w:val="auto"/>
          <w:sz w:val="28"/>
          <w:szCs w:val="28"/>
          <w:lang w:val="en-US" w:eastAsia="zh-CN"/>
        </w:rPr>
        <w:t>宜春</w:t>
      </w:r>
      <w:r>
        <w:rPr>
          <w:rFonts w:ascii="Times New Roman" w:hAnsi="Times New Roman" w:cs="Times New Roman"/>
          <w:color w:val="auto"/>
          <w:sz w:val="28"/>
          <w:szCs w:val="28"/>
        </w:rPr>
        <w:t>市应急管理局出具的《危险化学品建设项目安全条件</w:t>
      </w:r>
      <w:r>
        <w:rPr>
          <w:rFonts w:hint="eastAsia" w:ascii="Times New Roman" w:hAnsi="Times New Roman" w:cs="Times New Roman"/>
          <w:color w:val="auto"/>
          <w:sz w:val="28"/>
          <w:szCs w:val="28"/>
          <w:lang w:val="en-US" w:eastAsia="zh-CN"/>
        </w:rPr>
        <w:t>审查</w:t>
      </w:r>
      <w:r>
        <w:rPr>
          <w:rFonts w:ascii="Times New Roman" w:hAnsi="Times New Roman" w:cs="Times New Roman"/>
          <w:color w:val="auto"/>
          <w:sz w:val="28"/>
          <w:szCs w:val="28"/>
        </w:rPr>
        <w:t>意见书》（</w:t>
      </w:r>
      <w:r>
        <w:rPr>
          <w:rFonts w:hint="eastAsia" w:ascii="Times New Roman" w:hAnsi="Times New Roman" w:cs="Times New Roman"/>
          <w:color w:val="auto"/>
          <w:sz w:val="28"/>
          <w:szCs w:val="28"/>
          <w:lang w:val="en-US" w:eastAsia="zh-CN"/>
        </w:rPr>
        <w:t>宜市</w:t>
      </w:r>
      <w:r>
        <w:rPr>
          <w:rFonts w:ascii="Times New Roman" w:hAnsi="Times New Roman" w:cs="Times New Roman"/>
          <w:color w:val="auto"/>
          <w:sz w:val="28"/>
          <w:szCs w:val="28"/>
        </w:rPr>
        <w:t>危化项目安条审字</w:t>
      </w:r>
      <w:r>
        <w:rPr>
          <w:rFonts w:hint="eastAsia" w:ascii="Times New Roman" w:cs="Times New Roman"/>
          <w:color w:val="auto"/>
          <w:sz w:val="28"/>
          <w:szCs w:val="28"/>
          <w:lang w:eastAsia="zh-CN"/>
        </w:rPr>
        <w:t>〔2024〕31号</w:t>
      </w:r>
      <w:r>
        <w:rPr>
          <w:rFonts w:ascii="Times New Roman" w:hAnsi="Times New Roman" w:cs="Times New Roman"/>
          <w:color w:val="auto"/>
          <w:sz w:val="28"/>
          <w:szCs w:val="28"/>
        </w:rPr>
        <w:t>）</w:t>
      </w:r>
      <w:r>
        <w:rPr>
          <w:rFonts w:hint="eastAsia" w:ascii="Times New Roman" w:hAnsi="Times New Roman" w:cs="Times New Roman"/>
          <w:color w:val="auto"/>
          <w:sz w:val="28"/>
          <w:szCs w:val="28"/>
          <w:lang w:eastAsia="zh-CN"/>
        </w:rPr>
        <w:t>。</w:t>
      </w:r>
    </w:p>
    <w:p w14:paraId="34D184F3">
      <w:pPr>
        <w:pStyle w:val="155"/>
        <w:spacing w:line="600" w:lineRule="exact"/>
        <w:ind w:firstLine="560" w:firstLineChars="200"/>
        <w:jc w:val="both"/>
        <w:rPr>
          <w:rFonts w:ascii="Times New Roman" w:hAnsi="Times New Roman" w:cs="Times New Roman"/>
          <w:color w:val="auto"/>
          <w:sz w:val="28"/>
          <w:szCs w:val="28"/>
        </w:rPr>
      </w:pPr>
      <w:r>
        <w:rPr>
          <w:rFonts w:hint="eastAsia" w:ascii="Times New Roman" w:cs="Times New Roman"/>
          <w:color w:val="auto"/>
          <w:sz w:val="28"/>
          <w:szCs w:val="28"/>
          <w:lang w:val="en-US" w:eastAsia="zh-CN"/>
        </w:rPr>
        <w:t>2024年11月11日，取得</w:t>
      </w:r>
      <w:r>
        <w:rPr>
          <w:rFonts w:hint="eastAsia" w:ascii="Times New Roman" w:hAnsi="Times New Roman" w:cs="Times New Roman"/>
          <w:color w:val="auto"/>
          <w:sz w:val="28"/>
          <w:szCs w:val="28"/>
          <w:lang w:val="en-US" w:eastAsia="zh-CN"/>
        </w:rPr>
        <w:t>宜春</w:t>
      </w:r>
      <w:r>
        <w:rPr>
          <w:rFonts w:hint="eastAsia" w:ascii="Times New Roman" w:cs="Times New Roman"/>
          <w:color w:val="auto"/>
          <w:sz w:val="28"/>
          <w:szCs w:val="28"/>
          <w:lang w:val="en-US" w:eastAsia="zh-CN"/>
        </w:rPr>
        <w:t>市应急管理局出具的</w:t>
      </w:r>
      <w:r>
        <w:rPr>
          <w:rFonts w:ascii="Times New Roman" w:hAnsi="Times New Roman" w:cs="Times New Roman"/>
          <w:color w:val="auto"/>
          <w:sz w:val="28"/>
          <w:szCs w:val="28"/>
        </w:rPr>
        <w:t>《危险化学品建设项目安全</w:t>
      </w:r>
      <w:r>
        <w:rPr>
          <w:rFonts w:hint="eastAsia" w:ascii="Times New Roman" w:hAnsi="Times New Roman" w:cs="Times New Roman"/>
          <w:color w:val="auto"/>
          <w:sz w:val="28"/>
          <w:szCs w:val="28"/>
          <w:lang w:val="en-US" w:eastAsia="zh-CN"/>
        </w:rPr>
        <w:t>设施设计审查</w:t>
      </w:r>
      <w:r>
        <w:rPr>
          <w:rFonts w:ascii="Times New Roman" w:hAnsi="Times New Roman" w:cs="Times New Roman"/>
          <w:color w:val="auto"/>
          <w:sz w:val="28"/>
          <w:szCs w:val="28"/>
        </w:rPr>
        <w:t>意见书》（</w:t>
      </w:r>
      <w:r>
        <w:rPr>
          <w:rFonts w:hint="eastAsia" w:ascii="Times New Roman" w:hAnsi="Times New Roman" w:cs="Times New Roman"/>
          <w:color w:val="auto"/>
          <w:sz w:val="28"/>
          <w:szCs w:val="28"/>
          <w:lang w:val="en-US" w:eastAsia="zh-CN"/>
        </w:rPr>
        <w:t>宜市</w:t>
      </w:r>
      <w:r>
        <w:rPr>
          <w:rFonts w:ascii="Times New Roman" w:hAnsi="Times New Roman" w:cs="Times New Roman"/>
          <w:color w:val="auto"/>
          <w:sz w:val="28"/>
          <w:szCs w:val="28"/>
        </w:rPr>
        <w:t>危化项目安</w:t>
      </w:r>
      <w:r>
        <w:rPr>
          <w:rFonts w:hint="eastAsia" w:ascii="Times New Roman" w:hAnsi="Times New Roman" w:cs="Times New Roman"/>
          <w:color w:val="auto"/>
          <w:sz w:val="28"/>
          <w:szCs w:val="28"/>
          <w:lang w:val="en-US" w:eastAsia="zh-CN"/>
        </w:rPr>
        <w:t>设</w:t>
      </w:r>
      <w:r>
        <w:rPr>
          <w:rFonts w:ascii="Times New Roman" w:hAnsi="Times New Roman" w:cs="Times New Roman"/>
          <w:color w:val="auto"/>
          <w:sz w:val="28"/>
          <w:szCs w:val="28"/>
        </w:rPr>
        <w:t>审字</w:t>
      </w:r>
      <w:r>
        <w:rPr>
          <w:rFonts w:hint="eastAsia" w:ascii="Times New Roman" w:cs="Times New Roman"/>
          <w:color w:val="auto"/>
          <w:sz w:val="28"/>
          <w:szCs w:val="28"/>
          <w:lang w:eastAsia="zh-CN"/>
        </w:rPr>
        <w:t>〔2024〕30号</w:t>
      </w:r>
      <w:r>
        <w:rPr>
          <w:rFonts w:ascii="Times New Roman" w:hAnsi="Times New Roman" w:cs="Times New Roman"/>
          <w:color w:val="auto"/>
          <w:sz w:val="28"/>
          <w:szCs w:val="28"/>
        </w:rPr>
        <w:t>）。</w:t>
      </w:r>
    </w:p>
    <w:p w14:paraId="17A2D325">
      <w:pPr>
        <w:spacing w:line="560" w:lineRule="exact"/>
        <w:ind w:firstLine="560" w:firstLineChars="200"/>
        <w:rPr>
          <w:rFonts w:hint="default" w:ascii="Times New Roman" w:hAnsi="Times New Roman" w:cs="Times New Roman"/>
          <w:color w:val="auto"/>
          <w:sz w:val="28"/>
        </w:rPr>
      </w:pPr>
      <w:r>
        <w:rPr>
          <w:rFonts w:hint="default" w:ascii="Times New Roman" w:hAnsi="Times New Roman" w:cs="Times New Roman"/>
          <w:color w:val="auto"/>
          <w:sz w:val="28"/>
        </w:rPr>
        <w:t>该</w:t>
      </w:r>
      <w:r>
        <w:rPr>
          <w:rFonts w:hint="eastAsia" w:ascii="Times New Roman" w:hAnsi="Times New Roman" w:cs="Times New Roman"/>
          <w:color w:val="auto"/>
          <w:sz w:val="28"/>
          <w:lang w:eastAsia="zh-CN"/>
        </w:rPr>
        <w:t>改建</w:t>
      </w:r>
      <w:r>
        <w:rPr>
          <w:rFonts w:hint="default" w:ascii="Times New Roman" w:hAnsi="Times New Roman" w:cs="Times New Roman"/>
          <w:color w:val="auto"/>
          <w:sz w:val="28"/>
          <w:lang w:eastAsia="zh-CN"/>
        </w:rPr>
        <w:t>项目</w:t>
      </w:r>
      <w:r>
        <w:rPr>
          <w:rFonts w:hint="default" w:ascii="Times New Roman" w:hAnsi="Times New Roman" w:cs="Times New Roman"/>
          <w:color w:val="auto"/>
          <w:sz w:val="28"/>
        </w:rPr>
        <w:t>情况为：</w:t>
      </w:r>
    </w:p>
    <w:p w14:paraId="73D96EF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改造前：原有4台自吸双枪加油机，设有3座30m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汽油罐，总容积90m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，折合油罐总容积为90m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，根据《汽车加油加气加氢站技术标准》GB50156-2021第3.0.9条本站为三级加油站。</w:t>
      </w:r>
    </w:p>
    <w:p w14:paraId="6DF0015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改造后：</w:t>
      </w:r>
    </w:p>
    <w:p w14:paraId="340BCADD">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清洗、拆除原有管线，拆除原有罐区油罐。新建承重框架柱结构罐区，新换30m</w:t>
      </w:r>
      <w:r>
        <w:rPr>
          <w:rFonts w:hint="eastAsia" w:ascii="Times New Roman" w:hAnsi="Times New Roman" w:eastAsia="宋体" w:cs="Times New Roman"/>
          <w:color w:val="auto"/>
          <w:sz w:val="28"/>
          <w:szCs w:val="28"/>
          <w:vertAlign w:val="superscript"/>
          <w:lang w:eastAsia="zh-CN"/>
        </w:rPr>
        <w:t>3</w:t>
      </w:r>
      <w:r>
        <w:rPr>
          <w:rFonts w:hint="eastAsia" w:ascii="Times New Roman" w:hAnsi="Times New Roman" w:eastAsia="宋体" w:cs="Times New Roman"/>
          <w:color w:val="auto"/>
          <w:sz w:val="28"/>
          <w:szCs w:val="28"/>
          <w:lang w:eastAsia="zh-CN"/>
        </w:rPr>
        <w:t>埋地SF双层汽油罐3座；4台加油机利旧改造为潜泵加油机，油品布局调整，整体更换工艺管道。</w:t>
      </w:r>
    </w:p>
    <w:p w14:paraId="18F99FAB">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土建：加油岛后原位置拆除新建，站房屋面新做防水。</w:t>
      </w:r>
    </w:p>
    <w:p w14:paraId="593DC0F9">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自控：新设油罐液位报警系统、新设双层油罐与双层管线渗漏检测系统。</w:t>
      </w:r>
    </w:p>
    <w:p w14:paraId="2E84E9C4">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电气：加油机、潜油泵及仪表的供配电线路，加油机的通讯线路，油罐及加油机等防雷防静电接地系统，增设紧急切断系统。</w:t>
      </w:r>
    </w:p>
    <w:p w14:paraId="7F3D8D16">
      <w:pPr>
        <w:keepNext w:val="0"/>
        <w:keepLines w:val="0"/>
        <w:pageBreakBefore w:val="0"/>
        <w:widowControl w:val="0"/>
        <w:numPr>
          <w:ilvl w:val="0"/>
          <w:numId w:val="8"/>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给排水、消防：利旧原有消防、给水及生活污水排水系统。</w:t>
      </w:r>
    </w:p>
    <w:p w14:paraId="01D4A30C">
      <w:pPr>
        <w:keepNext w:val="0"/>
        <w:keepLines w:val="0"/>
        <w:pageBreakBefore w:val="0"/>
        <w:widowControl w:val="0"/>
        <w:numPr>
          <w:ilvl w:val="0"/>
          <w:numId w:val="8"/>
        </w:numPr>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其他：（1）新增砖砌消防五件套；（2）修复加油场地地面（约120m</w:t>
      </w:r>
      <w:r>
        <w:rPr>
          <w:rFonts w:hint="eastAsia" w:ascii="Times New Roman" w:hAnsi="Times New Roman" w:eastAsia="宋体" w:cs="Times New Roman"/>
          <w:color w:val="auto"/>
          <w:sz w:val="28"/>
          <w:szCs w:val="28"/>
          <w:vertAlign w:val="superscript"/>
          <w:lang w:eastAsia="zh-CN"/>
        </w:rPr>
        <w:t>2</w:t>
      </w:r>
      <w:r>
        <w:rPr>
          <w:rFonts w:hint="eastAsia" w:ascii="Times New Roman" w:hAnsi="Times New Roman" w:eastAsia="宋体" w:cs="Times New Roman"/>
          <w:color w:val="auto"/>
          <w:sz w:val="28"/>
          <w:szCs w:val="28"/>
          <w:lang w:eastAsia="zh-CN"/>
        </w:rPr>
        <w:t>），并划线。</w:t>
      </w:r>
    </w:p>
    <w:p w14:paraId="0FDBCA5E">
      <w:pPr>
        <w:spacing w:line="560" w:lineRule="exact"/>
        <w:ind w:firstLine="560" w:firstLineChars="200"/>
        <w:rPr>
          <w:rFonts w:hint="default" w:ascii="Times New Roman" w:hAnsi="Times New Roman" w:cs="Times New Roman"/>
          <w:color w:val="auto"/>
          <w:sz w:val="28"/>
        </w:rPr>
      </w:pPr>
      <w:r>
        <w:rPr>
          <w:rFonts w:hint="eastAsia" w:ascii="Times New Roman" w:hAnsi="Times New Roman" w:cs="Times New Roman"/>
          <w:color w:val="auto"/>
          <w:sz w:val="28"/>
          <w:lang w:eastAsia="zh-CN"/>
        </w:rPr>
        <w:t>改建</w:t>
      </w:r>
      <w:r>
        <w:rPr>
          <w:rFonts w:hint="default" w:ascii="Times New Roman" w:hAnsi="Times New Roman" w:cs="Times New Roman"/>
          <w:color w:val="auto"/>
          <w:sz w:val="28"/>
          <w:lang w:eastAsia="zh-CN"/>
        </w:rPr>
        <w:t>项目</w:t>
      </w:r>
      <w:r>
        <w:rPr>
          <w:rFonts w:hint="default" w:ascii="Times New Roman" w:hAnsi="Times New Roman" w:cs="Times New Roman"/>
          <w:color w:val="auto"/>
          <w:sz w:val="28"/>
        </w:rPr>
        <w:t>的基本组成见表2-1：</w:t>
      </w:r>
    </w:p>
    <w:p w14:paraId="4E342F49">
      <w:pPr>
        <w:spacing w:line="560" w:lineRule="exact"/>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 xml:space="preserve">表2-1 </w:t>
      </w:r>
      <w:r>
        <w:rPr>
          <w:rFonts w:hint="eastAsia" w:ascii="Times New Roman" w:hAnsi="Times New Roman" w:cs="Times New Roman"/>
          <w:b/>
          <w:bCs/>
          <w:color w:val="auto"/>
          <w:sz w:val="24"/>
          <w:lang w:eastAsia="zh-CN"/>
        </w:rPr>
        <w:t>改建</w:t>
      </w:r>
      <w:r>
        <w:rPr>
          <w:rFonts w:hint="default" w:ascii="Times New Roman" w:hAnsi="Times New Roman" w:cs="Times New Roman"/>
          <w:b/>
          <w:bCs/>
          <w:color w:val="auto"/>
          <w:sz w:val="24"/>
          <w:lang w:eastAsia="zh-CN"/>
        </w:rPr>
        <w:t>项目</w:t>
      </w:r>
      <w:r>
        <w:rPr>
          <w:rFonts w:hint="default" w:ascii="Times New Roman" w:hAnsi="Times New Roman" w:cs="Times New Roman"/>
          <w:b/>
          <w:bCs/>
          <w:color w:val="auto"/>
          <w:sz w:val="24"/>
        </w:rPr>
        <w:t>基本组成</w:t>
      </w:r>
    </w:p>
    <w:tbl>
      <w:tblPr>
        <w:tblStyle w:val="48"/>
        <w:tblW w:w="9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688"/>
        <w:gridCol w:w="1089"/>
        <w:gridCol w:w="1832"/>
        <w:gridCol w:w="4295"/>
      </w:tblGrid>
      <w:tr w14:paraId="0B94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689" w:type="dxa"/>
            <w:noWrap w:val="0"/>
            <w:vAlign w:val="center"/>
          </w:tcPr>
          <w:p w14:paraId="47D0BB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序号</w:t>
            </w:r>
          </w:p>
        </w:tc>
        <w:tc>
          <w:tcPr>
            <w:tcW w:w="1688" w:type="dxa"/>
            <w:tcBorders>
              <w:right w:val="single" w:color="auto" w:sz="4" w:space="0"/>
            </w:tcBorders>
            <w:noWrap w:val="0"/>
            <w:vAlign w:val="center"/>
          </w:tcPr>
          <w:p w14:paraId="04469C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项目名称</w:t>
            </w:r>
          </w:p>
        </w:tc>
        <w:tc>
          <w:tcPr>
            <w:tcW w:w="1089" w:type="dxa"/>
            <w:tcBorders>
              <w:right w:val="single" w:color="auto" w:sz="4" w:space="0"/>
            </w:tcBorders>
            <w:noWrap w:val="0"/>
            <w:vAlign w:val="center"/>
          </w:tcPr>
          <w:p w14:paraId="616A05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rPr>
              <w:t>单位</w:t>
            </w:r>
          </w:p>
        </w:tc>
        <w:tc>
          <w:tcPr>
            <w:tcW w:w="1832" w:type="dxa"/>
            <w:tcBorders>
              <w:right w:val="single" w:color="auto" w:sz="4" w:space="0"/>
            </w:tcBorders>
            <w:noWrap w:val="0"/>
            <w:vAlign w:val="center"/>
          </w:tcPr>
          <w:p w14:paraId="23C08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rPr>
              <w:t>数量</w:t>
            </w:r>
          </w:p>
        </w:tc>
        <w:tc>
          <w:tcPr>
            <w:tcW w:w="4295" w:type="dxa"/>
            <w:tcBorders>
              <w:right w:val="single" w:color="auto" w:sz="4" w:space="0"/>
            </w:tcBorders>
            <w:noWrap w:val="0"/>
            <w:vAlign w:val="center"/>
          </w:tcPr>
          <w:p w14:paraId="60F75F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说明</w:t>
            </w:r>
          </w:p>
        </w:tc>
      </w:tr>
      <w:tr w14:paraId="7ABD1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jc w:val="center"/>
        </w:trPr>
        <w:tc>
          <w:tcPr>
            <w:tcW w:w="689" w:type="dxa"/>
            <w:shd w:val="clear" w:color="auto" w:fill="FFFFFF"/>
            <w:noWrap w:val="0"/>
            <w:vAlign w:val="center"/>
          </w:tcPr>
          <w:p w14:paraId="44F669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w:t>
            </w:r>
          </w:p>
        </w:tc>
        <w:tc>
          <w:tcPr>
            <w:tcW w:w="1688" w:type="dxa"/>
            <w:tcBorders>
              <w:right w:val="single" w:color="auto" w:sz="4" w:space="0"/>
            </w:tcBorders>
            <w:shd w:val="clear" w:color="auto" w:fill="FFFFFF"/>
            <w:noWrap w:val="0"/>
            <w:vAlign w:val="center"/>
          </w:tcPr>
          <w:p w14:paraId="31CE44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罩棚</w:t>
            </w:r>
          </w:p>
        </w:tc>
        <w:tc>
          <w:tcPr>
            <w:tcW w:w="1089" w:type="dxa"/>
            <w:tcBorders>
              <w:right w:val="single" w:color="auto" w:sz="4" w:space="0"/>
            </w:tcBorders>
            <w:shd w:val="clear" w:color="auto" w:fill="FFFFFF"/>
            <w:noWrap w:val="0"/>
            <w:vAlign w:val="center"/>
          </w:tcPr>
          <w:p w14:paraId="5405D2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m2</w:t>
            </w:r>
          </w:p>
        </w:tc>
        <w:tc>
          <w:tcPr>
            <w:tcW w:w="1832" w:type="dxa"/>
            <w:tcBorders>
              <w:right w:val="single" w:color="auto" w:sz="4" w:space="0"/>
            </w:tcBorders>
            <w:shd w:val="clear" w:color="auto" w:fill="FFFFFF"/>
            <w:noWrap w:val="0"/>
            <w:vAlign w:val="center"/>
          </w:tcPr>
          <w:p w14:paraId="3C6DA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524</w:t>
            </w:r>
          </w:p>
        </w:tc>
        <w:tc>
          <w:tcPr>
            <w:tcW w:w="4295" w:type="dxa"/>
            <w:tcBorders>
              <w:right w:val="single" w:color="auto" w:sz="4" w:space="0"/>
            </w:tcBorders>
            <w:shd w:val="clear" w:color="auto" w:fill="FFFFFF"/>
            <w:noWrap w:val="0"/>
            <w:vAlign w:val="center"/>
          </w:tcPr>
          <w:p w14:paraId="14BFB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利旧，投影面积，网架结构</w:t>
            </w:r>
          </w:p>
        </w:tc>
      </w:tr>
      <w:tr w14:paraId="4568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689" w:type="dxa"/>
            <w:shd w:val="clear" w:color="auto" w:fill="FFFFFF"/>
            <w:noWrap w:val="0"/>
            <w:vAlign w:val="center"/>
          </w:tcPr>
          <w:p w14:paraId="5401C5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w:t>
            </w:r>
          </w:p>
        </w:tc>
        <w:tc>
          <w:tcPr>
            <w:tcW w:w="1688" w:type="dxa"/>
            <w:tcBorders>
              <w:right w:val="single" w:color="auto" w:sz="4" w:space="0"/>
            </w:tcBorders>
            <w:shd w:val="clear" w:color="auto" w:fill="FFFFFF"/>
            <w:noWrap w:val="0"/>
            <w:vAlign w:val="center"/>
          </w:tcPr>
          <w:p w14:paraId="2B73FA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站房</w:t>
            </w:r>
          </w:p>
        </w:tc>
        <w:tc>
          <w:tcPr>
            <w:tcW w:w="1089" w:type="dxa"/>
            <w:tcBorders>
              <w:right w:val="single" w:color="auto" w:sz="4" w:space="0"/>
            </w:tcBorders>
            <w:shd w:val="clear" w:color="auto" w:fill="FFFFFF"/>
            <w:noWrap w:val="0"/>
            <w:vAlign w:val="center"/>
          </w:tcPr>
          <w:p w14:paraId="44AB38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m2</w:t>
            </w:r>
          </w:p>
        </w:tc>
        <w:tc>
          <w:tcPr>
            <w:tcW w:w="1832" w:type="dxa"/>
            <w:tcBorders>
              <w:right w:val="single" w:color="auto" w:sz="4" w:space="0"/>
            </w:tcBorders>
            <w:shd w:val="clear" w:color="auto" w:fill="FFFFFF"/>
            <w:noWrap w:val="0"/>
            <w:vAlign w:val="center"/>
          </w:tcPr>
          <w:p w14:paraId="09E973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227.18</w:t>
            </w:r>
          </w:p>
        </w:tc>
        <w:tc>
          <w:tcPr>
            <w:tcW w:w="4295" w:type="dxa"/>
            <w:tcBorders>
              <w:right w:val="single" w:color="auto" w:sz="4" w:space="0"/>
            </w:tcBorders>
            <w:shd w:val="clear" w:color="auto" w:fill="FFFFFF"/>
            <w:noWrap w:val="0"/>
            <w:vAlign w:val="center"/>
          </w:tcPr>
          <w:p w14:paraId="271C65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利旧，框架结构</w:t>
            </w:r>
          </w:p>
        </w:tc>
      </w:tr>
      <w:tr w14:paraId="7AE7A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689" w:type="dxa"/>
            <w:shd w:val="clear" w:color="auto" w:fill="FFFFFF"/>
            <w:noWrap w:val="0"/>
            <w:vAlign w:val="center"/>
          </w:tcPr>
          <w:p w14:paraId="16AD9D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w:t>
            </w:r>
          </w:p>
        </w:tc>
        <w:tc>
          <w:tcPr>
            <w:tcW w:w="1688" w:type="dxa"/>
            <w:tcBorders>
              <w:right w:val="single" w:color="auto" w:sz="4" w:space="0"/>
            </w:tcBorders>
            <w:noWrap w:val="0"/>
            <w:vAlign w:val="center"/>
          </w:tcPr>
          <w:p w14:paraId="726474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彩钢棚</w:t>
            </w:r>
          </w:p>
        </w:tc>
        <w:tc>
          <w:tcPr>
            <w:tcW w:w="1089" w:type="dxa"/>
            <w:tcBorders>
              <w:right w:val="single" w:color="auto" w:sz="4" w:space="0"/>
            </w:tcBorders>
            <w:noWrap w:val="0"/>
            <w:vAlign w:val="center"/>
          </w:tcPr>
          <w:p w14:paraId="75C1F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处</w:t>
            </w:r>
          </w:p>
        </w:tc>
        <w:tc>
          <w:tcPr>
            <w:tcW w:w="1832" w:type="dxa"/>
            <w:tcBorders>
              <w:right w:val="single" w:color="auto" w:sz="4" w:space="0"/>
            </w:tcBorders>
            <w:noWrap w:val="0"/>
            <w:vAlign w:val="center"/>
          </w:tcPr>
          <w:p w14:paraId="63E21D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4295" w:type="dxa"/>
            <w:tcBorders>
              <w:right w:val="single" w:color="auto" w:sz="4" w:space="0"/>
            </w:tcBorders>
            <w:noWrap w:val="0"/>
            <w:vAlign w:val="center"/>
          </w:tcPr>
          <w:p w14:paraId="53C3FC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利旧</w:t>
            </w:r>
          </w:p>
        </w:tc>
      </w:tr>
      <w:tr w14:paraId="48285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689" w:type="dxa"/>
            <w:shd w:val="clear" w:color="auto" w:fill="FFFFFF"/>
            <w:noWrap w:val="0"/>
            <w:vAlign w:val="center"/>
          </w:tcPr>
          <w:p w14:paraId="63320D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w:t>
            </w:r>
          </w:p>
        </w:tc>
        <w:tc>
          <w:tcPr>
            <w:tcW w:w="1688" w:type="dxa"/>
            <w:tcBorders>
              <w:right w:val="single" w:color="auto" w:sz="4" w:space="0"/>
            </w:tcBorders>
            <w:noWrap w:val="0"/>
            <w:vAlign w:val="center"/>
          </w:tcPr>
          <w:p w14:paraId="0462A4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加油岛</w:t>
            </w:r>
          </w:p>
        </w:tc>
        <w:tc>
          <w:tcPr>
            <w:tcW w:w="1089" w:type="dxa"/>
            <w:tcBorders>
              <w:right w:val="single" w:color="auto" w:sz="4" w:space="0"/>
            </w:tcBorders>
            <w:noWrap w:val="0"/>
            <w:vAlign w:val="center"/>
          </w:tcPr>
          <w:p w14:paraId="24C6A4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座</w:t>
            </w:r>
          </w:p>
        </w:tc>
        <w:tc>
          <w:tcPr>
            <w:tcW w:w="1832" w:type="dxa"/>
            <w:tcBorders>
              <w:right w:val="single" w:color="auto" w:sz="4" w:space="0"/>
            </w:tcBorders>
            <w:noWrap w:val="0"/>
            <w:vAlign w:val="center"/>
          </w:tcPr>
          <w:p w14:paraId="6498CA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w:t>
            </w:r>
          </w:p>
        </w:tc>
        <w:tc>
          <w:tcPr>
            <w:tcW w:w="4295" w:type="dxa"/>
            <w:tcBorders>
              <w:right w:val="single" w:color="auto" w:sz="4" w:space="0"/>
            </w:tcBorders>
            <w:noWrap w:val="0"/>
            <w:vAlign w:val="center"/>
          </w:tcPr>
          <w:p w14:paraId="65C474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拆除新建，4台潜泵双枪加油机</w:t>
            </w:r>
          </w:p>
        </w:tc>
      </w:tr>
      <w:tr w14:paraId="6CC3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689" w:type="dxa"/>
            <w:shd w:val="clear" w:color="auto" w:fill="FFFFFF"/>
            <w:noWrap w:val="0"/>
            <w:vAlign w:val="center"/>
          </w:tcPr>
          <w:p w14:paraId="67EF55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w:t>
            </w:r>
          </w:p>
        </w:tc>
        <w:tc>
          <w:tcPr>
            <w:tcW w:w="1688" w:type="dxa"/>
            <w:tcBorders>
              <w:right w:val="single" w:color="auto" w:sz="4" w:space="0"/>
            </w:tcBorders>
            <w:noWrap w:val="0"/>
            <w:vAlign w:val="center"/>
          </w:tcPr>
          <w:p w14:paraId="02607E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SF双层油罐</w:t>
            </w:r>
          </w:p>
        </w:tc>
        <w:tc>
          <w:tcPr>
            <w:tcW w:w="1089" w:type="dxa"/>
            <w:tcBorders>
              <w:right w:val="single" w:color="auto" w:sz="4" w:space="0"/>
            </w:tcBorders>
            <w:noWrap w:val="0"/>
            <w:vAlign w:val="center"/>
          </w:tcPr>
          <w:p w14:paraId="402D80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座</w:t>
            </w:r>
          </w:p>
        </w:tc>
        <w:tc>
          <w:tcPr>
            <w:tcW w:w="1832" w:type="dxa"/>
            <w:tcBorders>
              <w:right w:val="single" w:color="auto" w:sz="4" w:space="0"/>
            </w:tcBorders>
            <w:noWrap w:val="0"/>
            <w:vAlign w:val="center"/>
          </w:tcPr>
          <w:p w14:paraId="683F50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3</w:t>
            </w:r>
          </w:p>
        </w:tc>
        <w:tc>
          <w:tcPr>
            <w:tcW w:w="4295" w:type="dxa"/>
            <w:tcBorders>
              <w:right w:val="single" w:color="auto" w:sz="4" w:space="0"/>
            </w:tcBorders>
            <w:noWrap w:val="0"/>
            <w:vAlign w:val="center"/>
          </w:tcPr>
          <w:p w14:paraId="3D8690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30m3SF双层92＃汽油罐1个、</w:t>
            </w:r>
          </w:p>
          <w:p w14:paraId="3969CC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30m3SF双层95＃汽油罐1个、</w:t>
            </w:r>
          </w:p>
          <w:p w14:paraId="3A6B6E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30m3SF双层98＃汽油罐1个</w:t>
            </w:r>
          </w:p>
        </w:tc>
      </w:tr>
      <w:tr w14:paraId="77B92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689" w:type="dxa"/>
            <w:shd w:val="clear" w:color="auto" w:fill="FFFFFF"/>
            <w:noWrap w:val="0"/>
            <w:vAlign w:val="center"/>
          </w:tcPr>
          <w:p w14:paraId="0CC763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5</w:t>
            </w:r>
          </w:p>
        </w:tc>
        <w:tc>
          <w:tcPr>
            <w:tcW w:w="1688" w:type="dxa"/>
            <w:tcBorders>
              <w:right w:val="single" w:color="auto" w:sz="4" w:space="0"/>
            </w:tcBorders>
            <w:shd w:val="clear" w:color="auto" w:fill="FFFFFF"/>
            <w:noWrap w:val="0"/>
            <w:vAlign w:val="center"/>
          </w:tcPr>
          <w:p w14:paraId="03B1B2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加油机</w:t>
            </w:r>
          </w:p>
        </w:tc>
        <w:tc>
          <w:tcPr>
            <w:tcW w:w="1089" w:type="dxa"/>
            <w:tcBorders>
              <w:right w:val="single" w:color="auto" w:sz="4" w:space="0"/>
            </w:tcBorders>
            <w:shd w:val="clear" w:color="auto" w:fill="FFFFFF"/>
            <w:noWrap w:val="0"/>
            <w:vAlign w:val="center"/>
          </w:tcPr>
          <w:p w14:paraId="7A5367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台</w:t>
            </w:r>
          </w:p>
        </w:tc>
        <w:tc>
          <w:tcPr>
            <w:tcW w:w="1832" w:type="dxa"/>
            <w:tcBorders>
              <w:right w:val="single" w:color="auto" w:sz="4" w:space="0"/>
            </w:tcBorders>
            <w:shd w:val="clear" w:color="auto" w:fill="FFFFFF"/>
            <w:noWrap w:val="0"/>
            <w:vAlign w:val="center"/>
          </w:tcPr>
          <w:p w14:paraId="532DA0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4</w:t>
            </w:r>
          </w:p>
        </w:tc>
        <w:tc>
          <w:tcPr>
            <w:tcW w:w="4295" w:type="dxa"/>
            <w:tcBorders>
              <w:right w:val="single" w:color="auto" w:sz="4" w:space="0"/>
            </w:tcBorders>
            <w:shd w:val="clear" w:color="auto" w:fill="FFFFFF"/>
            <w:noWrap w:val="0"/>
            <w:vAlign w:val="center"/>
          </w:tcPr>
          <w:p w14:paraId="1D6697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1台92#、95#双枪，改造</w:t>
            </w:r>
          </w:p>
          <w:p w14:paraId="46F927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1台92#、92#双枪，改造</w:t>
            </w:r>
          </w:p>
          <w:p w14:paraId="68A487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1台92#、95#双枪，改造</w:t>
            </w:r>
          </w:p>
          <w:p w14:paraId="67E8EE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1台95#、98#双枪，改造</w:t>
            </w:r>
          </w:p>
        </w:tc>
      </w:tr>
      <w:tr w14:paraId="1F2A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689" w:type="dxa"/>
            <w:shd w:val="clear" w:color="auto" w:fill="FFFFFF"/>
            <w:noWrap w:val="0"/>
            <w:vAlign w:val="center"/>
          </w:tcPr>
          <w:p w14:paraId="04358D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6</w:t>
            </w:r>
          </w:p>
        </w:tc>
        <w:tc>
          <w:tcPr>
            <w:tcW w:w="1688" w:type="dxa"/>
            <w:tcBorders>
              <w:right w:val="single" w:color="auto" w:sz="4" w:space="0"/>
            </w:tcBorders>
            <w:noWrap w:val="0"/>
            <w:vAlign w:val="center"/>
          </w:tcPr>
          <w:p w14:paraId="0610A3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卸油区</w:t>
            </w:r>
          </w:p>
        </w:tc>
        <w:tc>
          <w:tcPr>
            <w:tcW w:w="1089" w:type="dxa"/>
            <w:tcBorders>
              <w:right w:val="single" w:color="auto" w:sz="4" w:space="0"/>
            </w:tcBorders>
            <w:noWrap w:val="0"/>
            <w:vAlign w:val="center"/>
          </w:tcPr>
          <w:p w14:paraId="02F0B0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处</w:t>
            </w:r>
          </w:p>
        </w:tc>
        <w:tc>
          <w:tcPr>
            <w:tcW w:w="1832" w:type="dxa"/>
            <w:tcBorders>
              <w:right w:val="single" w:color="auto" w:sz="4" w:space="0"/>
            </w:tcBorders>
            <w:noWrap w:val="0"/>
            <w:vAlign w:val="center"/>
          </w:tcPr>
          <w:p w14:paraId="343A6D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4295" w:type="dxa"/>
            <w:tcBorders>
              <w:right w:val="single" w:color="auto" w:sz="4" w:space="0"/>
            </w:tcBorders>
            <w:noWrap w:val="0"/>
            <w:vAlign w:val="center"/>
          </w:tcPr>
          <w:p w14:paraId="339C01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改造，含消防沙、消防器材</w:t>
            </w:r>
            <w:r>
              <w:rPr>
                <w:rFonts w:hint="eastAsia" w:ascii="Times New Roman" w:hAnsi="Times New Roman" w:eastAsia="宋体" w:cs="Times New Roman"/>
                <w:bCs/>
                <w:color w:val="auto"/>
                <w:sz w:val="21"/>
                <w:szCs w:val="21"/>
                <w:lang w:val="en-US" w:eastAsia="zh-CN"/>
              </w:rPr>
              <w:t>；3</w:t>
            </w:r>
            <w:r>
              <w:rPr>
                <w:rFonts w:hint="default" w:ascii="Times New Roman" w:hAnsi="Times New Roman" w:eastAsia="宋体" w:cs="Times New Roman"/>
                <w:bCs/>
                <w:color w:val="auto"/>
                <w:sz w:val="21"/>
                <w:szCs w:val="21"/>
                <w:lang w:val="en-US" w:eastAsia="zh-CN"/>
              </w:rPr>
              <w:t>个卸油口、1个油气回收口</w:t>
            </w:r>
          </w:p>
        </w:tc>
      </w:tr>
      <w:tr w14:paraId="1654B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atLeast"/>
          <w:jc w:val="center"/>
        </w:trPr>
        <w:tc>
          <w:tcPr>
            <w:tcW w:w="689" w:type="dxa"/>
            <w:shd w:val="clear" w:color="auto" w:fill="FFFFFF"/>
            <w:noWrap w:val="0"/>
            <w:vAlign w:val="center"/>
          </w:tcPr>
          <w:p w14:paraId="43A2C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7</w:t>
            </w:r>
          </w:p>
        </w:tc>
        <w:tc>
          <w:tcPr>
            <w:tcW w:w="1688" w:type="dxa"/>
            <w:tcBorders>
              <w:right w:val="single" w:color="auto" w:sz="4" w:space="0"/>
            </w:tcBorders>
            <w:noWrap w:val="0"/>
            <w:vAlign w:val="center"/>
          </w:tcPr>
          <w:p w14:paraId="7151E4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洗车区</w:t>
            </w:r>
          </w:p>
        </w:tc>
        <w:tc>
          <w:tcPr>
            <w:tcW w:w="1089" w:type="dxa"/>
            <w:tcBorders>
              <w:right w:val="single" w:color="auto" w:sz="4" w:space="0"/>
            </w:tcBorders>
            <w:noWrap w:val="0"/>
            <w:vAlign w:val="center"/>
          </w:tcPr>
          <w:p w14:paraId="56BCA6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处</w:t>
            </w:r>
          </w:p>
        </w:tc>
        <w:tc>
          <w:tcPr>
            <w:tcW w:w="1832" w:type="dxa"/>
            <w:tcBorders>
              <w:right w:val="single" w:color="auto" w:sz="4" w:space="0"/>
            </w:tcBorders>
            <w:noWrap w:val="0"/>
            <w:vAlign w:val="center"/>
          </w:tcPr>
          <w:p w14:paraId="3084C0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4295" w:type="dxa"/>
            <w:tcBorders>
              <w:right w:val="single" w:color="auto" w:sz="4" w:space="0"/>
            </w:tcBorders>
            <w:noWrap w:val="0"/>
            <w:vAlign w:val="center"/>
          </w:tcPr>
          <w:p w14:paraId="48BE63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利旧，洗车机一台</w:t>
            </w:r>
          </w:p>
        </w:tc>
      </w:tr>
      <w:tr w14:paraId="201A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689" w:type="dxa"/>
            <w:shd w:val="clear" w:color="auto" w:fill="FFFFFF"/>
            <w:noWrap w:val="0"/>
            <w:vAlign w:val="center"/>
          </w:tcPr>
          <w:p w14:paraId="483E1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8</w:t>
            </w:r>
          </w:p>
        </w:tc>
        <w:tc>
          <w:tcPr>
            <w:tcW w:w="1688" w:type="dxa"/>
            <w:tcBorders>
              <w:right w:val="single" w:color="auto" w:sz="4" w:space="0"/>
            </w:tcBorders>
            <w:noWrap w:val="0"/>
            <w:vAlign w:val="center"/>
          </w:tcPr>
          <w:p w14:paraId="22D290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隔油池</w:t>
            </w:r>
          </w:p>
        </w:tc>
        <w:tc>
          <w:tcPr>
            <w:tcW w:w="1089" w:type="dxa"/>
            <w:tcBorders>
              <w:right w:val="single" w:color="auto" w:sz="4" w:space="0"/>
            </w:tcBorders>
            <w:noWrap w:val="0"/>
            <w:vAlign w:val="center"/>
          </w:tcPr>
          <w:p w14:paraId="5E8497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座</w:t>
            </w:r>
          </w:p>
        </w:tc>
        <w:tc>
          <w:tcPr>
            <w:tcW w:w="1832" w:type="dxa"/>
            <w:tcBorders>
              <w:right w:val="single" w:color="auto" w:sz="4" w:space="0"/>
            </w:tcBorders>
            <w:noWrap w:val="0"/>
            <w:vAlign w:val="center"/>
          </w:tcPr>
          <w:p w14:paraId="0781D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1</w:t>
            </w:r>
          </w:p>
        </w:tc>
        <w:tc>
          <w:tcPr>
            <w:tcW w:w="4295" w:type="dxa"/>
            <w:tcBorders>
              <w:right w:val="single" w:color="auto" w:sz="4" w:space="0"/>
            </w:tcBorders>
            <w:noWrap w:val="0"/>
            <w:vAlign w:val="center"/>
          </w:tcPr>
          <w:p w14:paraId="586AB6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利旧</w:t>
            </w:r>
          </w:p>
        </w:tc>
      </w:tr>
    </w:tbl>
    <w:p w14:paraId="1CA50468">
      <w:pPr>
        <w:pStyle w:val="4"/>
        <w:spacing w:line="360" w:lineRule="auto"/>
        <w:jc w:val="both"/>
        <w:rPr>
          <w:rFonts w:hint="default" w:ascii="Times New Roman" w:hAnsi="Times New Roman" w:cs="Times New Roman"/>
          <w:color w:val="auto"/>
        </w:rPr>
      </w:pPr>
      <w:bookmarkStart w:id="97" w:name="_Toc18542"/>
      <w:r>
        <w:rPr>
          <w:rFonts w:hint="default" w:ascii="Times New Roman" w:hAnsi="Times New Roman" w:cs="Times New Roman"/>
          <w:color w:val="auto"/>
        </w:rPr>
        <w:t>2.3地理位置和自然条件</w:t>
      </w:r>
      <w:bookmarkEnd w:id="95"/>
      <w:bookmarkEnd w:id="96"/>
      <w:bookmarkEnd w:id="97"/>
    </w:p>
    <w:p w14:paraId="78E140AA">
      <w:pPr>
        <w:pStyle w:val="5"/>
        <w:spacing w:line="360" w:lineRule="auto"/>
        <w:ind w:left="0" w:leftChars="0" w:firstLine="0" w:firstLineChars="0"/>
        <w:jc w:val="both"/>
        <w:rPr>
          <w:rFonts w:hint="default" w:ascii="Times New Roman" w:hAnsi="Times New Roman" w:cs="Times New Roman"/>
          <w:color w:val="auto"/>
        </w:rPr>
      </w:pPr>
      <w:bookmarkStart w:id="98" w:name="_Toc28242"/>
      <w:bookmarkStart w:id="99" w:name="_Toc6257"/>
      <w:bookmarkStart w:id="100" w:name="_Toc28601"/>
      <w:bookmarkStart w:id="101" w:name="_Toc16516"/>
      <w:r>
        <w:rPr>
          <w:rFonts w:hint="default" w:ascii="Times New Roman" w:hAnsi="Times New Roman" w:cs="Times New Roman"/>
          <w:color w:val="auto"/>
        </w:rPr>
        <w:t>2.3.1地理位置</w:t>
      </w:r>
      <w:bookmarkEnd w:id="98"/>
      <w:bookmarkEnd w:id="99"/>
      <w:bookmarkEnd w:id="100"/>
      <w:bookmarkEnd w:id="101"/>
    </w:p>
    <w:p w14:paraId="43ED3CD9">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szCs w:val="28"/>
        </w:rPr>
      </w:pPr>
      <w:r>
        <w:rPr>
          <w:rFonts w:hint="eastAsia" w:cs="Times New Roman"/>
          <w:color w:val="auto"/>
          <w:szCs w:val="28"/>
          <w:lang w:val="en-US" w:eastAsia="zh-CN"/>
        </w:rPr>
        <w:t>该</w:t>
      </w:r>
      <w:r>
        <w:rPr>
          <w:rFonts w:hint="eastAsia" w:cs="Times New Roman"/>
          <w:color w:val="auto"/>
          <w:szCs w:val="28"/>
          <w:lang w:eastAsia="zh-CN"/>
        </w:rPr>
        <w:t>加油站</w:t>
      </w:r>
      <w:r>
        <w:rPr>
          <w:rFonts w:hint="default" w:ascii="Times New Roman" w:hAnsi="Times New Roman" w:cs="Times New Roman"/>
          <w:color w:val="auto"/>
          <w:szCs w:val="28"/>
        </w:rPr>
        <w:t>位于江西省</w:t>
      </w:r>
      <w:r>
        <w:rPr>
          <w:rFonts w:hint="eastAsia" w:cs="Times New Roman"/>
          <w:color w:val="auto"/>
          <w:szCs w:val="28"/>
          <w:lang w:val="en-US" w:eastAsia="zh-CN"/>
        </w:rPr>
        <w:t>铜鼓县城南路</w:t>
      </w:r>
      <w:r>
        <w:rPr>
          <w:rFonts w:hint="default" w:ascii="Times New Roman" w:hAnsi="Times New Roman" w:cs="Times New Roman"/>
          <w:color w:val="auto"/>
          <w:szCs w:val="28"/>
        </w:rPr>
        <w:t>。</w:t>
      </w:r>
    </w:p>
    <w:p w14:paraId="4DC85850">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eastAsia" w:ascii="Times New Roman" w:hAnsi="Times New Roman" w:eastAsia="宋体" w:cs="Times New Roman"/>
          <w:color w:val="auto"/>
          <w:szCs w:val="28"/>
          <w:lang w:eastAsia="zh-CN"/>
        </w:rPr>
      </w:pPr>
      <w:r>
        <w:rPr>
          <w:rFonts w:hint="default" w:ascii="Times New Roman" w:hAnsi="Times New Roman" w:cs="Times New Roman"/>
          <w:color w:val="auto"/>
          <w:szCs w:val="28"/>
        </w:rPr>
        <w:t>铜鼓县位于江西省西部、湘赣边界，地处南昌、长沙、武汉三个省会城市的圆心位置。因城东有一块巨石，颜色如铜，形状似鼓，击之有声，故名铜鼓。</w:t>
      </w:r>
    </w:p>
    <w:p w14:paraId="057C7BD4">
      <w:pPr>
        <w:keepNext w:val="0"/>
        <w:keepLines w:val="0"/>
        <w:pageBreakBefore w:val="0"/>
        <w:widowControl/>
        <w:kinsoku/>
        <w:wordWrap/>
        <w:overflowPunct/>
        <w:topLinePunct w:val="0"/>
        <w:autoSpaceDE/>
        <w:autoSpaceDN/>
        <w:bidi w:val="0"/>
        <w:adjustRightInd/>
        <w:snapToGrid w:val="0"/>
        <w:spacing w:line="360" w:lineRule="auto"/>
        <w:textAlignment w:val="auto"/>
        <w:rPr>
          <w:color w:val="auto"/>
        </w:rPr>
      </w:pPr>
      <w:r>
        <w:rPr>
          <w:rFonts w:hint="eastAsia"/>
          <w:color w:val="auto"/>
          <w:lang w:val="en-US" w:eastAsia="zh-CN"/>
        </w:rPr>
        <w:t>该加油站</w:t>
      </w:r>
      <w:r>
        <w:rPr>
          <w:rFonts w:hint="eastAsia"/>
          <w:color w:val="auto"/>
        </w:rPr>
        <w:t>所在位置见下图</w:t>
      </w:r>
      <w:r>
        <w:rPr>
          <w:color w:val="auto"/>
        </w:rPr>
        <w:t>：</w:t>
      </w:r>
    </w:p>
    <w:p w14:paraId="0B1CAA2B">
      <w:pPr>
        <w:pStyle w:val="60"/>
        <w:spacing w:line="240" w:lineRule="auto"/>
        <w:jc w:val="center"/>
        <w:rPr>
          <w:rFonts w:hint="eastAsia" w:eastAsia="宋体"/>
          <w:color w:val="auto"/>
          <w:lang w:eastAsia="zh-CN"/>
        </w:rPr>
      </w:pPr>
      <w:r>
        <w:rPr>
          <w:rFonts w:hint="eastAsia"/>
          <w:lang w:val="en-US" w:eastAsia="zh-CN"/>
        </w:rPr>
        <w:drawing>
          <wp:anchor distT="0" distB="0" distL="114300" distR="114300" simplePos="0" relativeHeight="251664384" behindDoc="0" locked="0" layoutInCell="1" allowOverlap="1">
            <wp:simplePos x="0" y="0"/>
            <wp:positionH relativeFrom="column">
              <wp:posOffset>1404620</wp:posOffset>
            </wp:positionH>
            <wp:positionV relativeFrom="paragraph">
              <wp:posOffset>120015</wp:posOffset>
            </wp:positionV>
            <wp:extent cx="2788920" cy="2557780"/>
            <wp:effectExtent l="0" t="0" r="5080" b="7620"/>
            <wp:wrapNone/>
            <wp:docPr id="25" name="图片 2" descr="aa8ef7159fade43181144476a95b3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descr="aa8ef7159fade43181144476a95b3bf"/>
                    <pic:cNvPicPr>
                      <a:picLocks noChangeAspect="1"/>
                    </pic:cNvPicPr>
                  </pic:nvPicPr>
                  <pic:blipFill>
                    <a:blip r:embed="rId14"/>
                    <a:stretch>
                      <a:fillRect/>
                    </a:stretch>
                  </pic:blipFill>
                  <pic:spPr>
                    <a:xfrm>
                      <a:off x="0" y="0"/>
                      <a:ext cx="2788920" cy="2557780"/>
                    </a:xfrm>
                    <a:prstGeom prst="rect">
                      <a:avLst/>
                    </a:prstGeom>
                    <a:noFill/>
                    <a:ln>
                      <a:noFill/>
                    </a:ln>
                  </pic:spPr>
                </pic:pic>
              </a:graphicData>
            </a:graphic>
          </wp:anchor>
        </w:drawing>
      </w:r>
    </w:p>
    <w:p w14:paraId="081D149F">
      <w:pPr>
        <w:pStyle w:val="60"/>
        <w:spacing w:line="240" w:lineRule="auto"/>
        <w:jc w:val="center"/>
        <w:rPr>
          <w:rFonts w:hint="eastAsia" w:eastAsia="宋体"/>
          <w:color w:val="auto"/>
          <w:lang w:eastAsia="zh-CN"/>
        </w:rPr>
      </w:pPr>
    </w:p>
    <w:p w14:paraId="63451601">
      <w:pPr>
        <w:pStyle w:val="21"/>
        <w:rPr>
          <w:rFonts w:hint="eastAsia" w:ascii="黑体" w:hAnsi="黑体"/>
          <w:color w:val="auto"/>
        </w:rPr>
      </w:pPr>
      <w:bookmarkStart w:id="102" w:name="_Toc2027"/>
      <w:bookmarkStart w:id="103" w:name="_Toc31562"/>
      <w:bookmarkStart w:id="104" w:name="_Toc26801"/>
    </w:p>
    <w:p w14:paraId="48B8BBAA">
      <w:pPr>
        <w:pStyle w:val="21"/>
        <w:rPr>
          <w:rFonts w:hint="eastAsia" w:ascii="黑体" w:hAnsi="黑体"/>
          <w:color w:val="auto"/>
        </w:rPr>
      </w:pPr>
    </w:p>
    <w:p w14:paraId="32AEB280">
      <w:pPr>
        <w:pStyle w:val="21"/>
        <w:rPr>
          <w:rFonts w:hint="eastAsia" w:ascii="黑体" w:hAnsi="黑体"/>
          <w:color w:val="auto"/>
        </w:rPr>
      </w:pPr>
    </w:p>
    <w:p w14:paraId="6B50024F">
      <w:pPr>
        <w:pStyle w:val="21"/>
        <w:rPr>
          <w:rFonts w:hint="eastAsia" w:ascii="黑体" w:hAnsi="黑体"/>
          <w:color w:val="auto"/>
        </w:rPr>
      </w:pPr>
    </w:p>
    <w:p w14:paraId="154A5135">
      <w:pPr>
        <w:pStyle w:val="21"/>
        <w:rPr>
          <w:rFonts w:hint="eastAsia" w:ascii="黑体" w:hAnsi="黑体"/>
          <w:color w:val="auto"/>
        </w:rPr>
      </w:pPr>
    </w:p>
    <w:p w14:paraId="3C96FC57">
      <w:pPr>
        <w:pStyle w:val="21"/>
        <w:rPr>
          <w:rFonts w:hint="eastAsia" w:ascii="黑体" w:hAnsi="黑体"/>
          <w:color w:val="auto"/>
        </w:rPr>
      </w:pPr>
    </w:p>
    <w:p w14:paraId="142ACF68">
      <w:pPr>
        <w:pStyle w:val="21"/>
        <w:rPr>
          <w:rFonts w:hint="eastAsia" w:ascii="黑体" w:hAnsi="黑体"/>
          <w:color w:val="auto"/>
        </w:rPr>
      </w:pPr>
    </w:p>
    <w:p w14:paraId="4E21DA84">
      <w:pPr>
        <w:pStyle w:val="21"/>
        <w:rPr>
          <w:rFonts w:hint="eastAsia" w:ascii="黑体" w:hAnsi="黑体"/>
          <w:color w:val="auto"/>
        </w:rPr>
      </w:pPr>
    </w:p>
    <w:p w14:paraId="799B5726">
      <w:pPr>
        <w:pStyle w:val="21"/>
        <w:rPr>
          <w:rFonts w:hint="eastAsia" w:ascii="黑体" w:hAnsi="黑体"/>
          <w:color w:val="auto"/>
        </w:rPr>
      </w:pPr>
    </w:p>
    <w:p w14:paraId="6A84A787">
      <w:pPr>
        <w:pStyle w:val="21"/>
        <w:rPr>
          <w:rFonts w:hint="eastAsia" w:ascii="黑体" w:hAnsi="黑体"/>
          <w:color w:val="auto"/>
        </w:rPr>
      </w:pPr>
    </w:p>
    <w:p w14:paraId="43768C8E">
      <w:pPr>
        <w:pStyle w:val="21"/>
        <w:rPr>
          <w:rFonts w:hint="eastAsia" w:ascii="黑体" w:hAnsi="黑体"/>
          <w:color w:val="auto"/>
        </w:rPr>
      </w:pPr>
    </w:p>
    <w:p w14:paraId="573E0CA0">
      <w:pPr>
        <w:pStyle w:val="21"/>
        <w:rPr>
          <w:rFonts w:hint="eastAsia" w:ascii="黑体" w:hAnsi="黑体"/>
          <w:color w:val="auto"/>
        </w:rPr>
      </w:pPr>
    </w:p>
    <w:p w14:paraId="024B77C0">
      <w:pPr>
        <w:pStyle w:val="21"/>
        <w:rPr>
          <w:rFonts w:hint="eastAsia" w:ascii="黑体" w:hAnsi="黑体"/>
          <w:color w:val="auto"/>
        </w:rPr>
      </w:pPr>
    </w:p>
    <w:p w14:paraId="3F4444F8">
      <w:pPr>
        <w:pStyle w:val="21"/>
        <w:rPr>
          <w:rFonts w:hint="eastAsia" w:ascii="黑体" w:hAnsi="黑体"/>
          <w:color w:val="auto"/>
        </w:rPr>
      </w:pPr>
    </w:p>
    <w:p w14:paraId="6A28B0FA">
      <w:pPr>
        <w:pStyle w:val="21"/>
        <w:rPr>
          <w:rFonts w:hint="eastAsia" w:ascii="黑体" w:hAnsi="黑体"/>
          <w:color w:val="auto"/>
        </w:rPr>
      </w:pPr>
      <w:r>
        <w:rPr>
          <w:rFonts w:hint="default" w:ascii="Times New Roman" w:hAnsi="Times New Roman" w:cs="Times New Roman"/>
          <w:color w:val="auto"/>
        </w:rPr>
        <w:t>图2.3-1 该加油站地理位</w:t>
      </w:r>
      <w:r>
        <w:rPr>
          <w:rFonts w:hint="eastAsia" w:ascii="黑体" w:hAnsi="黑体"/>
          <w:color w:val="auto"/>
        </w:rPr>
        <w:t>置图</w:t>
      </w:r>
    </w:p>
    <w:p w14:paraId="15305C5C">
      <w:pPr>
        <w:spacing w:line="240" w:lineRule="auto"/>
        <w:ind w:left="0" w:leftChars="0" w:firstLine="0" w:firstLineChars="0"/>
        <w:jc w:val="center"/>
        <w:rPr>
          <w:rFonts w:hint="eastAsia" w:eastAsia="宋体"/>
          <w:color w:val="auto"/>
          <w:kern w:val="0"/>
          <w:szCs w:val="28"/>
          <w:lang w:eastAsia="zh-CN"/>
        </w:rPr>
      </w:pPr>
    </w:p>
    <w:p w14:paraId="41A61BBD">
      <w:pPr>
        <w:pStyle w:val="5"/>
        <w:spacing w:line="360" w:lineRule="auto"/>
        <w:ind w:left="0" w:leftChars="0" w:firstLine="0" w:firstLineChars="0"/>
        <w:rPr>
          <w:rFonts w:hint="default" w:ascii="Times New Roman" w:hAnsi="Times New Roman" w:cs="Times New Roman"/>
          <w:color w:val="auto"/>
        </w:rPr>
      </w:pPr>
      <w:bookmarkStart w:id="105" w:name="_Toc17190"/>
      <w:r>
        <w:rPr>
          <w:rFonts w:hint="default" w:ascii="Times New Roman" w:hAnsi="Times New Roman" w:cs="Times New Roman"/>
          <w:color w:val="auto"/>
        </w:rPr>
        <w:t>2.3.2自然条件</w:t>
      </w:r>
      <w:bookmarkEnd w:id="102"/>
      <w:bookmarkEnd w:id="103"/>
      <w:bookmarkEnd w:id="104"/>
      <w:bookmarkEnd w:id="105"/>
    </w:p>
    <w:p w14:paraId="5C44661A">
      <w:pPr>
        <w:keepNext w:val="0"/>
        <w:keepLines w:val="0"/>
        <w:pageBreakBefore w:val="0"/>
        <w:widowControl w:val="0"/>
        <w:kinsoku/>
        <w:wordWrap/>
        <w:overflowPunct/>
        <w:topLinePunct w:val="0"/>
        <w:autoSpaceDE/>
        <w:autoSpaceDN/>
        <w:bidi w:val="0"/>
        <w:snapToGrid/>
        <w:spacing w:line="360" w:lineRule="auto"/>
        <w:ind w:firstLine="562"/>
        <w:textAlignment w:val="auto"/>
        <w:rPr>
          <w:color w:val="auto"/>
          <w:szCs w:val="28"/>
        </w:rPr>
      </w:pPr>
      <w:bookmarkStart w:id="106" w:name="_Toc298920843"/>
      <w:bookmarkStart w:id="107" w:name="_Toc22618"/>
      <w:bookmarkStart w:id="108" w:name="_Toc619"/>
      <w:bookmarkStart w:id="109" w:name="_Toc24065"/>
      <w:bookmarkStart w:id="110" w:name="_Toc15814"/>
      <w:bookmarkStart w:id="111" w:name="_Toc7933"/>
      <w:bookmarkStart w:id="112" w:name="_Toc14397"/>
      <w:r>
        <w:rPr>
          <w:rFonts w:ascii="Times New Roman" w:hAnsi="Times New Roman"/>
          <w:b/>
          <w:bCs/>
          <w:color w:val="auto"/>
          <w:szCs w:val="28"/>
        </w:rPr>
        <w:t>1</w:t>
      </w:r>
      <w:r>
        <w:rPr>
          <w:b/>
          <w:bCs/>
          <w:color w:val="auto"/>
          <w:szCs w:val="28"/>
        </w:rPr>
        <w:t>）</w:t>
      </w:r>
      <w:r>
        <w:rPr>
          <w:rFonts w:hint="eastAsia"/>
          <w:b/>
          <w:bCs/>
          <w:color w:val="auto"/>
          <w:szCs w:val="28"/>
        </w:rPr>
        <w:t>地形、地貌</w:t>
      </w:r>
    </w:p>
    <w:p w14:paraId="6FA36175">
      <w:pPr>
        <w:ind w:firstLine="560"/>
        <w:rPr>
          <w:color w:val="auto"/>
          <w:szCs w:val="28"/>
        </w:rPr>
      </w:pPr>
      <w:r>
        <w:rPr>
          <w:rFonts w:hint="eastAsia"/>
        </w:rPr>
        <w:t>铜鼓县地处赣西北边陲，修河上游，介于东经114°05′至114°44′，北纬28°22′至28°50′之间。铜鼓县地处九岭山脉南西端，东、南、西、北均被高山所环抱，境内山峦重叠，山岳连绵，地势自西南向东北倾斜，地形起伏大，山坡陡峭，平均坡度25~35度。海拔1000米以上的山峰20座，最高峰为大沩山七星岭主峰，海拔1608米，最低处为金鸡桥河口，海拔155米。南部山峰标高一般在1000米以上，北部山峰标高一般在600~800米；山脉延伸方向与构造线走向基本吻合，大致呈北东向展布。全县山丘占总面积的93%以上，其中山地84.5%，丘陵盆地占13%，属典型的山区县。</w:t>
      </w:r>
    </w:p>
    <w:p w14:paraId="784BDEC6">
      <w:pPr>
        <w:keepNext w:val="0"/>
        <w:keepLines w:val="0"/>
        <w:pageBreakBefore w:val="0"/>
        <w:widowControl w:val="0"/>
        <w:kinsoku/>
        <w:wordWrap/>
        <w:overflowPunct/>
        <w:topLinePunct w:val="0"/>
        <w:autoSpaceDE/>
        <w:autoSpaceDN/>
        <w:bidi w:val="0"/>
        <w:adjustRightInd w:val="0"/>
        <w:snapToGrid/>
        <w:spacing w:line="360" w:lineRule="auto"/>
        <w:ind w:firstLine="562"/>
        <w:textAlignment w:val="auto"/>
        <w:rPr>
          <w:b/>
          <w:bCs/>
          <w:color w:val="auto"/>
          <w:szCs w:val="28"/>
        </w:rPr>
      </w:pPr>
      <w:r>
        <w:rPr>
          <w:rFonts w:ascii="Times New Roman" w:hAnsi="Times New Roman"/>
          <w:b/>
          <w:bCs/>
          <w:color w:val="auto"/>
          <w:szCs w:val="28"/>
        </w:rPr>
        <w:t>2</w:t>
      </w:r>
      <w:r>
        <w:rPr>
          <w:b/>
          <w:bCs/>
          <w:color w:val="auto"/>
          <w:szCs w:val="28"/>
        </w:rPr>
        <w:t>）地震</w:t>
      </w:r>
    </w:p>
    <w:p w14:paraId="1ED895B2">
      <w:pPr>
        <w:keepNext w:val="0"/>
        <w:keepLines w:val="0"/>
        <w:pageBreakBefore w:val="0"/>
        <w:widowControl w:val="0"/>
        <w:kinsoku/>
        <w:wordWrap/>
        <w:overflowPunct/>
        <w:topLinePunct w:val="0"/>
        <w:autoSpaceDE/>
        <w:autoSpaceDN/>
        <w:bidi w:val="0"/>
        <w:adjustRightInd w:val="0"/>
        <w:snapToGrid/>
        <w:spacing w:line="360" w:lineRule="auto"/>
        <w:ind w:firstLine="560"/>
        <w:textAlignment w:val="auto"/>
        <w:rPr>
          <w:color w:val="auto"/>
          <w:szCs w:val="28"/>
        </w:rPr>
      </w:pPr>
      <w:r>
        <w:rPr>
          <w:rFonts w:hint="eastAsia"/>
          <w:color w:val="auto"/>
          <w:szCs w:val="28"/>
        </w:rPr>
        <w:t>根据《中国地震动参数区划图》（</w:t>
      </w:r>
      <w:r>
        <w:rPr>
          <w:rFonts w:hint="eastAsia" w:ascii="Times New Roman" w:hAnsi="Times New Roman"/>
          <w:color w:val="auto"/>
          <w:szCs w:val="28"/>
        </w:rPr>
        <w:t>GB</w:t>
      </w:r>
      <w:r>
        <w:rPr>
          <w:rFonts w:hint="eastAsia"/>
          <w:color w:val="auto"/>
          <w:szCs w:val="28"/>
        </w:rPr>
        <w:t xml:space="preserve"> </w:t>
      </w:r>
      <w:r>
        <w:rPr>
          <w:rFonts w:hint="eastAsia" w:ascii="Times New Roman" w:hAnsi="Times New Roman"/>
          <w:color w:val="auto"/>
          <w:szCs w:val="28"/>
        </w:rPr>
        <w:t>18306</w:t>
      </w:r>
      <w:r>
        <w:rPr>
          <w:rFonts w:hint="eastAsia"/>
          <w:color w:val="auto"/>
          <w:szCs w:val="28"/>
        </w:rPr>
        <w:t>-</w:t>
      </w:r>
      <w:r>
        <w:rPr>
          <w:rFonts w:hint="eastAsia" w:ascii="Times New Roman" w:hAnsi="Times New Roman"/>
          <w:color w:val="auto"/>
          <w:szCs w:val="28"/>
        </w:rPr>
        <w:t>2015</w:t>
      </w:r>
      <w:r>
        <w:rPr>
          <w:rFonts w:hint="eastAsia"/>
          <w:color w:val="auto"/>
          <w:szCs w:val="28"/>
        </w:rPr>
        <w:t>）和《</w:t>
      </w:r>
      <w:r>
        <w:rPr>
          <w:rFonts w:hint="eastAsia"/>
          <w:color w:val="auto"/>
          <w:szCs w:val="28"/>
          <w:lang w:eastAsia="zh-CN"/>
        </w:rPr>
        <w:t>建筑抗震设计标准</w:t>
      </w:r>
      <w:r>
        <w:rPr>
          <w:rFonts w:hint="eastAsia"/>
          <w:color w:val="auto"/>
          <w:szCs w:val="28"/>
        </w:rPr>
        <w:t>》</w:t>
      </w:r>
      <w:r>
        <w:rPr>
          <w:rFonts w:hint="eastAsia"/>
          <w:color w:val="auto"/>
          <w:szCs w:val="28"/>
          <w:lang w:eastAsia="zh-CN"/>
        </w:rPr>
        <w:t>GB/T 50011-2010[2024年版]</w:t>
      </w:r>
      <w:r>
        <w:rPr>
          <w:rFonts w:hint="eastAsia"/>
          <w:color w:val="auto"/>
          <w:szCs w:val="28"/>
        </w:rPr>
        <w:t>，</w:t>
      </w:r>
      <w:r>
        <w:rPr>
          <w:rFonts w:hint="eastAsia"/>
          <w:color w:val="auto"/>
          <w:szCs w:val="28"/>
          <w:lang w:val="en-US" w:eastAsia="zh-CN"/>
        </w:rPr>
        <w:t>铜鼓县</w:t>
      </w:r>
      <w:r>
        <w:rPr>
          <w:rFonts w:hint="eastAsia"/>
          <w:color w:val="auto"/>
          <w:szCs w:val="28"/>
        </w:rPr>
        <w:t>的地震动峰值加速度为</w:t>
      </w:r>
      <w:r>
        <w:rPr>
          <w:rFonts w:hint="eastAsia" w:ascii="Times New Roman" w:hAnsi="Times New Roman"/>
          <w:color w:val="auto"/>
          <w:szCs w:val="28"/>
        </w:rPr>
        <w:t>0</w:t>
      </w:r>
      <w:r>
        <w:rPr>
          <w:rFonts w:hint="eastAsia"/>
          <w:color w:val="auto"/>
          <w:szCs w:val="28"/>
        </w:rPr>
        <w:t>.</w:t>
      </w:r>
      <w:r>
        <w:rPr>
          <w:rFonts w:hint="eastAsia" w:ascii="Times New Roman" w:hAnsi="Times New Roman"/>
          <w:color w:val="auto"/>
          <w:szCs w:val="28"/>
        </w:rPr>
        <w:t>05g</w:t>
      </w:r>
      <w:r>
        <w:rPr>
          <w:rFonts w:hint="eastAsia"/>
          <w:color w:val="auto"/>
          <w:szCs w:val="28"/>
        </w:rPr>
        <w:t>，抗震设防烈度（基本烈度）为Ⅵ度。</w:t>
      </w:r>
    </w:p>
    <w:p w14:paraId="35E13E2E">
      <w:pPr>
        <w:keepNext w:val="0"/>
        <w:keepLines w:val="0"/>
        <w:pageBreakBefore w:val="0"/>
        <w:widowControl w:val="0"/>
        <w:kinsoku/>
        <w:wordWrap/>
        <w:overflowPunct/>
        <w:topLinePunct w:val="0"/>
        <w:autoSpaceDE/>
        <w:autoSpaceDN/>
        <w:bidi w:val="0"/>
        <w:adjustRightInd w:val="0"/>
        <w:snapToGrid/>
        <w:spacing w:line="360" w:lineRule="auto"/>
        <w:ind w:firstLine="562"/>
        <w:textAlignment w:val="auto"/>
        <w:rPr>
          <w:rFonts w:hint="eastAsia" w:eastAsia="宋体"/>
          <w:b/>
          <w:bCs/>
          <w:color w:val="auto"/>
          <w:szCs w:val="28"/>
          <w:lang w:val="en-US" w:eastAsia="zh-CN"/>
        </w:rPr>
      </w:pPr>
      <w:r>
        <w:rPr>
          <w:rFonts w:ascii="Times New Roman" w:hAnsi="Times New Roman"/>
          <w:b/>
          <w:bCs/>
          <w:color w:val="auto"/>
          <w:szCs w:val="28"/>
        </w:rPr>
        <w:t>3</w:t>
      </w:r>
      <w:r>
        <w:rPr>
          <w:b/>
          <w:bCs/>
          <w:color w:val="auto"/>
          <w:szCs w:val="28"/>
        </w:rPr>
        <w:t>）水文</w:t>
      </w:r>
    </w:p>
    <w:p w14:paraId="07E856DE">
      <w:pPr>
        <w:shd w:val="clear" w:fill="FFFFFF" w:themeFill="background1"/>
        <w:ind w:firstLine="560"/>
        <w:rPr>
          <w:rFonts w:hint="eastAsia"/>
          <w:spacing w:val="-2"/>
        </w:rPr>
      </w:pPr>
      <w:r>
        <w:rPr>
          <w:rFonts w:hint="eastAsia"/>
          <w:spacing w:val="-2"/>
        </w:rPr>
        <w:t>铜鼓县地处江西省宜春市，宜春市市内水资源十分丰富，多年平均水资源总量达1821.51亿立方米。</w:t>
      </w:r>
      <w:r>
        <w:rPr>
          <w:rFonts w:hint="eastAsia"/>
          <w:spacing w:val="-2"/>
          <w:lang w:eastAsia="zh-CN"/>
        </w:rPr>
        <w:t>地表水资源</w:t>
      </w:r>
      <w:r>
        <w:rPr>
          <w:rFonts w:hint="eastAsia"/>
          <w:spacing w:val="-2"/>
        </w:rPr>
        <w:t>来自降水，全市多年平均降水总量311.87亿立方米，平均降水量在1670.4毫米左右，平均地表水资源为179.24亿立方米，年人均占有水量3402亿立方米。</w:t>
      </w:r>
    </w:p>
    <w:p w14:paraId="662B1483">
      <w:pPr>
        <w:shd w:val="clear" w:fill="FFFFFF" w:themeFill="background1"/>
        <w:ind w:firstLine="560"/>
        <w:rPr>
          <w:rFonts w:hint="eastAsia" w:ascii="Times New Roman" w:hAnsi="Times New Roman" w:eastAsia="宋体" w:cs="Times New Roman"/>
          <w:lang w:eastAsia="zh-CN"/>
        </w:rPr>
      </w:pPr>
      <w:r>
        <w:rPr>
          <w:rFonts w:hint="eastAsia"/>
          <w:spacing w:val="-2"/>
        </w:rPr>
        <w:t>地下水资源，市地下水源丰富，全市多年平均地下水（浅层）资源量为49.60亿立方米，平均地下水基流模数为26.57万立方米/年平方公里。市内地下水包括平原、山丘等类型。</w:t>
      </w:r>
    </w:p>
    <w:p w14:paraId="7B596133">
      <w:pPr>
        <w:keepNext w:val="0"/>
        <w:keepLines w:val="0"/>
        <w:pageBreakBefore w:val="0"/>
        <w:widowControl w:val="0"/>
        <w:kinsoku/>
        <w:wordWrap/>
        <w:overflowPunct/>
        <w:topLinePunct w:val="0"/>
        <w:autoSpaceDE/>
        <w:autoSpaceDN/>
        <w:bidi w:val="0"/>
        <w:adjustRightInd w:val="0"/>
        <w:snapToGrid/>
        <w:spacing w:before="192" w:beforeLines="50" w:line="360" w:lineRule="auto"/>
        <w:ind w:firstLine="562"/>
        <w:textAlignment w:val="auto"/>
        <w:rPr>
          <w:rFonts w:hint="default" w:ascii="Times New Roman" w:hAnsi="Times New Roman"/>
          <w:b/>
          <w:bCs/>
          <w:color w:val="auto"/>
          <w:szCs w:val="28"/>
        </w:rPr>
      </w:pPr>
      <w:r>
        <w:rPr>
          <w:rFonts w:hint="default" w:ascii="Times New Roman" w:hAnsi="Times New Roman"/>
          <w:b/>
          <w:bCs/>
          <w:color w:val="auto"/>
          <w:szCs w:val="28"/>
        </w:rPr>
        <w:t>（4）气象条件</w:t>
      </w:r>
    </w:p>
    <w:p w14:paraId="0FE2EC08">
      <w:pPr>
        <w:ind w:firstLine="560"/>
        <w:rPr>
          <w:rFonts w:hint="eastAsia" w:ascii="Times New Roman" w:hAnsi="Times New Roman" w:eastAsia="宋体" w:cs="Times New Roman"/>
        </w:rPr>
      </w:pPr>
      <w:r>
        <w:rPr>
          <w:rFonts w:hint="eastAsia" w:ascii="Times New Roman" w:hAnsi="Times New Roman" w:eastAsia="宋体" w:cs="Times New Roman"/>
        </w:rPr>
        <w:t>铜鼓属中亚热带北部湿润气候，气候温润，冬无严寒，夏少酷暑，四季分明，雨量充沛，光照充足，无霜期长。多年平均气温16.4℃。1月平均气温4.6℃，极端最低气温-13.4℃（1972年2月9日）。7月平均气温27.3℃；极端最高气温 40.1℃（2010年8月5日）。月平均气温年较差22.4℃，最大日较差25.6℃（1969年4月 10日）。生长期（日平均气温稳定通过 5℃）年平均259天，无霜期年平均265天，最长达317天，最短达232天。年平均日照时数1460.4小时，年总辐射97075.1千卡/平方厘米。0℃以上持续期350天（2月1日~次年1月20日）。年平均降水量 1771.4mm，年平均降雨日数为155天，最多达208天（1997年），最少为128天（1963年）。极端年最大雨量2848.5mm（1998年），极端年最少雨量1138.4mm（1963年）。降雨量集中在每年4月至6月，6月最多。根据企业提供雷电防护装置检测报告，该地区位于雷电高易发区域，年平均雷暴日59.2天。</w:t>
      </w:r>
    </w:p>
    <w:p w14:paraId="3503CFDD">
      <w:pPr>
        <w:ind w:firstLine="560"/>
        <w:rPr>
          <w:rFonts w:hint="default" w:ascii="Times New Roman" w:hAnsi="Times New Roman" w:eastAsia="宋体" w:cs="Times New Roman"/>
          <w:lang w:eastAsia="zh-CN"/>
        </w:rPr>
      </w:pPr>
      <w:r>
        <w:rPr>
          <w:rFonts w:hint="eastAsia" w:ascii="Times New Roman" w:hAnsi="Times New Roman" w:eastAsia="宋体" w:cs="Times New Roman"/>
        </w:rPr>
        <w:t>铜鼓平均年蒸发量1380~1510.6mm，一年中10月至次年3月蒸发量较大，占全年蒸发量的76.6%，4月至9月占蒸发量23.4%。春季以东北偏东风出现频率最高，值为7.4%，夏、秋、冬均以东(E)风为主导风向，出现频率分别为7.8%、7.9%、7.7%。年平均风速为1.1m/s（含静风），最大风速2.8m/s。</w:t>
      </w:r>
    </w:p>
    <w:p w14:paraId="71FC2608">
      <w:pPr>
        <w:pStyle w:val="4"/>
        <w:spacing w:line="360" w:lineRule="auto"/>
        <w:jc w:val="both"/>
        <w:rPr>
          <w:rFonts w:hint="default" w:ascii="Times New Roman" w:hAnsi="Times New Roman" w:cs="Times New Roman"/>
          <w:color w:val="auto"/>
        </w:rPr>
      </w:pPr>
      <w:bookmarkStart w:id="113" w:name="_Toc26766"/>
      <w:bookmarkStart w:id="114" w:name="_Toc765"/>
      <w:bookmarkStart w:id="115" w:name="_Toc10276"/>
      <w:bookmarkStart w:id="116" w:name="_Toc26445"/>
      <w:r>
        <w:rPr>
          <w:rFonts w:hint="default" w:ascii="Times New Roman" w:hAnsi="Times New Roman" w:cs="Times New Roman"/>
          <w:color w:val="auto"/>
        </w:rPr>
        <w:t>2.</w:t>
      </w:r>
      <w:bookmarkEnd w:id="106"/>
      <w:r>
        <w:rPr>
          <w:rFonts w:hint="default" w:ascii="Times New Roman" w:hAnsi="Times New Roman" w:cs="Times New Roman"/>
          <w:color w:val="auto"/>
        </w:rPr>
        <w:t>4周边环境及总平面布置</w:t>
      </w:r>
      <w:bookmarkEnd w:id="107"/>
      <w:bookmarkEnd w:id="108"/>
      <w:bookmarkEnd w:id="109"/>
      <w:bookmarkEnd w:id="110"/>
      <w:bookmarkEnd w:id="111"/>
      <w:bookmarkEnd w:id="112"/>
      <w:bookmarkEnd w:id="113"/>
      <w:bookmarkEnd w:id="114"/>
      <w:bookmarkEnd w:id="115"/>
      <w:bookmarkEnd w:id="116"/>
    </w:p>
    <w:p w14:paraId="2B90C65F">
      <w:pPr>
        <w:pStyle w:val="5"/>
        <w:spacing w:line="360" w:lineRule="auto"/>
        <w:ind w:left="0" w:leftChars="0" w:firstLine="0" w:firstLineChars="0"/>
        <w:rPr>
          <w:rFonts w:hint="default" w:ascii="Times New Roman" w:hAnsi="Times New Roman" w:cs="Times New Roman"/>
          <w:color w:val="auto"/>
        </w:rPr>
      </w:pPr>
      <w:bookmarkStart w:id="117" w:name="_Toc28110"/>
      <w:r>
        <w:rPr>
          <w:rFonts w:hint="default" w:ascii="Times New Roman" w:hAnsi="Times New Roman" w:cs="Times New Roman"/>
          <w:color w:val="auto"/>
        </w:rPr>
        <w:t>2.4.1周边环境</w:t>
      </w:r>
      <w:bookmarkEnd w:id="117"/>
    </w:p>
    <w:p w14:paraId="2DA5E4F8">
      <w:pPr>
        <w:snapToGrid w:val="0"/>
        <w:spacing w:line="360" w:lineRule="auto"/>
        <w:ind w:firstLine="560"/>
        <w:rPr>
          <w:rFonts w:hint="eastAsia"/>
          <w:color w:val="auto"/>
          <w:lang w:val="en-US" w:eastAsia="zh-CN"/>
        </w:rPr>
      </w:pPr>
      <w:r>
        <w:rPr>
          <w:rFonts w:hint="eastAsia"/>
          <w:color w:val="auto"/>
          <w:lang w:val="en-US" w:eastAsia="zh-CN"/>
        </w:rPr>
        <w:t>该加油站位于江西省铜鼓县城南路。</w:t>
      </w:r>
    </w:p>
    <w:p w14:paraId="0D063A11">
      <w:pPr>
        <w:snapToGrid w:val="0"/>
        <w:spacing w:line="360" w:lineRule="auto"/>
        <w:ind w:firstLine="560"/>
        <w:rPr>
          <w:rFonts w:hint="eastAsia"/>
          <w:color w:val="auto"/>
          <w:lang w:val="en-US" w:eastAsia="zh-CN"/>
        </w:rPr>
      </w:pPr>
      <w:r>
        <w:rPr>
          <w:rFonts w:hint="eastAsia"/>
          <w:color w:val="auto"/>
          <w:lang w:val="en-US" w:eastAsia="zh-CN"/>
        </w:rPr>
        <w:t>（1）东面：饭店（三类保护物），与最近工艺设备（通气管管口）距离19.3m；架空通讯线（H=6m），与最近工艺设备（通气管管口）距离15.2m。</w:t>
      </w:r>
    </w:p>
    <w:p w14:paraId="1220DC25">
      <w:pPr>
        <w:snapToGrid w:val="0"/>
        <w:spacing w:line="360" w:lineRule="auto"/>
        <w:ind w:firstLine="560"/>
        <w:rPr>
          <w:rFonts w:hint="eastAsia"/>
          <w:color w:val="auto"/>
          <w:lang w:val="en-US" w:eastAsia="zh-CN"/>
        </w:rPr>
      </w:pPr>
      <w:r>
        <w:rPr>
          <w:rFonts w:hint="eastAsia"/>
          <w:color w:val="auto"/>
          <w:lang w:val="en-US" w:eastAsia="zh-CN"/>
        </w:rPr>
        <w:t>（2）东南面：民房（三类保护物），与最近工艺设备（加油机）距离16.0m。</w:t>
      </w:r>
    </w:p>
    <w:p w14:paraId="6BD83C6C">
      <w:pPr>
        <w:snapToGrid w:val="0"/>
        <w:spacing w:line="360" w:lineRule="auto"/>
        <w:ind w:firstLine="560"/>
        <w:rPr>
          <w:rFonts w:hint="eastAsia"/>
          <w:color w:val="auto"/>
          <w:lang w:val="en-US" w:eastAsia="zh-CN"/>
        </w:rPr>
      </w:pPr>
      <w:r>
        <w:rPr>
          <w:rFonts w:hint="eastAsia"/>
          <w:color w:val="auto"/>
          <w:lang w:val="en-US" w:eastAsia="zh-CN"/>
        </w:rPr>
        <w:t>（3）南面：闲置办公楼（三类保护物），与最近工艺设备（加油机）距离20.1m。</w:t>
      </w:r>
    </w:p>
    <w:p w14:paraId="604B5486">
      <w:pPr>
        <w:snapToGrid w:val="0"/>
        <w:spacing w:line="360" w:lineRule="auto"/>
        <w:ind w:firstLine="560"/>
        <w:rPr>
          <w:rFonts w:hint="eastAsia"/>
          <w:color w:val="auto"/>
          <w:lang w:val="en-US" w:eastAsia="zh-CN"/>
        </w:rPr>
      </w:pPr>
      <w:r>
        <w:rPr>
          <w:rFonts w:hint="eastAsia"/>
          <w:color w:val="auto"/>
          <w:lang w:val="en-US" w:eastAsia="zh-CN"/>
        </w:rPr>
        <w:t>（4）西南面：住宅楼（三类保护物），与最近工艺设备（通气管管口）距离28.8m。</w:t>
      </w:r>
    </w:p>
    <w:p w14:paraId="01F1989D">
      <w:pPr>
        <w:snapToGrid w:val="0"/>
        <w:spacing w:line="360" w:lineRule="auto"/>
        <w:ind w:firstLine="560"/>
        <w:rPr>
          <w:rFonts w:hint="eastAsia"/>
          <w:color w:val="auto"/>
          <w:lang w:val="en-US" w:eastAsia="zh-CN"/>
        </w:rPr>
      </w:pPr>
      <w:r>
        <w:rPr>
          <w:rFonts w:hint="eastAsia"/>
          <w:color w:val="auto"/>
          <w:lang w:val="en-US" w:eastAsia="zh-CN"/>
        </w:rPr>
        <w:t>（5）西面：住宅楼（三类保护物），与最近工艺设备（通气管管口）距离21.9m。</w:t>
      </w:r>
    </w:p>
    <w:p w14:paraId="24080D8B">
      <w:pPr>
        <w:snapToGrid w:val="0"/>
        <w:spacing w:line="360" w:lineRule="auto"/>
        <w:ind w:firstLine="560"/>
        <w:rPr>
          <w:rFonts w:hint="eastAsia"/>
          <w:color w:val="auto"/>
          <w:lang w:val="en-US" w:eastAsia="zh-CN"/>
        </w:rPr>
      </w:pPr>
      <w:r>
        <w:rPr>
          <w:rFonts w:hint="eastAsia"/>
          <w:color w:val="auto"/>
          <w:lang w:val="en-US" w:eastAsia="zh-CN"/>
        </w:rPr>
        <w:t>（6）北面：城南东路（三类保护物），与最近工艺设备（加油机）距离20.4m；架空电力线（H=10m），与最近工艺设备（加油机）距离19.0m。</w:t>
      </w:r>
    </w:p>
    <w:p w14:paraId="5B5C7709">
      <w:pPr>
        <w:snapToGrid w:val="0"/>
        <w:spacing w:line="360" w:lineRule="auto"/>
        <w:ind w:firstLine="560"/>
        <w:rPr>
          <w:color w:val="auto"/>
        </w:rPr>
      </w:pPr>
      <w:r>
        <w:rPr>
          <w:rFonts w:hint="eastAsia"/>
          <w:color w:val="auto"/>
          <w:lang w:val="en-US" w:eastAsia="zh-CN"/>
        </w:rPr>
        <w:t xml:space="preserve"> </w:t>
      </w:r>
      <w:r>
        <w:rPr>
          <w:rFonts w:hint="eastAsia"/>
          <w:color w:val="auto"/>
        </w:rPr>
        <w:t>该加油站的汽油设备与站外建（构）筑物的安全间距如下表所示：</w:t>
      </w:r>
    </w:p>
    <w:p w14:paraId="59553AF2">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表2.4-1 油罐、加油机和通气管管口与站外建、构筑物实际距离（m）</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6"/>
        <w:gridCol w:w="1398"/>
        <w:gridCol w:w="1737"/>
        <w:gridCol w:w="1499"/>
        <w:gridCol w:w="2627"/>
      </w:tblGrid>
      <w:tr w14:paraId="11FCD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noWrap w:val="0"/>
            <w:vAlign w:val="top"/>
          </w:tcPr>
          <w:p w14:paraId="5C19B78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名称</w:t>
            </w:r>
          </w:p>
        </w:tc>
        <w:tc>
          <w:tcPr>
            <w:tcW w:w="1398" w:type="dxa"/>
            <w:noWrap w:val="0"/>
            <w:vAlign w:val="top"/>
          </w:tcPr>
          <w:p w14:paraId="2D2D5F3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方位</w:t>
            </w:r>
          </w:p>
        </w:tc>
        <w:tc>
          <w:tcPr>
            <w:tcW w:w="1737" w:type="dxa"/>
            <w:noWrap w:val="0"/>
            <w:vAlign w:val="top"/>
          </w:tcPr>
          <w:p w14:paraId="7BC301C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建构筑物</w:t>
            </w:r>
          </w:p>
        </w:tc>
        <w:tc>
          <w:tcPr>
            <w:tcW w:w="1499" w:type="dxa"/>
            <w:noWrap w:val="0"/>
            <w:vAlign w:val="center"/>
          </w:tcPr>
          <w:p w14:paraId="5F957EA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实测间距</w:t>
            </w:r>
          </w:p>
          <w:p w14:paraId="21D1E20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(m)</w:t>
            </w:r>
          </w:p>
        </w:tc>
        <w:tc>
          <w:tcPr>
            <w:tcW w:w="2627" w:type="dxa"/>
            <w:noWrap w:val="0"/>
            <w:vAlign w:val="top"/>
          </w:tcPr>
          <w:p w14:paraId="532EFF0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标准要求(m)  (GB50156-2021)</w:t>
            </w:r>
          </w:p>
        </w:tc>
      </w:tr>
      <w:tr w14:paraId="4B665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636" w:type="dxa"/>
            <w:vMerge w:val="restart"/>
            <w:noWrap w:val="0"/>
            <w:vAlign w:val="center"/>
          </w:tcPr>
          <w:p w14:paraId="2AEB3D8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埋地油罐（三级站）</w:t>
            </w:r>
          </w:p>
        </w:tc>
        <w:tc>
          <w:tcPr>
            <w:tcW w:w="1398" w:type="dxa"/>
            <w:noWrap w:val="0"/>
            <w:vAlign w:val="center"/>
          </w:tcPr>
          <w:p w14:paraId="7996E06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2E38274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饭店</w:t>
            </w:r>
          </w:p>
        </w:tc>
        <w:tc>
          <w:tcPr>
            <w:tcW w:w="1499" w:type="dxa"/>
            <w:noWrap w:val="0"/>
            <w:vAlign w:val="center"/>
          </w:tcPr>
          <w:p w14:paraId="3B96ECE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21.8</w:t>
            </w:r>
          </w:p>
        </w:tc>
        <w:tc>
          <w:tcPr>
            <w:tcW w:w="2627" w:type="dxa"/>
            <w:noWrap w:val="0"/>
            <w:vAlign w:val="center"/>
          </w:tcPr>
          <w:p w14:paraId="17D947B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49344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1636" w:type="dxa"/>
            <w:vMerge w:val="continue"/>
            <w:noWrap w:val="0"/>
            <w:vAlign w:val="center"/>
          </w:tcPr>
          <w:p w14:paraId="380A391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01D98FD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7EA80D2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架空通讯线</w:t>
            </w:r>
          </w:p>
        </w:tc>
        <w:tc>
          <w:tcPr>
            <w:tcW w:w="1499" w:type="dxa"/>
            <w:noWrap w:val="0"/>
            <w:vAlign w:val="center"/>
          </w:tcPr>
          <w:p w14:paraId="3BBC93A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17.5</w:t>
            </w:r>
          </w:p>
        </w:tc>
        <w:tc>
          <w:tcPr>
            <w:tcW w:w="2627" w:type="dxa"/>
            <w:noWrap w:val="0"/>
            <w:vAlign w:val="center"/>
          </w:tcPr>
          <w:p w14:paraId="7B716FA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607C6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1636" w:type="dxa"/>
            <w:vMerge w:val="continue"/>
            <w:noWrap w:val="0"/>
            <w:vAlign w:val="center"/>
          </w:tcPr>
          <w:p w14:paraId="2F995E6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71C9527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东南侧</w:t>
            </w:r>
          </w:p>
        </w:tc>
        <w:tc>
          <w:tcPr>
            <w:tcW w:w="1737" w:type="dxa"/>
            <w:noWrap w:val="0"/>
            <w:vAlign w:val="center"/>
          </w:tcPr>
          <w:p w14:paraId="214B35D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民房</w:t>
            </w:r>
          </w:p>
        </w:tc>
        <w:tc>
          <w:tcPr>
            <w:tcW w:w="1499" w:type="dxa"/>
            <w:noWrap w:val="0"/>
            <w:vAlign w:val="center"/>
          </w:tcPr>
          <w:p w14:paraId="5E9AF4C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17.4</w:t>
            </w:r>
          </w:p>
        </w:tc>
        <w:tc>
          <w:tcPr>
            <w:tcW w:w="2627" w:type="dxa"/>
            <w:noWrap w:val="0"/>
            <w:vAlign w:val="center"/>
          </w:tcPr>
          <w:p w14:paraId="118304A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12F3D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1636" w:type="dxa"/>
            <w:vMerge w:val="continue"/>
            <w:noWrap w:val="0"/>
            <w:vAlign w:val="center"/>
          </w:tcPr>
          <w:p w14:paraId="568DC23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3C17347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南侧</w:t>
            </w:r>
          </w:p>
        </w:tc>
        <w:tc>
          <w:tcPr>
            <w:tcW w:w="1737" w:type="dxa"/>
            <w:noWrap w:val="0"/>
            <w:vAlign w:val="center"/>
          </w:tcPr>
          <w:p w14:paraId="385EF5C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闲置办公楼</w:t>
            </w:r>
          </w:p>
        </w:tc>
        <w:tc>
          <w:tcPr>
            <w:tcW w:w="1499" w:type="dxa"/>
            <w:noWrap w:val="0"/>
            <w:vAlign w:val="center"/>
          </w:tcPr>
          <w:p w14:paraId="06B6458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21.5</w:t>
            </w:r>
          </w:p>
        </w:tc>
        <w:tc>
          <w:tcPr>
            <w:tcW w:w="2627" w:type="dxa"/>
            <w:noWrap w:val="0"/>
            <w:vAlign w:val="center"/>
          </w:tcPr>
          <w:p w14:paraId="355EB1E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03610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636" w:type="dxa"/>
            <w:vMerge w:val="continue"/>
            <w:noWrap w:val="0"/>
            <w:vAlign w:val="center"/>
          </w:tcPr>
          <w:p w14:paraId="7B77A85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08E6321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西南侧</w:t>
            </w:r>
          </w:p>
        </w:tc>
        <w:tc>
          <w:tcPr>
            <w:tcW w:w="1737" w:type="dxa"/>
            <w:noWrap w:val="0"/>
            <w:vAlign w:val="center"/>
          </w:tcPr>
          <w:p w14:paraId="5396A7D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1533180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31.2</w:t>
            </w:r>
          </w:p>
        </w:tc>
        <w:tc>
          <w:tcPr>
            <w:tcW w:w="2627" w:type="dxa"/>
            <w:noWrap w:val="0"/>
            <w:vAlign w:val="center"/>
          </w:tcPr>
          <w:p w14:paraId="493E190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23362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636" w:type="dxa"/>
            <w:vMerge w:val="continue"/>
            <w:noWrap w:val="0"/>
            <w:vAlign w:val="center"/>
          </w:tcPr>
          <w:p w14:paraId="0E67641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6724F9B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西侧</w:t>
            </w:r>
          </w:p>
        </w:tc>
        <w:tc>
          <w:tcPr>
            <w:tcW w:w="1737" w:type="dxa"/>
            <w:noWrap w:val="0"/>
            <w:vAlign w:val="center"/>
          </w:tcPr>
          <w:p w14:paraId="03138AA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06927A1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23.8</w:t>
            </w:r>
          </w:p>
        </w:tc>
        <w:tc>
          <w:tcPr>
            <w:tcW w:w="2627" w:type="dxa"/>
            <w:noWrap w:val="0"/>
            <w:vAlign w:val="center"/>
          </w:tcPr>
          <w:p w14:paraId="25E58DB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6AF9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8" w:hRule="atLeast"/>
        </w:trPr>
        <w:tc>
          <w:tcPr>
            <w:tcW w:w="1636" w:type="dxa"/>
            <w:vMerge w:val="continue"/>
            <w:noWrap w:val="0"/>
            <w:vAlign w:val="center"/>
          </w:tcPr>
          <w:p w14:paraId="3510E105">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vertAlign w:val="baseline"/>
                <w:lang w:val="en-US" w:eastAsia="zh-CN"/>
              </w:rPr>
            </w:pPr>
          </w:p>
        </w:tc>
        <w:tc>
          <w:tcPr>
            <w:tcW w:w="1398" w:type="dxa"/>
            <w:noWrap w:val="0"/>
            <w:vAlign w:val="center"/>
          </w:tcPr>
          <w:p w14:paraId="1CBAB6F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北侧</w:t>
            </w:r>
          </w:p>
        </w:tc>
        <w:tc>
          <w:tcPr>
            <w:tcW w:w="1737" w:type="dxa"/>
            <w:noWrap w:val="0"/>
            <w:vAlign w:val="center"/>
          </w:tcPr>
          <w:p w14:paraId="3BE9F0F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架空电力线</w:t>
            </w:r>
          </w:p>
        </w:tc>
        <w:tc>
          <w:tcPr>
            <w:tcW w:w="1499" w:type="dxa"/>
            <w:noWrap w:val="0"/>
            <w:vAlign w:val="center"/>
          </w:tcPr>
          <w:p w14:paraId="5E1DD66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23.3</w:t>
            </w:r>
          </w:p>
        </w:tc>
        <w:tc>
          <w:tcPr>
            <w:tcW w:w="2627" w:type="dxa"/>
            <w:noWrap w:val="0"/>
            <w:vAlign w:val="center"/>
          </w:tcPr>
          <w:p w14:paraId="495E359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7B9EF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6" w:type="dxa"/>
            <w:vMerge w:val="continue"/>
            <w:noWrap w:val="0"/>
            <w:vAlign w:val="center"/>
          </w:tcPr>
          <w:p w14:paraId="0B8A1633">
            <w:pPr>
              <w:keepNext w:val="0"/>
              <w:keepLines w:val="0"/>
              <w:widowControl w:val="0"/>
              <w:suppressLineNumbers w:val="0"/>
              <w:spacing w:before="0" w:beforeAutospacing="0" w:after="0" w:afterAutospacing="0"/>
              <w:ind w:left="0" w:right="0"/>
              <w:jc w:val="center"/>
              <w:rPr>
                <w:rFonts w:hint="default" w:ascii="Times New Roman" w:hAnsi="Times New Roman" w:cs="Times New Roman"/>
                <w:color w:val="auto"/>
                <w:sz w:val="21"/>
                <w:szCs w:val="21"/>
                <w:vertAlign w:val="baseline"/>
              </w:rPr>
            </w:pPr>
          </w:p>
        </w:tc>
        <w:tc>
          <w:tcPr>
            <w:tcW w:w="1398" w:type="dxa"/>
            <w:noWrap w:val="0"/>
            <w:vAlign w:val="center"/>
          </w:tcPr>
          <w:p w14:paraId="257A57B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北面</w:t>
            </w:r>
          </w:p>
        </w:tc>
        <w:tc>
          <w:tcPr>
            <w:tcW w:w="1737" w:type="dxa"/>
            <w:noWrap w:val="0"/>
            <w:vAlign w:val="center"/>
          </w:tcPr>
          <w:p w14:paraId="617262A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城南东路</w:t>
            </w:r>
          </w:p>
        </w:tc>
        <w:tc>
          <w:tcPr>
            <w:tcW w:w="1499" w:type="dxa"/>
            <w:noWrap w:val="0"/>
            <w:vAlign w:val="center"/>
          </w:tcPr>
          <w:p w14:paraId="3ACB9AC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24.5</w:t>
            </w:r>
          </w:p>
        </w:tc>
        <w:tc>
          <w:tcPr>
            <w:tcW w:w="2627" w:type="dxa"/>
            <w:noWrap w:val="0"/>
            <w:vAlign w:val="center"/>
          </w:tcPr>
          <w:p w14:paraId="0AFD576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5.5</w:t>
            </w:r>
          </w:p>
        </w:tc>
      </w:tr>
      <w:tr w14:paraId="6737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636" w:type="dxa"/>
            <w:vMerge w:val="restart"/>
            <w:noWrap w:val="0"/>
            <w:vAlign w:val="center"/>
          </w:tcPr>
          <w:p w14:paraId="171C91E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加油机</w:t>
            </w:r>
          </w:p>
          <w:p w14:paraId="1698862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（设油气回收系统）</w:t>
            </w:r>
          </w:p>
        </w:tc>
        <w:tc>
          <w:tcPr>
            <w:tcW w:w="1398" w:type="dxa"/>
            <w:noWrap w:val="0"/>
            <w:vAlign w:val="center"/>
          </w:tcPr>
          <w:p w14:paraId="6C40BEC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786CF20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饭店</w:t>
            </w:r>
          </w:p>
        </w:tc>
        <w:tc>
          <w:tcPr>
            <w:tcW w:w="1499" w:type="dxa"/>
            <w:noWrap w:val="0"/>
            <w:vAlign w:val="center"/>
          </w:tcPr>
          <w:p w14:paraId="1546188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20.3</w:t>
            </w:r>
          </w:p>
        </w:tc>
        <w:tc>
          <w:tcPr>
            <w:tcW w:w="2627" w:type="dxa"/>
            <w:noWrap w:val="0"/>
            <w:vAlign w:val="center"/>
          </w:tcPr>
          <w:p w14:paraId="18BBC64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4B218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71F74BC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58FB5C6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127B9AE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架空通讯线</w:t>
            </w:r>
          </w:p>
        </w:tc>
        <w:tc>
          <w:tcPr>
            <w:tcW w:w="1499" w:type="dxa"/>
            <w:noWrap w:val="0"/>
            <w:vAlign w:val="center"/>
          </w:tcPr>
          <w:p w14:paraId="6BA52C7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15.8</w:t>
            </w:r>
          </w:p>
        </w:tc>
        <w:tc>
          <w:tcPr>
            <w:tcW w:w="2627" w:type="dxa"/>
            <w:noWrap w:val="0"/>
            <w:vAlign w:val="center"/>
          </w:tcPr>
          <w:p w14:paraId="6AC320C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2AEFE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5F2B066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6730112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东南侧</w:t>
            </w:r>
          </w:p>
        </w:tc>
        <w:tc>
          <w:tcPr>
            <w:tcW w:w="1737" w:type="dxa"/>
            <w:noWrap w:val="0"/>
            <w:vAlign w:val="center"/>
          </w:tcPr>
          <w:p w14:paraId="57135C1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民房</w:t>
            </w:r>
          </w:p>
        </w:tc>
        <w:tc>
          <w:tcPr>
            <w:tcW w:w="1499" w:type="dxa"/>
            <w:noWrap w:val="0"/>
            <w:vAlign w:val="center"/>
          </w:tcPr>
          <w:p w14:paraId="4AA71ED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16.0</w:t>
            </w:r>
          </w:p>
        </w:tc>
        <w:tc>
          <w:tcPr>
            <w:tcW w:w="2627" w:type="dxa"/>
            <w:noWrap w:val="0"/>
            <w:vAlign w:val="center"/>
          </w:tcPr>
          <w:p w14:paraId="5FDFF20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2E921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5580A5C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4144EA8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南侧</w:t>
            </w:r>
          </w:p>
        </w:tc>
        <w:tc>
          <w:tcPr>
            <w:tcW w:w="1737" w:type="dxa"/>
            <w:noWrap w:val="0"/>
            <w:vAlign w:val="center"/>
          </w:tcPr>
          <w:p w14:paraId="6AF4319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闲置办公楼</w:t>
            </w:r>
          </w:p>
        </w:tc>
        <w:tc>
          <w:tcPr>
            <w:tcW w:w="1499" w:type="dxa"/>
            <w:noWrap w:val="0"/>
            <w:vAlign w:val="center"/>
          </w:tcPr>
          <w:p w14:paraId="7BAE628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20.1</w:t>
            </w:r>
          </w:p>
        </w:tc>
        <w:tc>
          <w:tcPr>
            <w:tcW w:w="2627" w:type="dxa"/>
            <w:noWrap w:val="0"/>
            <w:vAlign w:val="center"/>
          </w:tcPr>
          <w:p w14:paraId="0F9AA59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5A6C2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5AA4039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43686BA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西南侧</w:t>
            </w:r>
          </w:p>
        </w:tc>
        <w:tc>
          <w:tcPr>
            <w:tcW w:w="1737" w:type="dxa"/>
            <w:noWrap w:val="0"/>
            <w:vAlign w:val="center"/>
          </w:tcPr>
          <w:p w14:paraId="3252D9D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2082662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29.6</w:t>
            </w:r>
          </w:p>
        </w:tc>
        <w:tc>
          <w:tcPr>
            <w:tcW w:w="2627" w:type="dxa"/>
            <w:noWrap w:val="0"/>
            <w:vAlign w:val="center"/>
          </w:tcPr>
          <w:p w14:paraId="7F94CCA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70418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13410C3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2D2F029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西侧</w:t>
            </w:r>
          </w:p>
        </w:tc>
        <w:tc>
          <w:tcPr>
            <w:tcW w:w="1737" w:type="dxa"/>
            <w:noWrap w:val="0"/>
            <w:vAlign w:val="center"/>
          </w:tcPr>
          <w:p w14:paraId="5AE7951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2A9E650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22.8</w:t>
            </w:r>
          </w:p>
        </w:tc>
        <w:tc>
          <w:tcPr>
            <w:tcW w:w="2627" w:type="dxa"/>
            <w:noWrap w:val="0"/>
            <w:vAlign w:val="center"/>
          </w:tcPr>
          <w:p w14:paraId="0F1BD54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1D493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6AA5F76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0C8D478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北侧</w:t>
            </w:r>
          </w:p>
        </w:tc>
        <w:tc>
          <w:tcPr>
            <w:tcW w:w="1737" w:type="dxa"/>
            <w:noWrap w:val="0"/>
            <w:vAlign w:val="center"/>
          </w:tcPr>
          <w:p w14:paraId="207BB75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架空电力线</w:t>
            </w:r>
          </w:p>
        </w:tc>
        <w:tc>
          <w:tcPr>
            <w:tcW w:w="1499" w:type="dxa"/>
            <w:noWrap w:val="0"/>
            <w:vAlign w:val="center"/>
          </w:tcPr>
          <w:p w14:paraId="5A2F84D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19.0</w:t>
            </w:r>
          </w:p>
        </w:tc>
        <w:tc>
          <w:tcPr>
            <w:tcW w:w="2627" w:type="dxa"/>
            <w:noWrap w:val="0"/>
            <w:vAlign w:val="center"/>
          </w:tcPr>
          <w:p w14:paraId="35151A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65D1C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noWrap w:val="0"/>
            <w:vAlign w:val="center"/>
          </w:tcPr>
          <w:p w14:paraId="547A616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noWrap w:val="0"/>
            <w:vAlign w:val="center"/>
          </w:tcPr>
          <w:p w14:paraId="4F0DE2D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北面</w:t>
            </w:r>
          </w:p>
        </w:tc>
        <w:tc>
          <w:tcPr>
            <w:tcW w:w="1737" w:type="dxa"/>
            <w:noWrap w:val="0"/>
            <w:vAlign w:val="center"/>
          </w:tcPr>
          <w:p w14:paraId="573BD37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城南东路</w:t>
            </w:r>
          </w:p>
        </w:tc>
        <w:tc>
          <w:tcPr>
            <w:tcW w:w="1499" w:type="dxa"/>
            <w:noWrap w:val="0"/>
            <w:vAlign w:val="center"/>
          </w:tcPr>
          <w:p w14:paraId="42C84E8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20.4</w:t>
            </w:r>
          </w:p>
        </w:tc>
        <w:tc>
          <w:tcPr>
            <w:tcW w:w="2627" w:type="dxa"/>
            <w:noWrap w:val="0"/>
            <w:vAlign w:val="center"/>
          </w:tcPr>
          <w:p w14:paraId="7C2E7B2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2F1E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1636" w:type="dxa"/>
            <w:vMerge w:val="restart"/>
            <w:tcBorders>
              <w:top w:val="single" w:color="auto" w:sz="4" w:space="0"/>
              <w:left w:val="single" w:color="auto" w:sz="4" w:space="0"/>
              <w:bottom w:val="single" w:color="auto" w:sz="4" w:space="0"/>
              <w:right w:val="single" w:color="auto" w:sz="4" w:space="0"/>
            </w:tcBorders>
            <w:noWrap w:val="0"/>
            <w:vAlign w:val="center"/>
          </w:tcPr>
          <w:p w14:paraId="7B06DE1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通气管管口</w:t>
            </w:r>
          </w:p>
        </w:tc>
        <w:tc>
          <w:tcPr>
            <w:tcW w:w="1398" w:type="dxa"/>
            <w:tcBorders>
              <w:left w:val="single" w:color="auto" w:sz="4" w:space="0"/>
            </w:tcBorders>
            <w:noWrap w:val="0"/>
            <w:vAlign w:val="center"/>
          </w:tcPr>
          <w:p w14:paraId="7A20741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1E66D65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饭店</w:t>
            </w:r>
          </w:p>
        </w:tc>
        <w:tc>
          <w:tcPr>
            <w:tcW w:w="1499" w:type="dxa"/>
            <w:noWrap w:val="0"/>
            <w:vAlign w:val="center"/>
          </w:tcPr>
          <w:p w14:paraId="15FC442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19.3</w:t>
            </w:r>
          </w:p>
        </w:tc>
        <w:tc>
          <w:tcPr>
            <w:tcW w:w="2627" w:type="dxa"/>
            <w:noWrap w:val="0"/>
            <w:vAlign w:val="center"/>
          </w:tcPr>
          <w:p w14:paraId="231A124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64CA6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3763E05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3140BA4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东侧</w:t>
            </w:r>
          </w:p>
        </w:tc>
        <w:tc>
          <w:tcPr>
            <w:tcW w:w="1737" w:type="dxa"/>
            <w:noWrap w:val="0"/>
            <w:vAlign w:val="top"/>
          </w:tcPr>
          <w:p w14:paraId="4077383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架空通讯线</w:t>
            </w:r>
          </w:p>
        </w:tc>
        <w:tc>
          <w:tcPr>
            <w:tcW w:w="1499" w:type="dxa"/>
            <w:noWrap w:val="0"/>
            <w:vAlign w:val="center"/>
          </w:tcPr>
          <w:p w14:paraId="779EFE3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15.2</w:t>
            </w:r>
          </w:p>
        </w:tc>
        <w:tc>
          <w:tcPr>
            <w:tcW w:w="2627" w:type="dxa"/>
            <w:noWrap w:val="0"/>
            <w:vAlign w:val="center"/>
          </w:tcPr>
          <w:p w14:paraId="5538822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0151A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53F35A3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4E1EDC7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东南侧</w:t>
            </w:r>
          </w:p>
        </w:tc>
        <w:tc>
          <w:tcPr>
            <w:tcW w:w="1737" w:type="dxa"/>
            <w:noWrap w:val="0"/>
            <w:vAlign w:val="center"/>
          </w:tcPr>
          <w:p w14:paraId="79454B9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民房</w:t>
            </w:r>
          </w:p>
        </w:tc>
        <w:tc>
          <w:tcPr>
            <w:tcW w:w="1499" w:type="dxa"/>
            <w:noWrap w:val="0"/>
            <w:vAlign w:val="center"/>
          </w:tcPr>
          <w:p w14:paraId="5ACECA6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16.0</w:t>
            </w:r>
          </w:p>
        </w:tc>
        <w:tc>
          <w:tcPr>
            <w:tcW w:w="2627" w:type="dxa"/>
            <w:noWrap w:val="0"/>
            <w:vAlign w:val="center"/>
          </w:tcPr>
          <w:p w14:paraId="31FBF51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7EBDD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18332AB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6B85E57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南侧</w:t>
            </w:r>
          </w:p>
        </w:tc>
        <w:tc>
          <w:tcPr>
            <w:tcW w:w="1737" w:type="dxa"/>
            <w:noWrap w:val="0"/>
            <w:vAlign w:val="center"/>
          </w:tcPr>
          <w:p w14:paraId="1AAE9BC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闲置办公楼</w:t>
            </w:r>
          </w:p>
        </w:tc>
        <w:tc>
          <w:tcPr>
            <w:tcW w:w="1499" w:type="dxa"/>
            <w:noWrap w:val="0"/>
            <w:vAlign w:val="center"/>
          </w:tcPr>
          <w:p w14:paraId="5EC46BE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20.1</w:t>
            </w:r>
          </w:p>
        </w:tc>
        <w:tc>
          <w:tcPr>
            <w:tcW w:w="2627" w:type="dxa"/>
            <w:noWrap w:val="0"/>
            <w:vAlign w:val="center"/>
          </w:tcPr>
          <w:p w14:paraId="2EFDC61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05AC4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337924D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30E8160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西南侧</w:t>
            </w:r>
          </w:p>
        </w:tc>
        <w:tc>
          <w:tcPr>
            <w:tcW w:w="1737" w:type="dxa"/>
            <w:noWrap w:val="0"/>
            <w:vAlign w:val="center"/>
          </w:tcPr>
          <w:p w14:paraId="2F7DD22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5045B97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28.8</w:t>
            </w:r>
          </w:p>
        </w:tc>
        <w:tc>
          <w:tcPr>
            <w:tcW w:w="2627" w:type="dxa"/>
            <w:noWrap w:val="0"/>
            <w:vAlign w:val="center"/>
          </w:tcPr>
          <w:p w14:paraId="2E4987A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29EF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7C373F70">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0B9A956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西侧</w:t>
            </w:r>
          </w:p>
        </w:tc>
        <w:tc>
          <w:tcPr>
            <w:tcW w:w="1737" w:type="dxa"/>
            <w:noWrap w:val="0"/>
            <w:vAlign w:val="center"/>
          </w:tcPr>
          <w:p w14:paraId="3AFCAE1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418ED7A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21.9</w:t>
            </w:r>
          </w:p>
        </w:tc>
        <w:tc>
          <w:tcPr>
            <w:tcW w:w="2627" w:type="dxa"/>
            <w:noWrap w:val="0"/>
            <w:vAlign w:val="center"/>
          </w:tcPr>
          <w:p w14:paraId="53C9FF4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7</w:t>
            </w:r>
          </w:p>
        </w:tc>
      </w:tr>
      <w:tr w14:paraId="6A5C3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center"/>
          </w:tcPr>
          <w:p w14:paraId="0E05988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68DD0F3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北侧</w:t>
            </w:r>
          </w:p>
        </w:tc>
        <w:tc>
          <w:tcPr>
            <w:tcW w:w="1737" w:type="dxa"/>
            <w:noWrap w:val="0"/>
            <w:vAlign w:val="center"/>
          </w:tcPr>
          <w:p w14:paraId="61ED14D6">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架空电力线</w:t>
            </w:r>
          </w:p>
        </w:tc>
        <w:tc>
          <w:tcPr>
            <w:tcW w:w="1499" w:type="dxa"/>
            <w:noWrap w:val="0"/>
            <w:vAlign w:val="center"/>
          </w:tcPr>
          <w:p w14:paraId="7DE8A7DC">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30.5</w:t>
            </w:r>
          </w:p>
        </w:tc>
        <w:tc>
          <w:tcPr>
            <w:tcW w:w="2627" w:type="dxa"/>
            <w:noWrap w:val="0"/>
            <w:vAlign w:val="center"/>
          </w:tcPr>
          <w:p w14:paraId="4B8CA14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2E66A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top w:val="single" w:color="auto" w:sz="4" w:space="0"/>
              <w:left w:val="single" w:color="auto" w:sz="4" w:space="0"/>
              <w:bottom w:val="single" w:color="auto" w:sz="4" w:space="0"/>
              <w:right w:val="single" w:color="auto" w:sz="4" w:space="0"/>
            </w:tcBorders>
            <w:noWrap w:val="0"/>
            <w:vAlign w:val="top"/>
          </w:tcPr>
          <w:p w14:paraId="7811FB9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noWrap w:val="0"/>
            <w:vAlign w:val="center"/>
          </w:tcPr>
          <w:p w14:paraId="32B75BC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北面</w:t>
            </w:r>
          </w:p>
        </w:tc>
        <w:tc>
          <w:tcPr>
            <w:tcW w:w="1737" w:type="dxa"/>
            <w:noWrap w:val="0"/>
            <w:vAlign w:val="center"/>
          </w:tcPr>
          <w:p w14:paraId="7E365FA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城南东路</w:t>
            </w:r>
          </w:p>
        </w:tc>
        <w:tc>
          <w:tcPr>
            <w:tcW w:w="1499" w:type="dxa"/>
            <w:noWrap w:val="0"/>
            <w:vAlign w:val="center"/>
          </w:tcPr>
          <w:p w14:paraId="66A4A1F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31.9</w:t>
            </w:r>
          </w:p>
        </w:tc>
        <w:tc>
          <w:tcPr>
            <w:tcW w:w="2627" w:type="dxa"/>
            <w:noWrap w:val="0"/>
            <w:vAlign w:val="center"/>
          </w:tcPr>
          <w:p w14:paraId="6E712C9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5</w:t>
            </w:r>
          </w:p>
        </w:tc>
      </w:tr>
      <w:tr w14:paraId="1F1F0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restart"/>
            <w:tcBorders>
              <w:top w:val="single" w:color="auto" w:sz="4" w:space="0"/>
              <w:left w:val="single" w:color="auto" w:sz="4" w:space="0"/>
              <w:right w:val="single" w:color="auto" w:sz="4" w:space="0"/>
            </w:tcBorders>
            <w:noWrap w:val="0"/>
            <w:vAlign w:val="top"/>
          </w:tcPr>
          <w:p w14:paraId="40A3B69D">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p>
          <w:p w14:paraId="015C257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p w14:paraId="2D666E4F">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p w14:paraId="6B81E87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p w14:paraId="3DB3105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密闭卸油</w:t>
            </w:r>
            <w:r>
              <w:rPr>
                <w:rFonts w:hint="eastAsia" w:ascii="Times New Roman" w:hAnsi="Times New Roman" w:eastAsia="宋体" w:cs="Times New Roman"/>
                <w:color w:val="auto"/>
                <w:sz w:val="21"/>
                <w:szCs w:val="21"/>
                <w:vertAlign w:val="baseline"/>
                <w:lang w:val="en-US" w:eastAsia="zh-CN"/>
              </w:rPr>
              <w:t>口</w:t>
            </w:r>
          </w:p>
        </w:tc>
        <w:tc>
          <w:tcPr>
            <w:tcW w:w="1398" w:type="dxa"/>
            <w:tcBorders>
              <w:left w:val="single" w:color="auto" w:sz="4" w:space="0"/>
            </w:tcBorders>
            <w:shd w:val="clear" w:color="auto" w:fill="auto"/>
            <w:noWrap w:val="0"/>
            <w:vAlign w:val="center"/>
          </w:tcPr>
          <w:p w14:paraId="44BF0A14">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东侧</w:t>
            </w:r>
          </w:p>
        </w:tc>
        <w:tc>
          <w:tcPr>
            <w:tcW w:w="1737" w:type="dxa"/>
            <w:shd w:val="clear" w:color="auto" w:fill="auto"/>
            <w:noWrap w:val="0"/>
            <w:vAlign w:val="top"/>
          </w:tcPr>
          <w:p w14:paraId="7231FE95">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饭店</w:t>
            </w:r>
          </w:p>
        </w:tc>
        <w:tc>
          <w:tcPr>
            <w:tcW w:w="1499" w:type="dxa"/>
            <w:noWrap w:val="0"/>
            <w:vAlign w:val="center"/>
          </w:tcPr>
          <w:p w14:paraId="76AA430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26.0</w:t>
            </w:r>
          </w:p>
        </w:tc>
        <w:tc>
          <w:tcPr>
            <w:tcW w:w="2627" w:type="dxa"/>
            <w:noWrap w:val="0"/>
            <w:vAlign w:val="center"/>
          </w:tcPr>
          <w:p w14:paraId="55EA849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09107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2D60B2D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5DE24B57">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东侧</w:t>
            </w:r>
          </w:p>
        </w:tc>
        <w:tc>
          <w:tcPr>
            <w:tcW w:w="1737" w:type="dxa"/>
            <w:shd w:val="clear" w:color="auto" w:fill="auto"/>
            <w:noWrap w:val="0"/>
            <w:vAlign w:val="top"/>
          </w:tcPr>
          <w:p w14:paraId="69C55A46">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架空通讯线</w:t>
            </w:r>
          </w:p>
        </w:tc>
        <w:tc>
          <w:tcPr>
            <w:tcW w:w="1499" w:type="dxa"/>
            <w:noWrap w:val="0"/>
            <w:vAlign w:val="center"/>
          </w:tcPr>
          <w:p w14:paraId="4D4A7CF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24.5</w:t>
            </w:r>
          </w:p>
        </w:tc>
        <w:tc>
          <w:tcPr>
            <w:tcW w:w="2627" w:type="dxa"/>
            <w:noWrap w:val="0"/>
            <w:vAlign w:val="center"/>
          </w:tcPr>
          <w:p w14:paraId="731968C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695D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48615901">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18C85679">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东南侧</w:t>
            </w:r>
          </w:p>
        </w:tc>
        <w:tc>
          <w:tcPr>
            <w:tcW w:w="1737" w:type="dxa"/>
            <w:shd w:val="clear" w:color="auto" w:fill="auto"/>
            <w:noWrap w:val="0"/>
            <w:vAlign w:val="center"/>
          </w:tcPr>
          <w:p w14:paraId="2C8FBF23">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民房</w:t>
            </w:r>
          </w:p>
        </w:tc>
        <w:tc>
          <w:tcPr>
            <w:tcW w:w="1499" w:type="dxa"/>
            <w:noWrap w:val="0"/>
            <w:vAlign w:val="center"/>
          </w:tcPr>
          <w:p w14:paraId="3A4B9EC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27.2</w:t>
            </w:r>
          </w:p>
        </w:tc>
        <w:tc>
          <w:tcPr>
            <w:tcW w:w="2627" w:type="dxa"/>
            <w:noWrap w:val="0"/>
            <w:vAlign w:val="center"/>
          </w:tcPr>
          <w:p w14:paraId="361F7A6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00DA5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7554D80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2C5615C7">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南侧</w:t>
            </w:r>
          </w:p>
        </w:tc>
        <w:tc>
          <w:tcPr>
            <w:tcW w:w="1737" w:type="dxa"/>
            <w:shd w:val="clear" w:color="auto" w:fill="auto"/>
            <w:noWrap w:val="0"/>
            <w:vAlign w:val="center"/>
          </w:tcPr>
          <w:p w14:paraId="18823ECD">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闲置办公楼</w:t>
            </w:r>
          </w:p>
        </w:tc>
        <w:tc>
          <w:tcPr>
            <w:tcW w:w="1499" w:type="dxa"/>
            <w:noWrap w:val="0"/>
            <w:vAlign w:val="center"/>
          </w:tcPr>
          <w:p w14:paraId="32A84C07">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33.0</w:t>
            </w:r>
          </w:p>
        </w:tc>
        <w:tc>
          <w:tcPr>
            <w:tcW w:w="2627" w:type="dxa"/>
            <w:noWrap w:val="0"/>
            <w:vAlign w:val="center"/>
          </w:tcPr>
          <w:p w14:paraId="6DF9803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493A7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3CFCBD7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18A700B5">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西南侧</w:t>
            </w:r>
          </w:p>
        </w:tc>
        <w:tc>
          <w:tcPr>
            <w:tcW w:w="1737" w:type="dxa"/>
            <w:shd w:val="clear" w:color="auto" w:fill="auto"/>
            <w:noWrap w:val="0"/>
            <w:vAlign w:val="center"/>
          </w:tcPr>
          <w:p w14:paraId="675F9374">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70EDC3E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42.3</w:t>
            </w:r>
          </w:p>
        </w:tc>
        <w:tc>
          <w:tcPr>
            <w:tcW w:w="2627" w:type="dxa"/>
            <w:noWrap w:val="0"/>
            <w:vAlign w:val="center"/>
          </w:tcPr>
          <w:p w14:paraId="76AEAC9E">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7FAD6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79EDA978">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770FB9EA">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西侧</w:t>
            </w:r>
          </w:p>
        </w:tc>
        <w:tc>
          <w:tcPr>
            <w:tcW w:w="1737" w:type="dxa"/>
            <w:shd w:val="clear" w:color="auto" w:fill="auto"/>
            <w:noWrap w:val="0"/>
            <w:vAlign w:val="center"/>
          </w:tcPr>
          <w:p w14:paraId="4386BF2B">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住宅楼</w:t>
            </w:r>
          </w:p>
        </w:tc>
        <w:tc>
          <w:tcPr>
            <w:tcW w:w="1499" w:type="dxa"/>
            <w:noWrap w:val="0"/>
            <w:vAlign w:val="center"/>
          </w:tcPr>
          <w:p w14:paraId="0D06782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30.0</w:t>
            </w:r>
          </w:p>
        </w:tc>
        <w:tc>
          <w:tcPr>
            <w:tcW w:w="2627" w:type="dxa"/>
            <w:noWrap w:val="0"/>
            <w:vAlign w:val="center"/>
          </w:tcPr>
          <w:p w14:paraId="7901229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32025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right w:val="single" w:color="auto" w:sz="4" w:space="0"/>
            </w:tcBorders>
            <w:noWrap w:val="0"/>
            <w:vAlign w:val="top"/>
          </w:tcPr>
          <w:p w14:paraId="6A6AA29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6D30884B">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北侧</w:t>
            </w:r>
          </w:p>
        </w:tc>
        <w:tc>
          <w:tcPr>
            <w:tcW w:w="1737" w:type="dxa"/>
            <w:shd w:val="clear" w:color="auto" w:fill="auto"/>
            <w:noWrap w:val="0"/>
            <w:vAlign w:val="center"/>
          </w:tcPr>
          <w:p w14:paraId="115C986B">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架空电力线</w:t>
            </w:r>
          </w:p>
        </w:tc>
        <w:tc>
          <w:tcPr>
            <w:tcW w:w="1499" w:type="dxa"/>
            <w:shd w:val="clear" w:color="auto" w:fill="auto"/>
            <w:noWrap w:val="0"/>
            <w:vAlign w:val="center"/>
          </w:tcPr>
          <w:p w14:paraId="497ADAC8">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19.0</w:t>
            </w:r>
          </w:p>
        </w:tc>
        <w:tc>
          <w:tcPr>
            <w:tcW w:w="2627" w:type="dxa"/>
            <w:noWrap w:val="0"/>
            <w:vAlign w:val="center"/>
          </w:tcPr>
          <w:p w14:paraId="494B2133">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r w14:paraId="563A9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6" w:type="dxa"/>
            <w:vMerge w:val="continue"/>
            <w:tcBorders>
              <w:left w:val="single" w:color="auto" w:sz="4" w:space="0"/>
              <w:bottom w:val="single" w:color="auto" w:sz="4" w:space="0"/>
              <w:right w:val="single" w:color="auto" w:sz="4" w:space="0"/>
            </w:tcBorders>
            <w:noWrap w:val="0"/>
            <w:vAlign w:val="top"/>
          </w:tcPr>
          <w:p w14:paraId="5F5D5F95">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p>
        </w:tc>
        <w:tc>
          <w:tcPr>
            <w:tcW w:w="1398" w:type="dxa"/>
            <w:tcBorders>
              <w:left w:val="single" w:color="auto" w:sz="4" w:space="0"/>
            </w:tcBorders>
            <w:shd w:val="clear" w:color="auto" w:fill="auto"/>
            <w:noWrap w:val="0"/>
            <w:vAlign w:val="center"/>
          </w:tcPr>
          <w:p w14:paraId="221EC668">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北面</w:t>
            </w:r>
          </w:p>
        </w:tc>
        <w:tc>
          <w:tcPr>
            <w:tcW w:w="1737" w:type="dxa"/>
            <w:shd w:val="clear" w:color="auto" w:fill="auto"/>
            <w:noWrap w:val="0"/>
            <w:vAlign w:val="center"/>
          </w:tcPr>
          <w:p w14:paraId="7124672C">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城南东路</w:t>
            </w:r>
          </w:p>
        </w:tc>
        <w:tc>
          <w:tcPr>
            <w:tcW w:w="1499" w:type="dxa"/>
            <w:shd w:val="clear" w:color="auto" w:fill="auto"/>
            <w:noWrap w:val="0"/>
            <w:vAlign w:val="center"/>
          </w:tcPr>
          <w:p w14:paraId="07566F09">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20.4</w:t>
            </w:r>
          </w:p>
        </w:tc>
        <w:tc>
          <w:tcPr>
            <w:tcW w:w="2627" w:type="dxa"/>
            <w:noWrap w:val="0"/>
            <w:vAlign w:val="center"/>
          </w:tcPr>
          <w:p w14:paraId="7A9BCF44">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1.5</w:t>
            </w:r>
          </w:p>
        </w:tc>
      </w:tr>
    </w:tbl>
    <w:p w14:paraId="0E30EAD7">
      <w:pPr>
        <w:spacing w:line="360" w:lineRule="auto"/>
        <w:ind w:firstLine="560"/>
        <w:rPr>
          <w:color w:val="auto"/>
        </w:rPr>
      </w:pPr>
      <w:r>
        <w:rPr>
          <w:color w:val="auto"/>
        </w:rPr>
        <w:t>从上表可知，该加油站汽油设备与站外建（构）筑物的安全间距均符合《汽车加油加气加氢站技术</w:t>
      </w:r>
      <w:r>
        <w:rPr>
          <w:color w:val="auto"/>
          <w:shd w:val="clear" w:fill="FFFFFF" w:themeFill="background1"/>
        </w:rPr>
        <w:t>标准》（</w:t>
      </w:r>
      <w:r>
        <w:rPr>
          <w:rFonts w:hint="eastAsia" w:ascii="Times New Roman" w:hAnsi="Times New Roman"/>
          <w:color w:val="auto"/>
          <w:shd w:val="clear" w:fill="FFFFFF" w:themeFill="background1"/>
        </w:rPr>
        <w:t>GB50156</w:t>
      </w:r>
      <w:r>
        <w:rPr>
          <w:rFonts w:hint="eastAsia"/>
          <w:color w:val="auto"/>
          <w:shd w:val="clear" w:fill="FFFFFF" w:themeFill="background1"/>
        </w:rPr>
        <w:t>-</w:t>
      </w:r>
      <w:r>
        <w:rPr>
          <w:rFonts w:hint="eastAsia" w:ascii="Times New Roman" w:hAnsi="Times New Roman"/>
          <w:color w:val="auto"/>
          <w:shd w:val="clear" w:fill="FFFFFF" w:themeFill="background1"/>
        </w:rPr>
        <w:t>2021</w:t>
      </w:r>
      <w:r>
        <w:rPr>
          <w:color w:val="auto"/>
          <w:shd w:val="clear" w:fill="FFFFFF" w:themeFill="background1"/>
        </w:rPr>
        <w:t>）表</w:t>
      </w:r>
      <w:r>
        <w:rPr>
          <w:rFonts w:ascii="Times New Roman" w:hAnsi="Times New Roman"/>
          <w:color w:val="auto"/>
          <w:shd w:val="clear" w:fill="FFFFFF" w:themeFill="background1"/>
        </w:rPr>
        <w:t>4</w:t>
      </w:r>
      <w:r>
        <w:rPr>
          <w:color w:val="auto"/>
          <w:shd w:val="clear" w:fill="FFFFFF" w:themeFill="background1"/>
        </w:rPr>
        <w:t>.</w:t>
      </w:r>
      <w:r>
        <w:rPr>
          <w:rFonts w:ascii="Times New Roman" w:hAnsi="Times New Roman"/>
          <w:color w:val="auto"/>
          <w:shd w:val="clear" w:fill="FFFFFF" w:themeFill="background1"/>
        </w:rPr>
        <w:t>0</w:t>
      </w:r>
      <w:r>
        <w:rPr>
          <w:color w:val="auto"/>
          <w:shd w:val="clear" w:fill="FFFFFF" w:themeFill="background1"/>
        </w:rPr>
        <w:t>.</w:t>
      </w:r>
      <w:r>
        <w:rPr>
          <w:rFonts w:ascii="Times New Roman" w:hAnsi="Times New Roman"/>
          <w:color w:val="auto"/>
          <w:shd w:val="clear" w:fill="FFFFFF" w:themeFill="background1"/>
        </w:rPr>
        <w:t>4</w:t>
      </w:r>
      <w:r>
        <w:rPr>
          <w:color w:val="auto"/>
          <w:shd w:val="clear" w:fill="FFFFFF" w:themeFill="background1"/>
        </w:rPr>
        <w:t>中安全</w:t>
      </w:r>
      <w:r>
        <w:rPr>
          <w:color w:val="auto"/>
        </w:rPr>
        <w:t>间距的要求。</w:t>
      </w:r>
    </w:p>
    <w:p w14:paraId="4D04A70C">
      <w:pPr>
        <w:numPr>
          <w:ilvl w:val="0"/>
          <w:numId w:val="0"/>
        </w:numPr>
        <w:spacing w:line="360" w:lineRule="auto"/>
        <w:ind w:left="0" w:leftChars="0" w:firstLine="560" w:firstLineChars="200"/>
        <w:rPr>
          <w:rFonts w:hint="eastAsia"/>
          <w:color w:val="auto"/>
          <w:szCs w:val="28"/>
        </w:rPr>
      </w:pPr>
      <w:r>
        <w:rPr>
          <w:rFonts w:hint="eastAsia"/>
          <w:color w:val="auto"/>
          <w:szCs w:val="28"/>
        </w:rPr>
        <w:t>该加油站站外</w:t>
      </w:r>
      <w:r>
        <w:rPr>
          <w:rFonts w:hint="eastAsia"/>
          <w:color w:val="auto"/>
          <w:szCs w:val="28"/>
          <w:lang w:val="en-US" w:eastAsia="zh-CN"/>
        </w:rPr>
        <w:t>5</w:t>
      </w:r>
      <w:r>
        <w:rPr>
          <w:rFonts w:hint="eastAsia" w:ascii="Times New Roman" w:hAnsi="Times New Roman"/>
          <w:color w:val="auto"/>
          <w:szCs w:val="28"/>
        </w:rPr>
        <w:t>0m</w:t>
      </w:r>
      <w:r>
        <w:rPr>
          <w:rFonts w:hint="eastAsia"/>
          <w:color w:val="auto"/>
          <w:szCs w:val="28"/>
        </w:rPr>
        <w:t>范围内，无下述八大敏感区域：</w:t>
      </w:r>
    </w:p>
    <w:p w14:paraId="593BCB16">
      <w:pPr>
        <w:numPr>
          <w:ilvl w:val="0"/>
          <w:numId w:val="0"/>
        </w:numPr>
        <w:spacing w:line="360" w:lineRule="auto"/>
        <w:ind w:left="0" w:leftChars="0" w:firstLine="560" w:firstLineChars="200"/>
        <w:rPr>
          <w:rFonts w:hint="eastAsia"/>
          <w:color w:val="auto"/>
          <w:szCs w:val="28"/>
        </w:rPr>
      </w:pPr>
      <w:r>
        <w:rPr>
          <w:rFonts w:hint="eastAsia"/>
          <w:color w:val="auto"/>
          <w:szCs w:val="28"/>
          <w:lang w:val="en-US" w:eastAsia="zh-CN"/>
        </w:rPr>
        <w:t>①</w:t>
      </w:r>
      <w:r>
        <w:rPr>
          <w:rFonts w:hint="eastAsia"/>
          <w:color w:val="auto"/>
          <w:szCs w:val="28"/>
        </w:rPr>
        <w:t>居住区以及商业中心、公园等人员密集场所；</w:t>
      </w:r>
    </w:p>
    <w:p w14:paraId="7293E121">
      <w:pPr>
        <w:numPr>
          <w:ilvl w:val="0"/>
          <w:numId w:val="0"/>
        </w:numPr>
        <w:spacing w:line="360" w:lineRule="auto"/>
        <w:ind w:left="0" w:leftChars="0" w:firstLine="560" w:firstLineChars="200"/>
        <w:rPr>
          <w:rFonts w:hint="eastAsia"/>
          <w:color w:val="auto"/>
          <w:szCs w:val="28"/>
        </w:rPr>
      </w:pPr>
      <w:r>
        <w:rPr>
          <w:rFonts w:hint="eastAsia"/>
          <w:color w:val="auto"/>
          <w:szCs w:val="28"/>
          <w:lang w:val="en-US" w:eastAsia="zh-CN"/>
        </w:rPr>
        <w:t>②</w:t>
      </w:r>
      <w:r>
        <w:rPr>
          <w:rFonts w:hint="eastAsia"/>
          <w:color w:val="auto"/>
          <w:szCs w:val="28"/>
        </w:rPr>
        <w:t>学校、医院；</w:t>
      </w:r>
    </w:p>
    <w:p w14:paraId="47BA4239">
      <w:pPr>
        <w:numPr>
          <w:ilvl w:val="0"/>
          <w:numId w:val="0"/>
        </w:numPr>
        <w:spacing w:line="360" w:lineRule="auto"/>
        <w:ind w:left="0" w:leftChars="0" w:firstLine="560" w:firstLineChars="200"/>
        <w:rPr>
          <w:rFonts w:hint="eastAsia"/>
          <w:color w:val="auto"/>
          <w:szCs w:val="28"/>
        </w:rPr>
      </w:pPr>
      <w:r>
        <w:rPr>
          <w:rFonts w:hint="eastAsia"/>
          <w:color w:val="auto"/>
          <w:szCs w:val="28"/>
          <w:lang w:val="en-US" w:eastAsia="zh-CN"/>
        </w:rPr>
        <w:t>③</w:t>
      </w:r>
      <w:r>
        <w:rPr>
          <w:rFonts w:hint="eastAsia"/>
          <w:color w:val="auto"/>
          <w:szCs w:val="28"/>
        </w:rPr>
        <w:t>饮用水源、水厂以及水源保护区；</w:t>
      </w:r>
    </w:p>
    <w:p w14:paraId="4936651A">
      <w:pPr>
        <w:numPr>
          <w:ilvl w:val="0"/>
          <w:numId w:val="0"/>
        </w:numPr>
        <w:spacing w:line="360" w:lineRule="auto"/>
        <w:ind w:left="0" w:leftChars="0" w:firstLine="560" w:firstLineChars="200"/>
        <w:rPr>
          <w:rFonts w:hint="eastAsia"/>
          <w:color w:val="auto"/>
          <w:szCs w:val="28"/>
        </w:rPr>
      </w:pPr>
      <w:r>
        <w:rPr>
          <w:rFonts w:hint="eastAsia"/>
          <w:color w:val="auto"/>
          <w:szCs w:val="28"/>
        </w:rPr>
        <w:t>④车站、码头（依法经许可从事危险化学品装卸作业的除外）、机场以及通信干线、通信枢纽、铁路线路、道路交通干线、水路交通干线、地铁风罩棚以及地铁站出入口；</w:t>
      </w:r>
    </w:p>
    <w:p w14:paraId="7642AB19">
      <w:pPr>
        <w:numPr>
          <w:ilvl w:val="0"/>
          <w:numId w:val="0"/>
        </w:numPr>
        <w:spacing w:line="360" w:lineRule="auto"/>
        <w:ind w:left="0" w:leftChars="0" w:firstLine="560" w:firstLineChars="200"/>
        <w:rPr>
          <w:rFonts w:hint="eastAsia"/>
          <w:color w:val="auto"/>
          <w:szCs w:val="28"/>
        </w:rPr>
      </w:pPr>
      <w:r>
        <w:rPr>
          <w:rFonts w:hint="eastAsia"/>
          <w:color w:val="auto"/>
          <w:szCs w:val="28"/>
        </w:rPr>
        <w:t>⑤基本农田保护区、基本草原、畜禽遗传资源保护区、畜禽规模化养殖场（养殖小区）、渔业水域以及种子、种畜禽、水产苗种生产基地；</w:t>
      </w:r>
    </w:p>
    <w:p w14:paraId="7EEEE746">
      <w:pPr>
        <w:numPr>
          <w:ilvl w:val="0"/>
          <w:numId w:val="0"/>
        </w:numPr>
        <w:spacing w:line="360" w:lineRule="auto"/>
        <w:ind w:left="0" w:leftChars="0" w:firstLine="560" w:firstLineChars="200"/>
        <w:rPr>
          <w:rFonts w:hint="eastAsia"/>
          <w:color w:val="auto"/>
          <w:szCs w:val="28"/>
        </w:rPr>
      </w:pPr>
      <w:r>
        <w:rPr>
          <w:rFonts w:hint="eastAsia"/>
          <w:color w:val="auto"/>
          <w:szCs w:val="28"/>
        </w:rPr>
        <w:t>⑥河流、湖泊、风景名胜区、自然保护区；</w:t>
      </w:r>
    </w:p>
    <w:p w14:paraId="5EB0BCF4">
      <w:pPr>
        <w:numPr>
          <w:ilvl w:val="0"/>
          <w:numId w:val="0"/>
        </w:numPr>
        <w:spacing w:line="360" w:lineRule="auto"/>
        <w:ind w:left="0" w:leftChars="0" w:firstLine="560" w:firstLineChars="200"/>
        <w:rPr>
          <w:rFonts w:hint="eastAsia"/>
          <w:color w:val="auto"/>
          <w:szCs w:val="28"/>
        </w:rPr>
      </w:pPr>
      <w:r>
        <w:rPr>
          <w:rFonts w:hint="eastAsia"/>
          <w:color w:val="auto"/>
          <w:szCs w:val="28"/>
        </w:rPr>
        <w:t>⑦军事禁区、军事管理区；</w:t>
      </w:r>
    </w:p>
    <w:p w14:paraId="7F06A49B">
      <w:pPr>
        <w:numPr>
          <w:ilvl w:val="0"/>
          <w:numId w:val="0"/>
        </w:numPr>
        <w:spacing w:line="360" w:lineRule="auto"/>
        <w:ind w:left="0" w:leftChars="0" w:firstLine="560" w:firstLineChars="200"/>
        <w:rPr>
          <w:rFonts w:hint="eastAsia"/>
          <w:color w:val="auto"/>
          <w:szCs w:val="28"/>
        </w:rPr>
      </w:pPr>
      <w:r>
        <w:rPr>
          <w:rFonts w:hint="eastAsia"/>
          <w:color w:val="auto"/>
          <w:szCs w:val="28"/>
        </w:rPr>
        <w:t>⑧法律、行政法规规定的其他场所、设施、区域。</w:t>
      </w:r>
    </w:p>
    <w:p w14:paraId="75D5A684">
      <w:pPr>
        <w:numPr>
          <w:ilvl w:val="0"/>
          <w:numId w:val="0"/>
        </w:numPr>
        <w:spacing w:line="360" w:lineRule="auto"/>
        <w:ind w:left="0" w:leftChars="0" w:firstLine="560" w:firstLineChars="200"/>
        <w:rPr>
          <w:color w:val="auto"/>
        </w:rPr>
      </w:pPr>
      <w:r>
        <w:rPr>
          <w:rFonts w:hint="eastAsia"/>
          <w:color w:val="auto"/>
          <w:szCs w:val="28"/>
        </w:rPr>
        <w:t>站区地址满足《汽车加油加气加氢站技术标准》（</w:t>
      </w:r>
      <w:r>
        <w:rPr>
          <w:rFonts w:hint="eastAsia" w:ascii="Times New Roman" w:hAnsi="Times New Roman"/>
          <w:color w:val="auto"/>
          <w:szCs w:val="28"/>
        </w:rPr>
        <w:t>GB</w:t>
      </w:r>
      <w:r>
        <w:rPr>
          <w:rFonts w:hint="eastAsia"/>
          <w:color w:val="auto"/>
          <w:szCs w:val="28"/>
        </w:rPr>
        <w:t xml:space="preserve"> </w:t>
      </w:r>
      <w:r>
        <w:rPr>
          <w:rFonts w:hint="eastAsia" w:ascii="Times New Roman" w:hAnsi="Times New Roman"/>
          <w:color w:val="auto"/>
          <w:szCs w:val="28"/>
        </w:rPr>
        <w:t>50156</w:t>
      </w:r>
      <w:r>
        <w:rPr>
          <w:rFonts w:hint="eastAsia"/>
          <w:color w:val="auto"/>
          <w:szCs w:val="28"/>
        </w:rPr>
        <w:t>-</w:t>
      </w:r>
      <w:r>
        <w:rPr>
          <w:rFonts w:hint="eastAsia" w:ascii="Times New Roman" w:hAnsi="Times New Roman"/>
          <w:color w:val="auto"/>
          <w:szCs w:val="28"/>
        </w:rPr>
        <w:t>2021</w:t>
      </w:r>
      <w:r>
        <w:rPr>
          <w:rFonts w:hint="eastAsia"/>
          <w:color w:val="auto"/>
          <w:szCs w:val="28"/>
        </w:rPr>
        <w:t>）的规定</w:t>
      </w:r>
      <w:r>
        <w:rPr>
          <w:color w:val="auto"/>
          <w:szCs w:val="28"/>
        </w:rPr>
        <w:t>。</w:t>
      </w:r>
    </w:p>
    <w:p w14:paraId="57F6CF44">
      <w:pPr>
        <w:pStyle w:val="5"/>
        <w:spacing w:line="360" w:lineRule="auto"/>
        <w:ind w:left="0" w:leftChars="0" w:firstLine="0" w:firstLineChars="0"/>
        <w:jc w:val="both"/>
        <w:rPr>
          <w:rFonts w:hint="default" w:ascii="Times New Roman" w:hAnsi="Times New Roman" w:cs="Times New Roman"/>
          <w:color w:val="auto"/>
        </w:rPr>
      </w:pPr>
      <w:bookmarkStart w:id="118" w:name="_Toc25678"/>
      <w:r>
        <w:rPr>
          <w:rFonts w:hint="default" w:ascii="Times New Roman" w:hAnsi="Times New Roman" w:cs="Times New Roman"/>
          <w:color w:val="auto"/>
        </w:rPr>
        <w:t>2.4.2总平面布置</w:t>
      </w:r>
      <w:bookmarkEnd w:id="118"/>
    </w:p>
    <w:p w14:paraId="44B59CAA">
      <w:pPr>
        <w:spacing w:line="600" w:lineRule="exact"/>
        <w:ind w:firstLine="560" w:firstLineChars="200"/>
        <w:rPr>
          <w:rFonts w:hint="eastAsia"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项目平面布置分为：加油罩棚区、站房区、油罐区、洗车区、彩钢棚区、油水池。</w:t>
      </w:r>
    </w:p>
    <w:p w14:paraId="4F3037E4">
      <w:pPr>
        <w:spacing w:line="600" w:lineRule="exact"/>
        <w:ind w:firstLine="560" w:firstLineChars="200"/>
        <w:rPr>
          <w:rFonts w:hint="eastAsia"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 xml:space="preserve">    加油站进、出口分开设置，面向道路无围墙，其二侧与公路连接处为混凝土地面。站区东、南、西三面设有实体围墙，与外界隔开。</w:t>
      </w:r>
    </w:p>
    <w:p w14:paraId="5C311D28">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outlineLvl w:val="9"/>
        <w:rPr>
          <w:rFonts w:hint="default" w:ascii="Times New Roman" w:hAnsi="Times New Roman" w:cs="Times New Roman"/>
          <w:color w:val="auto"/>
          <w:sz w:val="28"/>
        </w:rPr>
      </w:pPr>
      <w:r>
        <w:rPr>
          <w:rFonts w:hint="eastAsia" w:ascii="宋体" w:hAnsi="宋体"/>
          <w:b/>
          <w:bCs/>
          <w:color w:val="auto"/>
          <w:sz w:val="28"/>
          <w:szCs w:val="28"/>
        </w:rPr>
        <w:t>油罐区</w:t>
      </w:r>
      <w:r>
        <w:rPr>
          <w:rFonts w:hint="eastAsia" w:ascii="宋体" w:hAnsi="宋体"/>
          <w:color w:val="auto"/>
          <w:sz w:val="28"/>
          <w:szCs w:val="28"/>
        </w:rPr>
        <w:t>：位于加油区行车道底下，</w:t>
      </w:r>
      <w:r>
        <w:rPr>
          <w:rFonts w:hint="eastAsia" w:ascii="Times New Roman" w:hAnsi="Times New Roman" w:cs="Times New Roman"/>
          <w:color w:val="auto"/>
          <w:sz w:val="28"/>
          <w:lang w:eastAsia="zh-CN"/>
        </w:rPr>
        <w:t>垂直道路</w:t>
      </w:r>
      <w:r>
        <w:rPr>
          <w:rFonts w:hint="default" w:ascii="Times New Roman" w:hAnsi="Times New Roman" w:cs="Times New Roman"/>
          <w:color w:val="auto"/>
          <w:sz w:val="28"/>
        </w:rPr>
        <w:t>共设有</w:t>
      </w:r>
      <w:r>
        <w:rPr>
          <w:rFonts w:hint="eastAsia" w:ascii="Times New Roman" w:hAnsi="Times New Roman" w:eastAsia="宋体" w:cs="Times New Roman"/>
          <w:color w:val="auto"/>
          <w:sz w:val="28"/>
          <w:lang w:val="en-US" w:eastAsia="zh-CN"/>
        </w:rPr>
        <w:t>3</w:t>
      </w:r>
      <w:r>
        <w:rPr>
          <w:rFonts w:hint="default" w:ascii="Times New Roman" w:hAnsi="Times New Roman" w:cs="Times New Roman"/>
          <w:color w:val="auto"/>
          <w:sz w:val="28"/>
        </w:rPr>
        <w:t>个油罐，从</w:t>
      </w:r>
      <w:r>
        <w:rPr>
          <w:rFonts w:hint="eastAsia" w:ascii="Times New Roman" w:hAnsi="Times New Roman" w:cs="Times New Roman"/>
          <w:color w:val="auto"/>
          <w:sz w:val="28"/>
          <w:lang w:val="en-US" w:eastAsia="zh-CN"/>
        </w:rPr>
        <w:t>西至东</w:t>
      </w:r>
      <w:r>
        <w:rPr>
          <w:rFonts w:hint="default" w:ascii="Times New Roman" w:hAnsi="Times New Roman" w:cs="Times New Roman"/>
          <w:color w:val="auto"/>
          <w:sz w:val="28"/>
        </w:rPr>
        <w:t>，</w:t>
      </w:r>
      <w:r>
        <w:rPr>
          <w:rFonts w:hint="default" w:ascii="Times New Roman" w:hAnsi="Times New Roman" w:eastAsia="宋体" w:cs="Times New Roman"/>
          <w:color w:val="auto"/>
          <w:sz w:val="28"/>
          <w:lang w:eastAsia="zh-CN"/>
        </w:rPr>
        <w:t>依次</w:t>
      </w:r>
      <w:r>
        <w:rPr>
          <w:rFonts w:hint="default" w:ascii="Times New Roman" w:hAnsi="Times New Roman" w:cs="Times New Roman"/>
          <w:color w:val="auto"/>
          <w:sz w:val="28"/>
        </w:rPr>
        <w:t>为</w:t>
      </w:r>
      <w:r>
        <w:rPr>
          <w:rFonts w:hint="eastAsia" w:ascii="Times New Roman" w:hAnsi="Times New Roman" w:cs="Times New Roman"/>
          <w:color w:val="auto"/>
          <w:sz w:val="28"/>
          <w:lang w:val="en-US" w:eastAsia="zh-CN"/>
        </w:rPr>
        <w:t>1</w:t>
      </w:r>
      <w:r>
        <w:rPr>
          <w:rFonts w:hint="default" w:ascii="Times New Roman" w:hAnsi="Times New Roman" w:cs="Times New Roman"/>
          <w:color w:val="auto"/>
          <w:sz w:val="28"/>
        </w:rPr>
        <w:t>个</w:t>
      </w:r>
      <w:r>
        <w:rPr>
          <w:rFonts w:hint="eastAsia" w:ascii="Times New Roman" w:hAnsi="Times New Roman" w:eastAsia="宋体" w:cs="Times New Roman"/>
          <w:color w:val="auto"/>
          <w:sz w:val="28"/>
          <w:szCs w:val="28"/>
          <w:lang w:val="en-US" w:eastAsia="zh-CN"/>
        </w:rPr>
        <w:t>3</w:t>
      </w:r>
      <w:r>
        <w:rPr>
          <w:rFonts w:hint="default" w:ascii="Times New Roman" w:hAnsi="Times New Roman" w:cs="Times New Roman"/>
          <w:color w:val="auto"/>
          <w:sz w:val="28"/>
          <w:szCs w:val="28"/>
        </w:rPr>
        <w:t>0m</w:t>
      </w:r>
      <w:r>
        <w:rPr>
          <w:rFonts w:hint="default" w:ascii="Times New Roman" w:hAnsi="Times New Roman" w:cs="Times New Roman"/>
          <w:color w:val="auto"/>
          <w:sz w:val="28"/>
          <w:szCs w:val="28"/>
          <w:vertAlign w:val="superscript"/>
        </w:rPr>
        <w:t>3</w:t>
      </w:r>
      <w:r>
        <w:rPr>
          <w:rFonts w:hint="default" w:ascii="Times New Roman" w:hAnsi="Times New Roman" w:cs="Times New Roman"/>
          <w:color w:val="auto"/>
          <w:sz w:val="28"/>
          <w:szCs w:val="28"/>
        </w:rPr>
        <w:t>的</w:t>
      </w:r>
      <w:r>
        <w:rPr>
          <w:rFonts w:hint="eastAsia" w:ascii="Times New Roman" w:hAnsi="Times New Roman" w:cs="Times New Roman"/>
          <w:color w:val="auto"/>
          <w:sz w:val="28"/>
          <w:lang w:val="en-US" w:eastAsia="zh-CN"/>
        </w:rPr>
        <w:t>95</w:t>
      </w:r>
      <w:r>
        <w:rPr>
          <w:rFonts w:hint="default" w:ascii="Times New Roman" w:hAnsi="Times New Roman" w:cs="Times New Roman"/>
          <w:color w:val="auto"/>
          <w:sz w:val="28"/>
          <w:vertAlign w:val="baseline"/>
        </w:rPr>
        <w:t>#</w:t>
      </w:r>
      <w:r>
        <w:rPr>
          <w:rFonts w:hint="eastAsia" w:ascii="Times New Roman" w:hAnsi="Times New Roman" w:cs="Times New Roman"/>
          <w:color w:val="auto"/>
          <w:sz w:val="28"/>
          <w:lang w:val="en-US" w:eastAsia="zh-CN"/>
        </w:rPr>
        <w:t>汽油</w:t>
      </w:r>
      <w:r>
        <w:rPr>
          <w:rFonts w:hint="default" w:ascii="Times New Roman" w:hAnsi="Times New Roman" w:cs="Times New Roman"/>
          <w:color w:val="auto"/>
          <w:sz w:val="28"/>
        </w:rPr>
        <w:t>储罐</w:t>
      </w:r>
      <w:r>
        <w:rPr>
          <w:rFonts w:hint="default" w:ascii="Times New Roman" w:hAnsi="Times New Roman" w:eastAsia="宋体" w:cs="Times New Roman"/>
          <w:color w:val="auto"/>
          <w:sz w:val="28"/>
          <w:lang w:eastAsia="zh-CN"/>
        </w:rPr>
        <w:t>、</w:t>
      </w:r>
      <w:r>
        <w:rPr>
          <w:rFonts w:hint="eastAsia" w:ascii="Times New Roman" w:hAnsi="Times New Roman" w:eastAsia="宋体" w:cs="Times New Roman"/>
          <w:color w:val="auto"/>
          <w:sz w:val="28"/>
          <w:lang w:val="en-US" w:eastAsia="zh-CN"/>
        </w:rPr>
        <w:t>1</w:t>
      </w:r>
      <w:r>
        <w:rPr>
          <w:rFonts w:hint="default" w:ascii="Times New Roman" w:hAnsi="Times New Roman" w:cs="Times New Roman"/>
          <w:color w:val="auto"/>
          <w:sz w:val="28"/>
        </w:rPr>
        <w:t>个</w:t>
      </w:r>
      <w:r>
        <w:rPr>
          <w:rFonts w:hint="eastAsia" w:ascii="Times New Roman" w:hAnsi="Times New Roman" w:eastAsia="宋体" w:cs="Times New Roman"/>
          <w:color w:val="auto"/>
          <w:sz w:val="28"/>
          <w:szCs w:val="28"/>
          <w:lang w:val="en-US" w:eastAsia="zh-CN"/>
        </w:rPr>
        <w:t>30</w:t>
      </w:r>
      <w:r>
        <w:rPr>
          <w:rFonts w:hint="default" w:ascii="Times New Roman" w:hAnsi="Times New Roman" w:cs="Times New Roman"/>
          <w:color w:val="auto"/>
          <w:sz w:val="28"/>
          <w:szCs w:val="28"/>
        </w:rPr>
        <w:t>m</w:t>
      </w:r>
      <w:r>
        <w:rPr>
          <w:rFonts w:hint="default" w:ascii="Times New Roman" w:hAnsi="Times New Roman" w:cs="Times New Roman"/>
          <w:color w:val="auto"/>
          <w:sz w:val="28"/>
          <w:szCs w:val="28"/>
          <w:vertAlign w:val="superscript"/>
        </w:rPr>
        <w:t>3</w:t>
      </w:r>
      <w:r>
        <w:rPr>
          <w:rFonts w:hint="default" w:ascii="Times New Roman" w:hAnsi="Times New Roman" w:cs="Times New Roman"/>
          <w:color w:val="auto"/>
          <w:sz w:val="28"/>
          <w:szCs w:val="28"/>
        </w:rPr>
        <w:t>的</w:t>
      </w:r>
      <w:r>
        <w:rPr>
          <w:rFonts w:hint="default" w:ascii="Times New Roman" w:hAnsi="Times New Roman" w:cs="Times New Roman"/>
          <w:color w:val="auto"/>
          <w:sz w:val="28"/>
        </w:rPr>
        <w:t>9</w:t>
      </w:r>
      <w:r>
        <w:rPr>
          <w:rFonts w:hint="eastAsia" w:ascii="Times New Roman" w:hAnsi="Times New Roman" w:cs="Times New Roman"/>
          <w:color w:val="auto"/>
          <w:sz w:val="28"/>
          <w:lang w:val="en-US" w:eastAsia="zh-CN"/>
        </w:rPr>
        <w:t>8</w:t>
      </w:r>
      <w:r>
        <w:rPr>
          <w:rFonts w:hint="default" w:ascii="Times New Roman" w:hAnsi="Times New Roman" w:cs="Times New Roman"/>
          <w:color w:val="auto"/>
          <w:sz w:val="28"/>
          <w:vertAlign w:val="baseline"/>
        </w:rPr>
        <w:t>#</w:t>
      </w:r>
      <w:r>
        <w:rPr>
          <w:rFonts w:hint="default" w:ascii="Times New Roman" w:hAnsi="Times New Roman" w:cs="Times New Roman"/>
          <w:color w:val="auto"/>
          <w:sz w:val="28"/>
        </w:rPr>
        <w:t>汽油储罐</w:t>
      </w:r>
      <w:r>
        <w:rPr>
          <w:rFonts w:hint="eastAsia" w:ascii="Times New Roman" w:hAnsi="Times New Roman" w:cs="Times New Roman"/>
          <w:color w:val="auto"/>
          <w:sz w:val="28"/>
          <w:lang w:eastAsia="zh-CN"/>
        </w:rPr>
        <w:t>、</w:t>
      </w:r>
      <w:r>
        <w:rPr>
          <w:rFonts w:hint="default" w:ascii="Times New Roman" w:hAnsi="Times New Roman" w:cs="Times New Roman"/>
          <w:color w:val="auto"/>
          <w:sz w:val="28"/>
        </w:rPr>
        <w:t>1个</w:t>
      </w:r>
      <w:r>
        <w:rPr>
          <w:rFonts w:hint="eastAsia" w:ascii="Times New Roman" w:hAnsi="Times New Roman" w:cs="Times New Roman"/>
          <w:color w:val="auto"/>
          <w:sz w:val="28"/>
          <w:lang w:val="en-US" w:eastAsia="zh-CN"/>
        </w:rPr>
        <w:t>3</w:t>
      </w:r>
      <w:r>
        <w:rPr>
          <w:rFonts w:hint="default" w:ascii="Times New Roman" w:hAnsi="Times New Roman" w:cs="Times New Roman"/>
          <w:color w:val="auto"/>
          <w:sz w:val="28"/>
          <w:szCs w:val="28"/>
        </w:rPr>
        <w:t>0m</w:t>
      </w:r>
      <w:r>
        <w:rPr>
          <w:rFonts w:hint="default" w:ascii="Times New Roman" w:hAnsi="Times New Roman" w:cs="Times New Roman"/>
          <w:color w:val="auto"/>
          <w:sz w:val="28"/>
          <w:szCs w:val="28"/>
          <w:vertAlign w:val="superscript"/>
        </w:rPr>
        <w:t>3</w:t>
      </w:r>
      <w:r>
        <w:rPr>
          <w:rFonts w:hint="default" w:ascii="Times New Roman" w:hAnsi="Times New Roman" w:cs="Times New Roman"/>
          <w:color w:val="auto"/>
          <w:sz w:val="28"/>
          <w:szCs w:val="28"/>
        </w:rPr>
        <w:t>的</w:t>
      </w:r>
      <w:r>
        <w:rPr>
          <w:rFonts w:hint="default" w:ascii="Times New Roman" w:hAnsi="Times New Roman" w:cs="Times New Roman"/>
          <w:color w:val="auto"/>
          <w:sz w:val="28"/>
        </w:rPr>
        <w:t>9</w:t>
      </w:r>
      <w:r>
        <w:rPr>
          <w:rFonts w:hint="eastAsia" w:ascii="Times New Roman" w:hAnsi="Times New Roman" w:cs="Times New Roman"/>
          <w:color w:val="auto"/>
          <w:sz w:val="28"/>
          <w:lang w:val="en-US" w:eastAsia="zh-CN"/>
        </w:rPr>
        <w:t>2</w:t>
      </w:r>
      <w:r>
        <w:rPr>
          <w:rFonts w:hint="default" w:ascii="Times New Roman" w:hAnsi="Times New Roman" w:cs="Times New Roman"/>
          <w:color w:val="auto"/>
          <w:sz w:val="28"/>
          <w:vertAlign w:val="baseline"/>
        </w:rPr>
        <w:t>#</w:t>
      </w:r>
      <w:r>
        <w:rPr>
          <w:rFonts w:hint="default" w:ascii="Times New Roman" w:hAnsi="Times New Roman" w:cs="Times New Roman"/>
          <w:color w:val="auto"/>
          <w:sz w:val="28"/>
        </w:rPr>
        <w:t>汽油储罐。</w:t>
      </w:r>
    </w:p>
    <w:p w14:paraId="75E332F8">
      <w:pPr>
        <w:spacing w:line="600" w:lineRule="exact"/>
        <w:ind w:firstLine="560" w:firstLineChars="200"/>
        <w:rPr>
          <w:rFonts w:ascii="Times New Roman" w:hAnsi="Times New Roman" w:cs="Times New Roman"/>
          <w:color w:val="auto"/>
          <w:sz w:val="28"/>
          <w:szCs w:val="28"/>
        </w:rPr>
      </w:pPr>
      <w:r>
        <w:rPr>
          <w:rFonts w:hint="eastAsia" w:cs="Times New Roman"/>
          <w:color w:val="auto"/>
          <w:sz w:val="28"/>
          <w:szCs w:val="28"/>
          <w:lang w:val="en-US" w:eastAsia="zh-CN"/>
        </w:rPr>
        <w:t>卸油区位于靠近道路第一排两台加油机中间位置。</w:t>
      </w:r>
      <w:r>
        <w:rPr>
          <w:rFonts w:hint="default" w:ascii="Times New Roman" w:hAnsi="Times New Roman" w:cs="Times New Roman"/>
          <w:color w:val="auto"/>
          <w:sz w:val="28"/>
          <w:szCs w:val="28"/>
        </w:rPr>
        <w:t>卸油口布置在</w:t>
      </w:r>
      <w:r>
        <w:rPr>
          <w:rFonts w:hint="eastAsia" w:ascii="Times New Roman" w:hAnsi="Times New Roman" w:cs="Times New Roman"/>
          <w:color w:val="auto"/>
          <w:sz w:val="28"/>
          <w:szCs w:val="28"/>
          <w:lang w:val="en-US" w:eastAsia="zh-CN"/>
        </w:rPr>
        <w:t>靠近道路第一排东侧加油机旁边</w:t>
      </w:r>
      <w:r>
        <w:rPr>
          <w:rFonts w:hint="default" w:ascii="Times New Roman" w:hAnsi="Times New Roman" w:cs="Times New Roman"/>
          <w:color w:val="auto"/>
          <w:sz w:val="28"/>
          <w:szCs w:val="28"/>
        </w:rPr>
        <w:t>，采用密闭卸油，共设</w:t>
      </w:r>
      <w:r>
        <w:rPr>
          <w:rFonts w:hint="eastAsia" w:ascii="Times New Roman" w:hAnsi="Times New Roman" w:cs="Times New Roman"/>
          <w:color w:val="auto"/>
          <w:sz w:val="28"/>
          <w:szCs w:val="28"/>
          <w:lang w:val="en-US" w:eastAsia="zh-CN"/>
        </w:rPr>
        <w:t>3</w:t>
      </w:r>
      <w:r>
        <w:rPr>
          <w:rFonts w:hint="default" w:ascii="Times New Roman" w:hAnsi="Times New Roman" w:cs="Times New Roman"/>
          <w:color w:val="auto"/>
          <w:sz w:val="28"/>
          <w:szCs w:val="28"/>
        </w:rPr>
        <w:t>个卸油口及</w:t>
      </w:r>
      <w:r>
        <w:rPr>
          <w:rFonts w:ascii="Times New Roman" w:hAnsi="Times New Roman" w:cs="Times New Roman"/>
          <w:color w:val="auto"/>
          <w:sz w:val="28"/>
          <w:szCs w:val="28"/>
        </w:rPr>
        <w:t>1</w:t>
      </w:r>
      <w:r>
        <w:rPr>
          <w:rFonts w:hint="default" w:ascii="Times New Roman" w:hAnsi="Times New Roman" w:cs="Times New Roman"/>
          <w:color w:val="auto"/>
          <w:spacing w:val="-6"/>
          <w:sz w:val="28"/>
          <w:szCs w:val="28"/>
        </w:rPr>
        <w:t>个油气回收口</w:t>
      </w:r>
      <w:r>
        <w:rPr>
          <w:rFonts w:hint="eastAsia" w:cs="Times New Roman"/>
          <w:color w:val="auto"/>
          <w:spacing w:val="-6"/>
          <w:sz w:val="28"/>
          <w:szCs w:val="28"/>
          <w:lang w:eastAsia="zh-CN"/>
        </w:rPr>
        <w:t>，</w:t>
      </w:r>
      <w:r>
        <w:rPr>
          <w:rFonts w:hint="default" w:ascii="Times New Roman" w:hAnsi="Times New Roman" w:cs="Times New Roman"/>
        </w:rPr>
        <w:t>其旁设置消防器材</w:t>
      </w:r>
      <w:r>
        <w:rPr>
          <w:rFonts w:hint="eastAsia" w:ascii="Times New Roman" w:hAnsi="Times New Roman" w:cs="Times New Roman"/>
          <w:lang w:eastAsia="zh-CN"/>
        </w:rPr>
        <w:t>间、</w:t>
      </w:r>
      <w:r>
        <w:rPr>
          <w:rFonts w:hint="default" w:ascii="Times New Roman" w:hAnsi="Times New Roman" w:cs="Times New Roman"/>
        </w:rPr>
        <w:t>消防沙箱。</w:t>
      </w:r>
      <w:r>
        <w:rPr>
          <w:rFonts w:hint="default" w:ascii="Times New Roman" w:hAnsi="Times New Roman" w:cs="Times New Roman"/>
          <w:color w:val="auto"/>
          <w:spacing w:val="-6"/>
          <w:sz w:val="28"/>
          <w:szCs w:val="28"/>
        </w:rPr>
        <w:t>在卸油口</w:t>
      </w:r>
      <w:r>
        <w:rPr>
          <w:rFonts w:hint="eastAsia" w:ascii="Times New Roman" w:hAnsi="Times New Roman" w:cs="Times New Roman"/>
          <w:color w:val="auto"/>
          <w:spacing w:val="-6"/>
          <w:sz w:val="28"/>
          <w:szCs w:val="28"/>
          <w:lang w:val="en-US" w:eastAsia="zh-CN"/>
        </w:rPr>
        <w:t>附近</w:t>
      </w:r>
      <w:r>
        <w:rPr>
          <w:rFonts w:hint="default" w:ascii="Times New Roman" w:hAnsi="Times New Roman" w:cs="Times New Roman"/>
          <w:color w:val="auto"/>
          <w:spacing w:val="-6"/>
          <w:sz w:val="28"/>
          <w:szCs w:val="28"/>
        </w:rPr>
        <w:t>安装有静电接地报警</w:t>
      </w:r>
      <w:r>
        <w:rPr>
          <w:rFonts w:hint="eastAsia" w:ascii="Times New Roman" w:hAnsi="Times New Roman" w:cs="Times New Roman"/>
          <w:color w:val="auto"/>
          <w:spacing w:val="-6"/>
          <w:sz w:val="28"/>
          <w:szCs w:val="28"/>
          <w:lang w:val="en-US" w:eastAsia="zh-CN"/>
        </w:rPr>
        <w:t>器和人体静电释放器</w:t>
      </w:r>
      <w:r>
        <w:rPr>
          <w:rFonts w:hint="default" w:ascii="Times New Roman" w:hAnsi="Times New Roman" w:cs="Times New Roman"/>
          <w:color w:val="auto"/>
          <w:spacing w:val="-6"/>
          <w:sz w:val="28"/>
          <w:szCs w:val="28"/>
        </w:rPr>
        <w:t>。</w:t>
      </w:r>
    </w:p>
    <w:p w14:paraId="2F5E7585">
      <w:pPr>
        <w:keepNext w:val="0"/>
        <w:keepLines w:val="0"/>
        <w:pageBreakBefore w:val="0"/>
        <w:widowControl w:val="0"/>
        <w:kinsoku/>
        <w:wordWrap/>
        <w:overflowPunct/>
        <w:topLinePunct w:val="0"/>
        <w:bidi w:val="0"/>
        <w:spacing w:line="560" w:lineRule="exact"/>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rPr>
        <w:t>通气管</w:t>
      </w:r>
      <w:r>
        <w:rPr>
          <w:rFonts w:hint="eastAsia" w:ascii="Times New Roman" w:hAnsi="Times New Roman" w:cs="Times New Roman"/>
          <w:color w:val="auto"/>
          <w:sz w:val="28"/>
          <w:lang w:eastAsia="zh-CN"/>
        </w:rPr>
        <w:t>沿</w:t>
      </w:r>
      <w:r>
        <w:rPr>
          <w:rFonts w:hint="eastAsia" w:ascii="Times New Roman" w:hAnsi="Times New Roman" w:cs="Times New Roman"/>
          <w:color w:val="auto"/>
          <w:sz w:val="28"/>
          <w:lang w:val="en-US" w:eastAsia="zh-CN"/>
        </w:rPr>
        <w:t>后排</w:t>
      </w:r>
      <w:r>
        <w:rPr>
          <w:rFonts w:hint="eastAsia" w:ascii="Times New Roman" w:hAnsi="Times New Roman" w:cs="Times New Roman"/>
          <w:color w:val="auto"/>
          <w:sz w:val="28"/>
          <w:lang w:eastAsia="zh-CN"/>
        </w:rPr>
        <w:t>立柱敷设</w:t>
      </w:r>
      <w:r>
        <w:rPr>
          <w:rFonts w:hint="default" w:ascii="Times New Roman" w:hAnsi="Times New Roman" w:cs="Times New Roman"/>
          <w:color w:val="auto"/>
          <w:sz w:val="28"/>
          <w:szCs w:val="28"/>
        </w:rPr>
        <w:t>，共设3根通气管，</w:t>
      </w:r>
      <w:r>
        <w:rPr>
          <w:rFonts w:hint="default" w:ascii="Times New Roman" w:hAnsi="Times New Roman" w:cs="Times New Roman"/>
          <w:color w:val="auto"/>
          <w:sz w:val="28"/>
        </w:rPr>
        <w:t>通气管</w:t>
      </w:r>
      <w:r>
        <w:rPr>
          <w:rFonts w:hint="eastAsia" w:ascii="Times New Roman" w:hAnsi="Times New Roman" w:cs="Times New Roman"/>
          <w:color w:val="auto"/>
          <w:sz w:val="28"/>
          <w:lang w:eastAsia="zh-CN"/>
        </w:rPr>
        <w:t>高出罩棚顶</w:t>
      </w:r>
      <w:r>
        <w:rPr>
          <w:rFonts w:hint="eastAsia" w:ascii="Times New Roman" w:hAnsi="Times New Roman" w:cs="Times New Roman"/>
          <w:color w:val="auto"/>
          <w:sz w:val="28"/>
          <w:lang w:val="en-US" w:eastAsia="zh-CN"/>
        </w:rPr>
        <w:t>2.2m</w:t>
      </w:r>
      <w:r>
        <w:rPr>
          <w:rFonts w:hint="default" w:ascii="Times New Roman" w:hAnsi="Times New Roman" w:cs="Times New Roman"/>
          <w:color w:val="auto"/>
          <w:sz w:val="28"/>
          <w:szCs w:val="28"/>
        </w:rPr>
        <w:t>，管径为5</w:t>
      </w:r>
      <w:r>
        <w:rPr>
          <w:rFonts w:ascii="Times New Roman" w:hAnsi="Times New Roman" w:cs="Times New Roman"/>
          <w:color w:val="auto"/>
          <w:sz w:val="28"/>
          <w:szCs w:val="28"/>
        </w:rPr>
        <w:t>0</w:t>
      </w:r>
      <w:r>
        <w:rPr>
          <w:rFonts w:hint="default" w:ascii="Times New Roman" w:hAnsi="Times New Roman" w:cs="Times New Roman"/>
          <w:color w:val="auto"/>
          <w:sz w:val="28"/>
          <w:szCs w:val="28"/>
        </w:rPr>
        <w:t>mm。</w:t>
      </w:r>
    </w:p>
    <w:p w14:paraId="38AB4753">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Times New Roman" w:hAnsi="Times New Roman" w:eastAsia="宋体" w:cs="Times New Roman"/>
          <w:sz w:val="28"/>
        </w:rPr>
      </w:pPr>
      <w:r>
        <w:rPr>
          <w:rFonts w:hint="default" w:ascii="Times New Roman" w:hAnsi="Times New Roman" w:cs="Times New Roman"/>
          <w:b/>
          <w:bCs/>
          <w:color w:val="auto"/>
          <w:sz w:val="28"/>
          <w:szCs w:val="28"/>
        </w:rPr>
        <w:t>加油区</w:t>
      </w:r>
      <w:r>
        <w:rPr>
          <w:rFonts w:hint="default" w:ascii="Times New Roman" w:hAnsi="Times New Roman" w:cs="Times New Roman"/>
          <w:color w:val="auto"/>
          <w:sz w:val="28"/>
          <w:szCs w:val="28"/>
        </w:rPr>
        <w:t>：</w:t>
      </w:r>
      <w:r>
        <w:rPr>
          <w:rFonts w:hint="eastAsia" w:ascii="Times New Roman" w:hAnsi="Times New Roman" w:eastAsia="宋体" w:cs="Times New Roman"/>
          <w:sz w:val="28"/>
        </w:rPr>
        <w:t>加油机面向公路双排布置，共4台双枪加油机，第一排靠公路为95#、9</w:t>
      </w:r>
      <w:r>
        <w:rPr>
          <w:rFonts w:hint="eastAsia" w:ascii="Times New Roman" w:hAnsi="Times New Roman" w:eastAsia="宋体" w:cs="Times New Roman"/>
          <w:sz w:val="28"/>
          <w:lang w:val="en-US" w:eastAsia="zh-CN"/>
        </w:rPr>
        <w:t>2</w:t>
      </w:r>
      <w:r>
        <w:rPr>
          <w:rFonts w:hint="eastAsia" w:ascii="Times New Roman" w:hAnsi="Times New Roman" w:eastAsia="宋体" w:cs="Times New Roman"/>
          <w:sz w:val="28"/>
        </w:rPr>
        <w:t>#汽油双枪加油机1台，9</w:t>
      </w:r>
      <w:r>
        <w:rPr>
          <w:rFonts w:hint="eastAsia" w:ascii="Times New Roman" w:hAnsi="Times New Roman" w:eastAsia="宋体" w:cs="Times New Roman"/>
          <w:sz w:val="28"/>
          <w:lang w:val="en-US" w:eastAsia="zh-CN"/>
        </w:rPr>
        <w:t>5</w:t>
      </w:r>
      <w:r>
        <w:rPr>
          <w:rFonts w:hint="eastAsia" w:ascii="Times New Roman" w:hAnsi="Times New Roman" w:eastAsia="宋体" w:cs="Times New Roman"/>
          <w:sz w:val="28"/>
        </w:rPr>
        <w:t>#、9</w:t>
      </w:r>
      <w:r>
        <w:rPr>
          <w:rFonts w:hint="eastAsia" w:ascii="Times New Roman" w:hAnsi="Times New Roman" w:eastAsia="宋体" w:cs="Times New Roman"/>
          <w:sz w:val="28"/>
          <w:lang w:val="en-US" w:eastAsia="zh-CN"/>
        </w:rPr>
        <w:t>8</w:t>
      </w:r>
      <w:r>
        <w:rPr>
          <w:rFonts w:hint="eastAsia" w:ascii="Times New Roman" w:hAnsi="Times New Roman" w:eastAsia="宋体" w:cs="Times New Roman"/>
          <w:sz w:val="28"/>
        </w:rPr>
        <w:t>#汽油双枪加油机1台，第二排为92#、9</w:t>
      </w:r>
      <w:r>
        <w:rPr>
          <w:rFonts w:hint="eastAsia" w:ascii="Times New Roman" w:hAnsi="Times New Roman" w:eastAsia="宋体" w:cs="Times New Roman"/>
          <w:sz w:val="28"/>
          <w:lang w:val="en-US" w:eastAsia="zh-CN"/>
        </w:rPr>
        <w:t>5</w:t>
      </w:r>
      <w:r>
        <w:rPr>
          <w:rFonts w:hint="eastAsia" w:ascii="Times New Roman" w:hAnsi="Times New Roman" w:eastAsia="宋体" w:cs="Times New Roman"/>
          <w:sz w:val="28"/>
        </w:rPr>
        <w:t>#汽油双枪加油机1台，9</w:t>
      </w:r>
      <w:r>
        <w:rPr>
          <w:rFonts w:hint="eastAsia" w:ascii="Times New Roman" w:hAnsi="Times New Roman" w:eastAsia="宋体" w:cs="Times New Roman"/>
          <w:sz w:val="28"/>
          <w:lang w:val="en-US" w:eastAsia="zh-CN"/>
        </w:rPr>
        <w:t>2</w:t>
      </w:r>
      <w:r>
        <w:rPr>
          <w:rFonts w:hint="eastAsia" w:ascii="Times New Roman" w:hAnsi="Times New Roman" w:eastAsia="宋体" w:cs="Times New Roman"/>
          <w:sz w:val="28"/>
        </w:rPr>
        <w:t>#、9</w:t>
      </w:r>
      <w:r>
        <w:rPr>
          <w:rFonts w:hint="eastAsia" w:ascii="Times New Roman" w:hAnsi="Times New Roman" w:eastAsia="宋体" w:cs="Times New Roman"/>
          <w:sz w:val="28"/>
          <w:lang w:val="en-US" w:eastAsia="zh-CN"/>
        </w:rPr>
        <w:t>2</w:t>
      </w:r>
      <w:r>
        <w:rPr>
          <w:rFonts w:hint="eastAsia" w:ascii="Times New Roman" w:hAnsi="Times New Roman" w:eastAsia="宋体" w:cs="Times New Roman"/>
          <w:sz w:val="28"/>
        </w:rPr>
        <w:t>#汽油双枪加油机1台。二排加油机</w:t>
      </w:r>
      <w:r>
        <w:rPr>
          <w:rFonts w:hint="eastAsia" w:ascii="Times New Roman" w:hAnsi="Times New Roman" w:eastAsia="宋体" w:cs="Times New Roman"/>
          <w:sz w:val="28"/>
          <w:lang w:eastAsia="zh-CN"/>
        </w:rPr>
        <w:t>之间</w:t>
      </w:r>
      <w:r>
        <w:rPr>
          <w:rFonts w:hint="eastAsia" w:ascii="Times New Roman" w:hAnsi="Times New Roman" w:eastAsia="宋体" w:cs="Times New Roman"/>
          <w:sz w:val="28"/>
        </w:rPr>
        <w:t>为</w:t>
      </w:r>
      <w:r>
        <w:rPr>
          <w:rFonts w:hint="eastAsia" w:ascii="Times New Roman" w:hAnsi="Times New Roman" w:eastAsia="宋体" w:cs="Times New Roman"/>
          <w:sz w:val="28"/>
          <w:lang w:val="en-US" w:eastAsia="zh-CN"/>
        </w:rPr>
        <w:t>11.5</w:t>
      </w:r>
      <w:r>
        <w:rPr>
          <w:rFonts w:hint="eastAsia" w:ascii="Times New Roman" w:hAnsi="Times New Roman" w:eastAsia="宋体" w:cs="Times New Roman"/>
          <w:sz w:val="28"/>
        </w:rPr>
        <w:t>m。</w:t>
      </w:r>
    </w:p>
    <w:p w14:paraId="0528B04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eastAsia="宋体" w:cs="Times New Roman"/>
          <w:sz w:val="28"/>
        </w:rPr>
      </w:pPr>
      <w:r>
        <w:rPr>
          <w:rFonts w:hint="eastAsia" w:ascii="Times New Roman" w:hAnsi="Times New Roman" w:eastAsia="宋体" w:cs="Times New Roman"/>
          <w:sz w:val="28"/>
        </w:rPr>
        <w:t>加油岛高0.2m，宽1.2m，长为4m，加油岛伸出立柱0.6m。加油岛两端设有防撞柱。</w:t>
      </w:r>
    </w:p>
    <w:p w14:paraId="0D022191">
      <w:pPr>
        <w:keepNext w:val="0"/>
        <w:keepLines w:val="0"/>
        <w:pageBreakBefore w:val="0"/>
        <w:widowControl w:val="0"/>
        <w:numPr>
          <w:ilvl w:val="0"/>
          <w:numId w:val="0"/>
        </w:numPr>
        <w:kinsoku/>
        <w:wordWrap/>
        <w:overflowPunct/>
        <w:topLinePunct w:val="0"/>
        <w:bidi w:val="0"/>
        <w:spacing w:line="560" w:lineRule="exact"/>
        <w:ind w:firstLine="560" w:firstLineChars="200"/>
        <w:textAlignment w:val="auto"/>
        <w:rPr>
          <w:rFonts w:hint="default" w:ascii="Times New Roman" w:hAnsi="Times New Roman" w:cs="Times New Roman"/>
          <w:color w:val="auto"/>
          <w:sz w:val="28"/>
          <w:szCs w:val="28"/>
        </w:rPr>
      </w:pPr>
      <w:r>
        <w:rPr>
          <w:rFonts w:hint="eastAsia" w:ascii="Times New Roman" w:hAnsi="Times New Roman" w:eastAsia="宋体" w:cs="Times New Roman"/>
          <w:sz w:val="28"/>
        </w:rPr>
        <w:t>加油区罩棚高</w:t>
      </w:r>
      <w:r>
        <w:rPr>
          <w:rFonts w:hint="eastAsia" w:ascii="Times New Roman" w:hAnsi="Times New Roman" w:eastAsia="宋体" w:cs="Times New Roman"/>
          <w:sz w:val="28"/>
          <w:lang w:val="en-US" w:eastAsia="zh-CN"/>
        </w:rPr>
        <w:t>6.5</w:t>
      </w:r>
      <w:r>
        <w:rPr>
          <w:rFonts w:hint="eastAsia" w:ascii="Times New Roman" w:hAnsi="Times New Roman" w:eastAsia="宋体" w:cs="Times New Roman"/>
          <w:sz w:val="28"/>
        </w:rPr>
        <w:t>m，南北向</w:t>
      </w:r>
      <w:r>
        <w:rPr>
          <w:rFonts w:hint="eastAsia" w:ascii="Times New Roman" w:hAnsi="Times New Roman" w:eastAsia="宋体" w:cs="Times New Roman"/>
          <w:sz w:val="28"/>
          <w:lang w:val="en-US" w:eastAsia="zh-CN"/>
        </w:rPr>
        <w:t>23.8</w:t>
      </w:r>
      <w:r>
        <w:rPr>
          <w:rFonts w:hint="eastAsia" w:ascii="Times New Roman" w:hAnsi="Times New Roman" w:eastAsia="宋体" w:cs="Times New Roman"/>
          <w:sz w:val="28"/>
        </w:rPr>
        <w:t>m，东西向</w:t>
      </w:r>
      <w:r>
        <w:rPr>
          <w:rFonts w:hint="eastAsia" w:ascii="Times New Roman" w:hAnsi="Times New Roman" w:eastAsia="宋体" w:cs="Times New Roman"/>
          <w:sz w:val="28"/>
          <w:lang w:val="en-US" w:eastAsia="zh-CN"/>
        </w:rPr>
        <w:t>22.0</w:t>
      </w:r>
      <w:r>
        <w:rPr>
          <w:rFonts w:hint="eastAsia" w:ascii="Times New Roman" w:hAnsi="Times New Roman" w:eastAsia="宋体" w:cs="Times New Roman"/>
          <w:sz w:val="28"/>
        </w:rPr>
        <w:t>m，罩棚边缘突出加油机</w:t>
      </w:r>
      <w:r>
        <w:rPr>
          <w:rFonts w:hint="eastAsia" w:ascii="Times New Roman" w:hAnsi="Times New Roman" w:eastAsia="宋体" w:cs="Times New Roman"/>
          <w:sz w:val="28"/>
          <w:lang w:val="en-US" w:eastAsia="zh-CN"/>
        </w:rPr>
        <w:t>5</w:t>
      </w:r>
      <w:r>
        <w:rPr>
          <w:rFonts w:hint="eastAsia" w:ascii="Times New Roman" w:hAnsi="Times New Roman" w:eastAsia="宋体" w:cs="Times New Roman"/>
          <w:sz w:val="28"/>
        </w:rPr>
        <w:t>m。罩棚共</w:t>
      </w:r>
      <w:r>
        <w:rPr>
          <w:rFonts w:hint="eastAsia" w:ascii="Times New Roman" w:hAnsi="Times New Roman" w:eastAsia="宋体" w:cs="Times New Roman"/>
          <w:sz w:val="28"/>
          <w:lang w:val="en-US" w:eastAsia="zh-CN"/>
        </w:rPr>
        <w:t>4</w:t>
      </w:r>
      <w:r>
        <w:rPr>
          <w:rFonts w:hint="eastAsia" w:ascii="Times New Roman" w:hAnsi="Times New Roman" w:eastAsia="宋体" w:cs="Times New Roman"/>
          <w:sz w:val="28"/>
        </w:rPr>
        <w:t>根浇钢筋混凝土立柱，顶为轻钢结构彩钢瓦顶。</w:t>
      </w:r>
    </w:p>
    <w:p w14:paraId="6DD593C2">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default" w:ascii="Times New Roman" w:hAnsi="Times New Roman" w:cs="Times New Roman"/>
          <w:color w:val="auto"/>
          <w:sz w:val="28"/>
          <w:szCs w:val="28"/>
        </w:rPr>
      </w:pPr>
      <w:r>
        <w:rPr>
          <w:rFonts w:hint="default" w:ascii="Times New Roman" w:hAnsi="Times New Roman" w:cs="Times New Roman"/>
          <w:b/>
          <w:bCs/>
          <w:color w:val="auto"/>
          <w:sz w:val="28"/>
          <w:szCs w:val="28"/>
        </w:rPr>
        <w:t>站房</w:t>
      </w:r>
      <w:r>
        <w:rPr>
          <w:rFonts w:hint="default" w:ascii="Times New Roman" w:hAnsi="Times New Roman" w:cs="Times New Roman"/>
          <w:color w:val="auto"/>
          <w:sz w:val="28"/>
          <w:szCs w:val="28"/>
        </w:rPr>
        <w:t>：</w:t>
      </w:r>
      <w:r>
        <w:rPr>
          <w:rFonts w:hint="eastAsia" w:ascii="Times New Roman" w:hAnsi="Times New Roman" w:eastAsia="宋体" w:cs="Times New Roman"/>
          <w:sz w:val="28"/>
        </w:rPr>
        <w:t>单层建筑，位于</w:t>
      </w:r>
      <w:r>
        <w:rPr>
          <w:rFonts w:hint="eastAsia" w:ascii="Times New Roman" w:hAnsi="Times New Roman" w:eastAsia="宋体" w:cs="Times New Roman"/>
          <w:sz w:val="28"/>
          <w:lang w:val="en-US" w:eastAsia="zh-CN"/>
        </w:rPr>
        <w:t>加油区南侧</w:t>
      </w:r>
      <w:r>
        <w:rPr>
          <w:rFonts w:hint="eastAsia" w:ascii="Times New Roman" w:hAnsi="Times New Roman" w:eastAsia="宋体" w:cs="Times New Roman"/>
          <w:sz w:val="28"/>
        </w:rPr>
        <w:t>，站房长</w:t>
      </w:r>
      <w:r>
        <w:rPr>
          <w:rFonts w:hint="eastAsia" w:ascii="Times New Roman" w:hAnsi="Times New Roman" w:eastAsia="宋体" w:cs="Times New Roman"/>
          <w:sz w:val="28"/>
          <w:lang w:val="en-US" w:eastAsia="zh-CN"/>
        </w:rPr>
        <w:t>27.7</w:t>
      </w:r>
      <w:r>
        <w:rPr>
          <w:rFonts w:hint="eastAsia" w:ascii="Times New Roman" w:hAnsi="Times New Roman" w:eastAsia="宋体" w:cs="Times New Roman"/>
          <w:sz w:val="28"/>
        </w:rPr>
        <w:t>m，宽</w:t>
      </w:r>
      <w:r>
        <w:rPr>
          <w:rFonts w:hint="eastAsia" w:ascii="Times New Roman" w:hAnsi="Times New Roman" w:eastAsia="宋体" w:cs="Times New Roman"/>
          <w:sz w:val="28"/>
          <w:lang w:val="en-US" w:eastAsia="zh-CN"/>
        </w:rPr>
        <w:t>8.2</w:t>
      </w:r>
      <w:r>
        <w:rPr>
          <w:rFonts w:hint="eastAsia" w:ascii="Times New Roman" w:hAnsi="Times New Roman" w:eastAsia="宋体" w:cs="Times New Roman"/>
          <w:sz w:val="28"/>
        </w:rPr>
        <w:t>m，</w:t>
      </w:r>
      <w:r>
        <w:rPr>
          <w:rFonts w:hint="eastAsia" w:ascii="Times New Roman" w:hAnsi="Times New Roman" w:eastAsia="宋体" w:cs="Times New Roman"/>
          <w:sz w:val="28"/>
          <w:lang w:val="en-US" w:eastAsia="zh-CN"/>
        </w:rPr>
        <w:t>内设</w:t>
      </w:r>
      <w:r>
        <w:rPr>
          <w:rFonts w:hint="eastAsia" w:ascii="Times New Roman" w:hAnsi="Times New Roman" w:eastAsia="宋体" w:cs="Times New Roman"/>
          <w:sz w:val="28"/>
        </w:rPr>
        <w:t>营业室、便利店、办公室、卫生间、值班室、配电间</w:t>
      </w:r>
      <w:r>
        <w:rPr>
          <w:rFonts w:hint="eastAsia" w:ascii="Times New Roman" w:hAnsi="Times New Roman" w:eastAsia="宋体" w:cs="Times New Roman"/>
          <w:sz w:val="28"/>
          <w:lang w:val="en-US" w:eastAsia="zh-CN"/>
        </w:rPr>
        <w:t>等功能开间</w:t>
      </w:r>
      <w:r>
        <w:rPr>
          <w:rFonts w:hint="eastAsia" w:ascii="Times New Roman" w:hAnsi="Times New Roman" w:eastAsia="宋体" w:cs="Times New Roman"/>
          <w:sz w:val="28"/>
        </w:rPr>
        <w:t>。</w:t>
      </w:r>
      <w:r>
        <w:rPr>
          <w:rFonts w:hint="eastAsia" w:ascii="Times New Roman" w:hAnsi="Times New Roman" w:cs="Times New Roman"/>
          <w:color w:val="auto"/>
          <w:sz w:val="28"/>
          <w:szCs w:val="28"/>
          <w:lang w:eastAsia="zh-CN"/>
        </w:rPr>
        <w:t>收银台</w:t>
      </w:r>
      <w:r>
        <w:rPr>
          <w:rFonts w:hint="default" w:ascii="Times New Roman" w:hAnsi="Times New Roman" w:cs="Times New Roman"/>
          <w:color w:val="auto"/>
          <w:sz w:val="28"/>
          <w:szCs w:val="28"/>
        </w:rPr>
        <w:t>及站房外墙各设1处紧急切断按钮。</w:t>
      </w:r>
    </w:p>
    <w:p w14:paraId="79A64E5B">
      <w:pPr>
        <w:pageBreakBefore w:val="0"/>
        <w:widowControl w:val="0"/>
        <w:shd w:val="clear" w:color="auto" w:fill="auto"/>
        <w:kinsoku/>
        <w:wordWrap/>
        <w:overflowPunct/>
        <w:topLinePunct w:val="0"/>
        <w:autoSpaceDE/>
        <w:autoSpaceDN/>
        <w:bidi w:val="0"/>
        <w:adjustRightInd/>
        <w:snapToGrid/>
        <w:spacing w:line="560" w:lineRule="exact"/>
        <w:ind w:firstLine="560" w:firstLineChars="200"/>
        <w:textAlignment w:val="auto"/>
        <w:rPr>
          <w:rFonts w:hint="default" w:ascii="Times New Roman" w:hAnsi="Times New Roman" w:eastAsia="宋体" w:cs="Times New Roman"/>
          <w:color w:val="FF0000"/>
          <w:sz w:val="28"/>
          <w:szCs w:val="28"/>
        </w:rPr>
      </w:pPr>
      <w:r>
        <w:rPr>
          <w:rFonts w:hint="eastAsia" w:ascii="Times New Roman" w:hAnsi="Times New Roman" w:eastAsia="宋体" w:cs="Times New Roman"/>
          <w:sz w:val="28"/>
        </w:rPr>
        <w:t>站房房顶上安装有太阳能光伏板</w:t>
      </w:r>
      <w:r>
        <w:rPr>
          <w:rFonts w:hint="eastAsia" w:ascii="Times New Roman" w:hAnsi="Times New Roman" w:eastAsia="宋体" w:cs="Times New Roman"/>
          <w:sz w:val="28"/>
          <w:lang w:eastAsia="zh-CN"/>
        </w:rPr>
        <w:t>，</w:t>
      </w:r>
      <w:r>
        <w:rPr>
          <w:rFonts w:hint="eastAsia"/>
          <w:color w:val="auto"/>
          <w:kern w:val="0"/>
          <w:sz w:val="28"/>
          <w:szCs w:val="28"/>
          <w:lang w:val="en-US" w:eastAsia="zh-CN"/>
        </w:rPr>
        <w:t>发电后并入国家电网，未在作业区内，满足与工艺设备的安全间距要求。</w:t>
      </w:r>
    </w:p>
    <w:p w14:paraId="6FED1EA3">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b w:val="0"/>
          <w:bCs w:val="0"/>
          <w:kern w:val="0"/>
          <w:sz w:val="28"/>
          <w:szCs w:val="28"/>
          <w:highlight w:val="none"/>
          <w:lang w:val="en-US" w:eastAsia="zh-CN"/>
        </w:rPr>
      </w:pPr>
      <w:r>
        <w:rPr>
          <w:rFonts w:hint="eastAsia" w:ascii="Times New Roman" w:hAnsi="Times New Roman" w:cs="Times New Roman"/>
          <w:b/>
          <w:bCs/>
          <w:color w:val="auto"/>
          <w:sz w:val="28"/>
          <w:szCs w:val="28"/>
          <w:lang w:val="en-US" w:eastAsia="zh-CN"/>
        </w:rPr>
        <w:t>彩钢棚</w:t>
      </w:r>
      <w:r>
        <w:rPr>
          <w:rFonts w:hint="eastAsia" w:ascii="宋体" w:hAnsi="宋体"/>
          <w:color w:val="auto"/>
          <w:sz w:val="28"/>
          <w:szCs w:val="28"/>
        </w:rPr>
        <w:t>：</w:t>
      </w:r>
      <w:r>
        <w:rPr>
          <w:rFonts w:hint="eastAsia" w:ascii="宋体" w:hAnsi="宋体"/>
          <w:color w:val="auto"/>
          <w:sz w:val="28"/>
          <w:szCs w:val="28"/>
          <w:lang w:val="en-US" w:eastAsia="zh-CN"/>
        </w:rPr>
        <w:t>1座，</w:t>
      </w:r>
      <w:r>
        <w:rPr>
          <w:rFonts w:hint="eastAsia" w:ascii="宋体" w:hAnsi="宋体"/>
          <w:color w:val="auto"/>
          <w:sz w:val="28"/>
          <w:szCs w:val="28"/>
        </w:rPr>
        <w:t>设在</w:t>
      </w:r>
      <w:r>
        <w:rPr>
          <w:rFonts w:hint="eastAsia" w:ascii="宋体" w:hAnsi="宋体"/>
          <w:color w:val="auto"/>
          <w:sz w:val="28"/>
          <w:szCs w:val="28"/>
          <w:lang w:val="en-US" w:eastAsia="zh-CN"/>
        </w:rPr>
        <w:t>站房西</w:t>
      </w:r>
      <w:r>
        <w:rPr>
          <w:rFonts w:hint="eastAsia" w:ascii="宋体" w:hAnsi="宋体"/>
          <w:color w:val="auto"/>
          <w:sz w:val="28"/>
          <w:szCs w:val="28"/>
        </w:rPr>
        <w:t>侧</w:t>
      </w:r>
      <w:r>
        <w:rPr>
          <w:rFonts w:hint="eastAsia" w:ascii="Times New Roman" w:hAnsi="Times New Roman" w:cs="Times New Roman"/>
          <w:color w:val="auto"/>
          <w:sz w:val="28"/>
          <w:szCs w:val="28"/>
          <w:lang w:val="en-US" w:eastAsia="zh-CN"/>
        </w:rPr>
        <w:t>，</w:t>
      </w:r>
      <w:r>
        <w:rPr>
          <w:rFonts w:hint="eastAsia"/>
          <w:b w:val="0"/>
          <w:bCs w:val="0"/>
          <w:kern w:val="0"/>
          <w:sz w:val="28"/>
          <w:szCs w:val="28"/>
          <w:highlight w:val="none"/>
          <w:lang w:val="en-US" w:eastAsia="zh-CN"/>
        </w:rPr>
        <w:t>未在作业区内，与工艺设备的安全间距满足要求。</w:t>
      </w:r>
    </w:p>
    <w:p w14:paraId="5CDACB47">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default"/>
          <w:b w:val="0"/>
          <w:bCs w:val="0"/>
          <w:kern w:val="0"/>
          <w:sz w:val="28"/>
          <w:szCs w:val="28"/>
          <w:highlight w:val="none"/>
          <w:lang w:val="en-US" w:eastAsia="zh-CN"/>
        </w:rPr>
      </w:pPr>
      <w:r>
        <w:rPr>
          <w:rFonts w:hint="eastAsia" w:ascii="Times New Roman" w:hAnsi="Times New Roman" w:cs="Times New Roman"/>
          <w:b/>
          <w:bCs/>
          <w:color w:val="auto"/>
          <w:sz w:val="28"/>
          <w:szCs w:val="28"/>
          <w:lang w:val="en-US" w:eastAsia="zh-CN"/>
        </w:rPr>
        <w:t>洗车机</w:t>
      </w:r>
      <w:r>
        <w:rPr>
          <w:rFonts w:hint="eastAsia" w:ascii="宋体" w:hAnsi="宋体"/>
          <w:color w:val="auto"/>
          <w:sz w:val="28"/>
          <w:szCs w:val="28"/>
        </w:rPr>
        <w:t>：</w:t>
      </w:r>
      <w:r>
        <w:rPr>
          <w:rFonts w:hint="eastAsia" w:ascii="宋体" w:hAnsi="宋体"/>
          <w:color w:val="auto"/>
          <w:sz w:val="28"/>
          <w:szCs w:val="28"/>
          <w:lang w:val="en-US" w:eastAsia="zh-CN"/>
        </w:rPr>
        <w:t>1座，位于加油区西</w:t>
      </w:r>
      <w:r>
        <w:rPr>
          <w:rFonts w:hint="eastAsia" w:ascii="宋体" w:hAnsi="宋体"/>
          <w:color w:val="auto"/>
          <w:sz w:val="28"/>
          <w:szCs w:val="28"/>
        </w:rPr>
        <w:t>侧</w:t>
      </w:r>
      <w:r>
        <w:rPr>
          <w:rFonts w:hint="eastAsia"/>
          <w:b w:val="0"/>
          <w:bCs w:val="0"/>
          <w:kern w:val="0"/>
          <w:sz w:val="28"/>
          <w:szCs w:val="28"/>
          <w:highlight w:val="none"/>
          <w:lang w:val="en-US" w:eastAsia="zh-CN"/>
        </w:rPr>
        <w:t>。</w:t>
      </w:r>
    </w:p>
    <w:p w14:paraId="6D0AB210">
      <w:pPr>
        <w:keepNext w:val="0"/>
        <w:keepLines w:val="0"/>
        <w:pageBreakBefore w:val="0"/>
        <w:widowControl w:val="0"/>
        <w:kinsoku/>
        <w:wordWrap/>
        <w:overflowPunct/>
        <w:topLinePunct w:val="0"/>
        <w:bidi w:val="0"/>
        <w:adjustRightInd w:val="0"/>
        <w:snapToGrid w:val="0"/>
        <w:spacing w:line="560" w:lineRule="exact"/>
        <w:ind w:firstLine="562" w:firstLineChars="200"/>
        <w:textAlignment w:val="auto"/>
        <w:rPr>
          <w:rFonts w:hint="eastAsia" w:ascii="宋体" w:hAnsi="宋体" w:eastAsia="宋体"/>
          <w:color w:val="auto"/>
          <w:sz w:val="28"/>
          <w:szCs w:val="28"/>
          <w:lang w:eastAsia="zh-CN"/>
        </w:rPr>
      </w:pPr>
      <w:r>
        <w:rPr>
          <w:rFonts w:hint="eastAsia" w:ascii="Times New Roman" w:hAnsi="Times New Roman" w:cs="Times New Roman"/>
          <w:b/>
          <w:bCs/>
          <w:color w:val="auto"/>
          <w:sz w:val="28"/>
          <w:szCs w:val="28"/>
          <w:lang w:val="en-US" w:eastAsia="zh-CN"/>
        </w:rPr>
        <w:t>油水池</w:t>
      </w:r>
      <w:r>
        <w:rPr>
          <w:rFonts w:hint="eastAsia" w:ascii="宋体" w:hAnsi="宋体"/>
          <w:color w:val="auto"/>
          <w:sz w:val="28"/>
          <w:szCs w:val="28"/>
        </w:rPr>
        <w:t>：</w:t>
      </w:r>
      <w:r>
        <w:rPr>
          <w:rFonts w:hint="eastAsia" w:ascii="宋体" w:hAnsi="宋体"/>
          <w:color w:val="auto"/>
          <w:sz w:val="28"/>
          <w:szCs w:val="28"/>
          <w:lang w:val="en-US" w:eastAsia="zh-CN"/>
        </w:rPr>
        <w:t>1处，</w:t>
      </w:r>
      <w:r>
        <w:rPr>
          <w:rFonts w:hint="eastAsia" w:ascii="宋体" w:hAnsi="宋体"/>
          <w:color w:val="auto"/>
          <w:sz w:val="28"/>
          <w:szCs w:val="28"/>
        </w:rPr>
        <w:t>设在站区</w:t>
      </w:r>
      <w:r>
        <w:rPr>
          <w:rFonts w:hint="eastAsia" w:ascii="宋体" w:hAnsi="宋体"/>
          <w:color w:val="auto"/>
          <w:sz w:val="28"/>
          <w:szCs w:val="28"/>
          <w:lang w:val="en-US" w:eastAsia="zh-CN"/>
        </w:rPr>
        <w:t>西</w:t>
      </w:r>
      <w:r>
        <w:rPr>
          <w:rFonts w:hint="eastAsia" w:ascii="宋体" w:hAnsi="宋体"/>
          <w:color w:val="auto"/>
          <w:sz w:val="28"/>
          <w:szCs w:val="28"/>
        </w:rPr>
        <w:t>侧</w:t>
      </w:r>
      <w:r>
        <w:rPr>
          <w:rFonts w:hint="eastAsia" w:ascii="Times New Roman" w:hAnsi="Times New Roman" w:cs="Times New Roman"/>
          <w:color w:val="auto"/>
          <w:sz w:val="28"/>
          <w:szCs w:val="28"/>
          <w:lang w:eastAsia="zh-CN"/>
        </w:rPr>
        <w:t>。</w:t>
      </w:r>
    </w:p>
    <w:p w14:paraId="61D19BFC">
      <w:pPr>
        <w:pStyle w:val="153"/>
        <w:keepNext w:val="0"/>
        <w:keepLines w:val="0"/>
        <w:pageBreakBefore w:val="0"/>
        <w:widowControl w:val="0"/>
        <w:kinsoku/>
        <w:wordWrap/>
        <w:overflowPunct/>
        <w:topLinePunct w:val="0"/>
        <w:bidi w:val="0"/>
        <w:spacing w:line="560" w:lineRule="exact"/>
        <w:textAlignment w:val="auto"/>
        <w:rPr>
          <w:rFonts w:hint="default" w:ascii="Times New Roman" w:hAnsi="Times New Roman" w:eastAsia="宋体" w:cs="Times New Roman"/>
          <w:kern w:val="2"/>
          <w:sz w:val="28"/>
          <w:szCs w:val="24"/>
          <w:lang w:val="en-US" w:eastAsia="zh-CN" w:bidi="ar-SA"/>
        </w:rPr>
      </w:pPr>
      <w:r>
        <w:rPr>
          <w:rFonts w:hint="eastAsia"/>
          <w:color w:val="auto"/>
          <w:sz w:val="28"/>
          <w:szCs w:val="28"/>
        </w:rPr>
        <w:t xml:space="preserve">   </w:t>
      </w:r>
      <w:r>
        <w:rPr>
          <w:rFonts w:hint="default" w:ascii="Times New Roman" w:hAnsi="Times New Roman" w:eastAsia="宋体" w:cs="Times New Roman"/>
          <w:kern w:val="2"/>
          <w:sz w:val="28"/>
          <w:szCs w:val="24"/>
          <w:lang w:val="en-US" w:eastAsia="zh-CN" w:bidi="ar-SA"/>
        </w:rPr>
        <w:t xml:space="preserve"> </w:t>
      </w:r>
      <w:r>
        <w:rPr>
          <w:rFonts w:hint="eastAsia" w:ascii="Times New Roman" w:hAnsi="Times New Roman" w:eastAsia="宋体" w:cs="Times New Roman"/>
          <w:kern w:val="2"/>
          <w:sz w:val="28"/>
          <w:szCs w:val="24"/>
          <w:lang w:val="en-US" w:eastAsia="zh-CN" w:bidi="ar-SA"/>
        </w:rPr>
        <w:t>该加油站站内设施之间的安全间距详见表2.4-2。</w:t>
      </w:r>
    </w:p>
    <w:p w14:paraId="2EDB5759">
      <w:pPr>
        <w:keepNext w:val="0"/>
        <w:keepLines w:val="0"/>
        <w:pageBreakBefore w:val="0"/>
        <w:widowControl/>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表2.4-2 站内设施的安全间距表</w:t>
      </w:r>
      <w:r>
        <w:rPr>
          <w:rFonts w:hint="default" w:ascii="Times New Roman" w:hAnsi="Times New Roman" w:eastAsia="黑体" w:cs="Times New Roman"/>
          <w:b/>
          <w:color w:val="auto"/>
          <w:sz w:val="21"/>
          <w:szCs w:val="21"/>
          <w:lang w:eastAsia="zh-CN"/>
        </w:rPr>
        <w:t>（</w:t>
      </w:r>
      <w:r>
        <w:rPr>
          <w:rFonts w:hint="default" w:ascii="Times New Roman" w:hAnsi="Times New Roman" w:eastAsia="黑体" w:cs="Times New Roman"/>
          <w:b/>
          <w:color w:val="auto"/>
          <w:sz w:val="21"/>
          <w:szCs w:val="21"/>
          <w:lang w:val="en-US" w:eastAsia="zh-CN"/>
        </w:rPr>
        <w:t>m</w:t>
      </w:r>
      <w:r>
        <w:rPr>
          <w:rFonts w:hint="default" w:ascii="Times New Roman" w:hAnsi="Times New Roman" w:eastAsia="黑体" w:cs="Times New Roman"/>
          <w:b/>
          <w:color w:val="auto"/>
          <w:sz w:val="21"/>
          <w:szCs w:val="21"/>
          <w:lang w:eastAsia="zh-CN"/>
        </w:rPr>
        <w:t>）</w:t>
      </w:r>
    </w:p>
    <w:tbl>
      <w:tblPr>
        <w:tblStyle w:val="48"/>
        <w:tblW w:w="895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1"/>
        <w:gridCol w:w="1738"/>
        <w:gridCol w:w="922"/>
        <w:gridCol w:w="1653"/>
        <w:gridCol w:w="1512"/>
        <w:gridCol w:w="1300"/>
        <w:gridCol w:w="1050"/>
      </w:tblGrid>
      <w:tr w14:paraId="20E93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jc w:val="center"/>
        </w:trPr>
        <w:tc>
          <w:tcPr>
            <w:tcW w:w="781" w:type="dxa"/>
            <w:tcBorders>
              <w:right w:val="single" w:color="000000" w:sz="6" w:space="0"/>
            </w:tcBorders>
            <w:noWrap w:val="0"/>
            <w:vAlign w:val="center"/>
          </w:tcPr>
          <w:p w14:paraId="5B197D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序号</w:t>
            </w:r>
          </w:p>
        </w:tc>
        <w:tc>
          <w:tcPr>
            <w:tcW w:w="1738" w:type="dxa"/>
            <w:tcBorders>
              <w:left w:val="single" w:color="000000" w:sz="6" w:space="0"/>
              <w:right w:val="single" w:color="000000" w:sz="6" w:space="0"/>
            </w:tcBorders>
            <w:noWrap w:val="0"/>
            <w:vAlign w:val="center"/>
          </w:tcPr>
          <w:p w14:paraId="3F3CFE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设施名称</w:t>
            </w:r>
          </w:p>
        </w:tc>
        <w:tc>
          <w:tcPr>
            <w:tcW w:w="922" w:type="dxa"/>
            <w:tcBorders>
              <w:left w:val="single" w:color="000000" w:sz="6" w:space="0"/>
              <w:right w:val="single" w:color="000000" w:sz="6" w:space="0"/>
            </w:tcBorders>
            <w:noWrap w:val="0"/>
            <w:vAlign w:val="center"/>
          </w:tcPr>
          <w:p w14:paraId="238F95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方位</w:t>
            </w:r>
          </w:p>
        </w:tc>
        <w:tc>
          <w:tcPr>
            <w:tcW w:w="1653" w:type="dxa"/>
            <w:tcBorders>
              <w:left w:val="single" w:color="000000" w:sz="6" w:space="0"/>
              <w:right w:val="single" w:color="000000" w:sz="6" w:space="0"/>
            </w:tcBorders>
            <w:noWrap w:val="0"/>
            <w:vAlign w:val="center"/>
          </w:tcPr>
          <w:p w14:paraId="31D69A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相邻设施</w:t>
            </w:r>
          </w:p>
        </w:tc>
        <w:tc>
          <w:tcPr>
            <w:tcW w:w="1512" w:type="dxa"/>
            <w:tcBorders>
              <w:left w:val="single" w:color="000000" w:sz="6" w:space="0"/>
            </w:tcBorders>
            <w:noWrap w:val="0"/>
            <w:vAlign w:val="center"/>
          </w:tcPr>
          <w:p w14:paraId="72D674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lang w:val="en-US" w:eastAsia="zh-CN"/>
              </w:rPr>
              <w:t>GB50156-2021</w:t>
            </w:r>
            <w:r>
              <w:rPr>
                <w:rFonts w:hint="default" w:ascii="Times New Roman" w:hAnsi="Times New Roman" w:eastAsia="宋体" w:cs="Times New Roman"/>
                <w:b/>
                <w:color w:val="auto"/>
                <w:spacing w:val="-2"/>
                <w:sz w:val="21"/>
                <w:szCs w:val="21"/>
              </w:rPr>
              <w:t>标准要求(m)</w:t>
            </w:r>
          </w:p>
        </w:tc>
        <w:tc>
          <w:tcPr>
            <w:tcW w:w="1300" w:type="dxa"/>
            <w:noWrap w:val="0"/>
            <w:vAlign w:val="center"/>
          </w:tcPr>
          <w:p w14:paraId="70AE82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实际距离(m)</w:t>
            </w:r>
          </w:p>
        </w:tc>
        <w:tc>
          <w:tcPr>
            <w:tcW w:w="1050" w:type="dxa"/>
            <w:noWrap w:val="0"/>
            <w:vAlign w:val="center"/>
          </w:tcPr>
          <w:p w14:paraId="06CB2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159" w:right="0" w:firstLine="0" w:firstLineChars="0"/>
              <w:jc w:val="center"/>
              <w:textAlignment w:val="auto"/>
              <w:rPr>
                <w:rFonts w:hint="default" w:ascii="Times New Roman" w:hAnsi="Times New Roman" w:eastAsia="宋体" w:cs="Times New Roman"/>
                <w:b/>
                <w:color w:val="auto"/>
                <w:spacing w:val="-2"/>
                <w:sz w:val="21"/>
                <w:szCs w:val="21"/>
              </w:rPr>
            </w:pPr>
            <w:r>
              <w:rPr>
                <w:rFonts w:hint="default" w:ascii="Times New Roman" w:hAnsi="Times New Roman" w:eastAsia="宋体" w:cs="Times New Roman"/>
                <w:b/>
                <w:color w:val="auto"/>
                <w:spacing w:val="-2"/>
                <w:sz w:val="21"/>
                <w:szCs w:val="21"/>
              </w:rPr>
              <w:t>结论</w:t>
            </w:r>
          </w:p>
        </w:tc>
      </w:tr>
      <w:tr w14:paraId="0293B6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781" w:type="dxa"/>
            <w:tcBorders>
              <w:right w:val="single" w:color="000000" w:sz="6" w:space="0"/>
            </w:tcBorders>
            <w:noWrap w:val="0"/>
            <w:vAlign w:val="center"/>
          </w:tcPr>
          <w:p w14:paraId="2D5B51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738" w:type="dxa"/>
            <w:tcBorders>
              <w:left w:val="single" w:color="000000" w:sz="6" w:space="0"/>
              <w:right w:val="single" w:color="000000" w:sz="6" w:space="0"/>
            </w:tcBorders>
            <w:noWrap w:val="0"/>
            <w:vAlign w:val="center"/>
          </w:tcPr>
          <w:p w14:paraId="5E4C78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2D05A3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59EAC2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站房</w:t>
            </w:r>
          </w:p>
        </w:tc>
        <w:tc>
          <w:tcPr>
            <w:tcW w:w="1512" w:type="dxa"/>
            <w:tcBorders>
              <w:left w:val="single" w:color="000000" w:sz="6" w:space="0"/>
            </w:tcBorders>
            <w:noWrap w:val="0"/>
            <w:vAlign w:val="center"/>
          </w:tcPr>
          <w:p w14:paraId="1D7EF0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300" w:type="dxa"/>
            <w:noWrap w:val="0"/>
            <w:vAlign w:val="center"/>
          </w:tcPr>
          <w:p w14:paraId="1CC4DC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7.0</w:t>
            </w:r>
          </w:p>
        </w:tc>
        <w:tc>
          <w:tcPr>
            <w:tcW w:w="1050" w:type="dxa"/>
            <w:noWrap w:val="0"/>
            <w:vAlign w:val="center"/>
          </w:tcPr>
          <w:p w14:paraId="4A4489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45068E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781" w:type="dxa"/>
            <w:tcBorders>
              <w:right w:val="single" w:color="000000" w:sz="6" w:space="0"/>
            </w:tcBorders>
            <w:noWrap w:val="0"/>
            <w:vAlign w:val="center"/>
          </w:tcPr>
          <w:p w14:paraId="37C002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738" w:type="dxa"/>
            <w:tcBorders>
              <w:left w:val="single" w:color="000000" w:sz="6" w:space="0"/>
              <w:right w:val="single" w:color="000000" w:sz="6" w:space="0"/>
            </w:tcBorders>
            <w:noWrap w:val="0"/>
            <w:vAlign w:val="center"/>
          </w:tcPr>
          <w:p w14:paraId="388AD7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11DF0A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15315D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配电间</w:t>
            </w:r>
          </w:p>
        </w:tc>
        <w:tc>
          <w:tcPr>
            <w:tcW w:w="1512" w:type="dxa"/>
            <w:tcBorders>
              <w:left w:val="single" w:color="000000" w:sz="6" w:space="0"/>
            </w:tcBorders>
            <w:noWrap w:val="0"/>
            <w:vAlign w:val="center"/>
          </w:tcPr>
          <w:p w14:paraId="494554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1300" w:type="dxa"/>
            <w:noWrap w:val="0"/>
            <w:vAlign w:val="center"/>
          </w:tcPr>
          <w:p w14:paraId="73B724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13.8</w:t>
            </w:r>
          </w:p>
        </w:tc>
        <w:tc>
          <w:tcPr>
            <w:tcW w:w="1050" w:type="dxa"/>
            <w:noWrap w:val="0"/>
            <w:vAlign w:val="center"/>
          </w:tcPr>
          <w:p w14:paraId="4A2D8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72BCB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781" w:type="dxa"/>
            <w:tcBorders>
              <w:right w:val="single" w:color="000000" w:sz="6" w:space="0"/>
            </w:tcBorders>
            <w:noWrap w:val="0"/>
            <w:vAlign w:val="center"/>
          </w:tcPr>
          <w:p w14:paraId="452329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1738" w:type="dxa"/>
            <w:tcBorders>
              <w:left w:val="single" w:color="000000" w:sz="6" w:space="0"/>
              <w:right w:val="single" w:color="000000" w:sz="6" w:space="0"/>
            </w:tcBorders>
            <w:noWrap w:val="0"/>
            <w:vAlign w:val="center"/>
          </w:tcPr>
          <w:p w14:paraId="276953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4562CA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西侧</w:t>
            </w:r>
          </w:p>
        </w:tc>
        <w:tc>
          <w:tcPr>
            <w:tcW w:w="1653" w:type="dxa"/>
            <w:tcBorders>
              <w:left w:val="single" w:color="000000" w:sz="6" w:space="0"/>
              <w:right w:val="single" w:color="000000" w:sz="6" w:space="0"/>
            </w:tcBorders>
            <w:noWrap w:val="0"/>
            <w:vAlign w:val="center"/>
          </w:tcPr>
          <w:p w14:paraId="7A248A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洗车机</w:t>
            </w:r>
          </w:p>
        </w:tc>
        <w:tc>
          <w:tcPr>
            <w:tcW w:w="1512" w:type="dxa"/>
            <w:tcBorders>
              <w:left w:val="single" w:color="000000" w:sz="6" w:space="0"/>
            </w:tcBorders>
            <w:noWrap w:val="0"/>
            <w:vAlign w:val="center"/>
          </w:tcPr>
          <w:p w14:paraId="6A88FD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1300" w:type="dxa"/>
            <w:noWrap w:val="0"/>
            <w:vAlign w:val="center"/>
          </w:tcPr>
          <w:p w14:paraId="78DEDA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12.9</w:t>
            </w:r>
          </w:p>
        </w:tc>
        <w:tc>
          <w:tcPr>
            <w:tcW w:w="1050" w:type="dxa"/>
            <w:noWrap w:val="0"/>
            <w:vAlign w:val="center"/>
          </w:tcPr>
          <w:p w14:paraId="06474E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合格</w:t>
            </w:r>
          </w:p>
        </w:tc>
      </w:tr>
      <w:tr w14:paraId="0D558E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9" w:hRule="atLeast"/>
          <w:jc w:val="center"/>
        </w:trPr>
        <w:tc>
          <w:tcPr>
            <w:tcW w:w="781" w:type="dxa"/>
            <w:tcBorders>
              <w:right w:val="single" w:color="000000" w:sz="6" w:space="0"/>
            </w:tcBorders>
            <w:noWrap w:val="0"/>
            <w:vAlign w:val="center"/>
          </w:tcPr>
          <w:p w14:paraId="51019F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1738" w:type="dxa"/>
            <w:tcBorders>
              <w:left w:val="single" w:color="000000" w:sz="6" w:space="0"/>
              <w:right w:val="single" w:color="000000" w:sz="6" w:space="0"/>
            </w:tcBorders>
            <w:noWrap w:val="0"/>
            <w:vAlign w:val="center"/>
          </w:tcPr>
          <w:p w14:paraId="516541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3FE3FE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w:t>
            </w:r>
          </w:p>
        </w:tc>
        <w:tc>
          <w:tcPr>
            <w:tcW w:w="1653" w:type="dxa"/>
            <w:tcBorders>
              <w:left w:val="single" w:color="000000" w:sz="6" w:space="0"/>
              <w:right w:val="single" w:color="000000" w:sz="6" w:space="0"/>
            </w:tcBorders>
            <w:noWrap w:val="0"/>
            <w:vAlign w:val="center"/>
          </w:tcPr>
          <w:p w14:paraId="32ED10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7A2747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00" w:type="dxa"/>
            <w:noWrap w:val="0"/>
            <w:vAlign w:val="center"/>
          </w:tcPr>
          <w:p w14:paraId="336CAC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16.2</w:t>
            </w:r>
          </w:p>
        </w:tc>
        <w:tc>
          <w:tcPr>
            <w:tcW w:w="1050" w:type="dxa"/>
            <w:noWrap w:val="0"/>
            <w:vAlign w:val="center"/>
          </w:tcPr>
          <w:p w14:paraId="44C807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0458E1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781" w:type="dxa"/>
            <w:tcBorders>
              <w:right w:val="single" w:color="000000" w:sz="6" w:space="0"/>
            </w:tcBorders>
            <w:noWrap w:val="0"/>
            <w:vAlign w:val="center"/>
          </w:tcPr>
          <w:p w14:paraId="48A850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738" w:type="dxa"/>
            <w:tcBorders>
              <w:left w:val="single" w:color="000000" w:sz="6" w:space="0"/>
              <w:right w:val="single" w:color="000000" w:sz="6" w:space="0"/>
            </w:tcBorders>
            <w:noWrap w:val="0"/>
            <w:vAlign w:val="center"/>
          </w:tcPr>
          <w:p w14:paraId="621DCF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1CB2CF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东侧</w:t>
            </w:r>
          </w:p>
        </w:tc>
        <w:tc>
          <w:tcPr>
            <w:tcW w:w="1653" w:type="dxa"/>
            <w:tcBorders>
              <w:left w:val="single" w:color="000000" w:sz="6" w:space="0"/>
              <w:right w:val="single" w:color="000000" w:sz="6" w:space="0"/>
            </w:tcBorders>
            <w:noWrap w:val="0"/>
            <w:vAlign w:val="center"/>
          </w:tcPr>
          <w:p w14:paraId="5C1C1C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2FF2D5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00" w:type="dxa"/>
            <w:noWrap w:val="0"/>
            <w:vAlign w:val="center"/>
          </w:tcPr>
          <w:p w14:paraId="27BFCF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w:t>
            </w:r>
          </w:p>
        </w:tc>
        <w:tc>
          <w:tcPr>
            <w:tcW w:w="1050" w:type="dxa"/>
            <w:noWrap w:val="0"/>
            <w:vAlign w:val="center"/>
          </w:tcPr>
          <w:p w14:paraId="58BB11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0EE0C4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781" w:type="dxa"/>
            <w:tcBorders>
              <w:right w:val="single" w:color="000000" w:sz="6" w:space="0"/>
            </w:tcBorders>
            <w:noWrap w:val="0"/>
            <w:vAlign w:val="center"/>
          </w:tcPr>
          <w:p w14:paraId="4841A7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1738" w:type="dxa"/>
            <w:tcBorders>
              <w:left w:val="single" w:color="000000" w:sz="6" w:space="0"/>
              <w:right w:val="single" w:color="000000" w:sz="6" w:space="0"/>
            </w:tcBorders>
            <w:noWrap w:val="0"/>
            <w:vAlign w:val="center"/>
          </w:tcPr>
          <w:p w14:paraId="754244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汽油埋地油罐</w:t>
            </w:r>
          </w:p>
        </w:tc>
        <w:tc>
          <w:tcPr>
            <w:tcW w:w="922" w:type="dxa"/>
            <w:tcBorders>
              <w:left w:val="single" w:color="000000" w:sz="6" w:space="0"/>
              <w:right w:val="single" w:color="000000" w:sz="6" w:space="0"/>
            </w:tcBorders>
            <w:noWrap w:val="0"/>
            <w:vAlign w:val="center"/>
          </w:tcPr>
          <w:p w14:paraId="161094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西侧</w:t>
            </w:r>
          </w:p>
        </w:tc>
        <w:tc>
          <w:tcPr>
            <w:tcW w:w="1653" w:type="dxa"/>
            <w:tcBorders>
              <w:left w:val="single" w:color="000000" w:sz="6" w:space="0"/>
              <w:right w:val="single" w:color="000000" w:sz="6" w:space="0"/>
            </w:tcBorders>
            <w:noWrap w:val="0"/>
            <w:vAlign w:val="center"/>
          </w:tcPr>
          <w:p w14:paraId="53D407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26F05D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00" w:type="dxa"/>
            <w:noWrap w:val="0"/>
            <w:vAlign w:val="center"/>
          </w:tcPr>
          <w:p w14:paraId="300453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18.4</w:t>
            </w:r>
          </w:p>
        </w:tc>
        <w:tc>
          <w:tcPr>
            <w:tcW w:w="1050" w:type="dxa"/>
            <w:noWrap w:val="0"/>
            <w:vAlign w:val="center"/>
          </w:tcPr>
          <w:p w14:paraId="248C53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1C1DF6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781" w:type="dxa"/>
            <w:tcBorders>
              <w:right w:val="single" w:color="000000" w:sz="6" w:space="0"/>
            </w:tcBorders>
            <w:noWrap w:val="0"/>
            <w:vAlign w:val="center"/>
          </w:tcPr>
          <w:p w14:paraId="4E644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1738" w:type="dxa"/>
            <w:tcBorders>
              <w:left w:val="single" w:color="000000" w:sz="6" w:space="0"/>
              <w:right w:val="single" w:color="000000" w:sz="6" w:space="0"/>
            </w:tcBorders>
            <w:noWrap w:val="0"/>
            <w:vAlign w:val="center"/>
          </w:tcPr>
          <w:p w14:paraId="049AFB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埋地油罐</w:t>
            </w:r>
          </w:p>
        </w:tc>
        <w:tc>
          <w:tcPr>
            <w:tcW w:w="922" w:type="dxa"/>
            <w:tcBorders>
              <w:left w:val="single" w:color="000000" w:sz="6" w:space="0"/>
              <w:right w:val="single" w:color="000000" w:sz="6" w:space="0"/>
            </w:tcBorders>
            <w:noWrap w:val="0"/>
            <w:vAlign w:val="center"/>
          </w:tcPr>
          <w:p w14:paraId="7C1F9C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东/西</w:t>
            </w:r>
          </w:p>
        </w:tc>
        <w:tc>
          <w:tcPr>
            <w:tcW w:w="1653" w:type="dxa"/>
            <w:tcBorders>
              <w:left w:val="single" w:color="000000" w:sz="6" w:space="0"/>
              <w:right w:val="single" w:color="000000" w:sz="6" w:space="0"/>
            </w:tcBorders>
            <w:noWrap w:val="0"/>
            <w:vAlign w:val="center"/>
          </w:tcPr>
          <w:p w14:paraId="1F84DB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埋地油罐</w:t>
            </w:r>
          </w:p>
        </w:tc>
        <w:tc>
          <w:tcPr>
            <w:tcW w:w="1512" w:type="dxa"/>
            <w:tcBorders>
              <w:left w:val="single" w:color="000000" w:sz="6" w:space="0"/>
            </w:tcBorders>
            <w:noWrap w:val="0"/>
            <w:vAlign w:val="center"/>
          </w:tcPr>
          <w:p w14:paraId="1B1500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0.5</w:t>
            </w:r>
          </w:p>
        </w:tc>
        <w:tc>
          <w:tcPr>
            <w:tcW w:w="1300" w:type="dxa"/>
            <w:noWrap w:val="0"/>
            <w:vAlign w:val="center"/>
          </w:tcPr>
          <w:p w14:paraId="16808C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050" w:type="dxa"/>
            <w:noWrap w:val="0"/>
            <w:vAlign w:val="center"/>
          </w:tcPr>
          <w:p w14:paraId="68FD5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587AD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 w:hRule="atLeast"/>
          <w:jc w:val="center"/>
        </w:trPr>
        <w:tc>
          <w:tcPr>
            <w:tcW w:w="781" w:type="dxa"/>
            <w:tcBorders>
              <w:right w:val="single" w:color="000000" w:sz="6" w:space="0"/>
            </w:tcBorders>
            <w:noWrap w:val="0"/>
            <w:vAlign w:val="center"/>
          </w:tcPr>
          <w:p w14:paraId="185AF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1738" w:type="dxa"/>
            <w:tcBorders>
              <w:left w:val="single" w:color="000000" w:sz="6" w:space="0"/>
              <w:right w:val="single" w:color="000000" w:sz="6" w:space="0"/>
            </w:tcBorders>
            <w:noWrap w:val="0"/>
            <w:vAlign w:val="center"/>
          </w:tcPr>
          <w:p w14:paraId="5F938A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汽油加油机</w:t>
            </w:r>
          </w:p>
        </w:tc>
        <w:tc>
          <w:tcPr>
            <w:tcW w:w="922" w:type="dxa"/>
            <w:tcBorders>
              <w:left w:val="single" w:color="000000" w:sz="6" w:space="0"/>
              <w:right w:val="single" w:color="000000" w:sz="6" w:space="0"/>
            </w:tcBorders>
            <w:noWrap w:val="0"/>
            <w:vAlign w:val="center"/>
          </w:tcPr>
          <w:p w14:paraId="4F9DB9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7436E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站房</w:t>
            </w:r>
          </w:p>
        </w:tc>
        <w:tc>
          <w:tcPr>
            <w:tcW w:w="1512" w:type="dxa"/>
            <w:tcBorders>
              <w:left w:val="single" w:color="000000" w:sz="6" w:space="0"/>
            </w:tcBorders>
            <w:noWrap w:val="0"/>
            <w:vAlign w:val="center"/>
          </w:tcPr>
          <w:p w14:paraId="66DDEA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300" w:type="dxa"/>
            <w:noWrap w:val="0"/>
            <w:vAlign w:val="center"/>
          </w:tcPr>
          <w:p w14:paraId="3E9413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5.8</w:t>
            </w:r>
          </w:p>
        </w:tc>
        <w:tc>
          <w:tcPr>
            <w:tcW w:w="1050" w:type="dxa"/>
            <w:noWrap w:val="0"/>
            <w:vAlign w:val="center"/>
          </w:tcPr>
          <w:p w14:paraId="494FE5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795016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781" w:type="dxa"/>
            <w:tcBorders>
              <w:right w:val="single" w:color="000000" w:sz="6" w:space="0"/>
            </w:tcBorders>
            <w:noWrap w:val="0"/>
            <w:vAlign w:val="center"/>
          </w:tcPr>
          <w:p w14:paraId="6154F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1738" w:type="dxa"/>
            <w:tcBorders>
              <w:left w:val="single" w:color="000000" w:sz="6" w:space="0"/>
              <w:right w:val="single" w:color="000000" w:sz="6" w:space="0"/>
            </w:tcBorders>
            <w:noWrap w:val="0"/>
            <w:vAlign w:val="center"/>
          </w:tcPr>
          <w:p w14:paraId="78131F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汽油加油机</w:t>
            </w:r>
          </w:p>
        </w:tc>
        <w:tc>
          <w:tcPr>
            <w:tcW w:w="922" w:type="dxa"/>
            <w:tcBorders>
              <w:left w:val="single" w:color="000000" w:sz="6" w:space="0"/>
              <w:right w:val="single" w:color="000000" w:sz="6" w:space="0"/>
            </w:tcBorders>
            <w:noWrap w:val="0"/>
            <w:vAlign w:val="center"/>
          </w:tcPr>
          <w:p w14:paraId="0E7E6D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428639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配电间</w:t>
            </w:r>
          </w:p>
        </w:tc>
        <w:tc>
          <w:tcPr>
            <w:tcW w:w="1512" w:type="dxa"/>
            <w:tcBorders>
              <w:left w:val="single" w:color="000000" w:sz="6" w:space="0"/>
            </w:tcBorders>
            <w:noWrap w:val="0"/>
            <w:vAlign w:val="center"/>
          </w:tcPr>
          <w:p w14:paraId="3E00E6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1300" w:type="dxa"/>
            <w:noWrap w:val="0"/>
            <w:vAlign w:val="center"/>
          </w:tcPr>
          <w:p w14:paraId="60C2E9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12.0</w:t>
            </w:r>
          </w:p>
        </w:tc>
        <w:tc>
          <w:tcPr>
            <w:tcW w:w="1050" w:type="dxa"/>
            <w:noWrap w:val="0"/>
            <w:vAlign w:val="center"/>
          </w:tcPr>
          <w:p w14:paraId="4CE159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29B33E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781" w:type="dxa"/>
            <w:tcBorders>
              <w:right w:val="single" w:color="000000" w:sz="6" w:space="0"/>
            </w:tcBorders>
            <w:noWrap w:val="0"/>
            <w:vAlign w:val="center"/>
          </w:tcPr>
          <w:p w14:paraId="431532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1738" w:type="dxa"/>
            <w:tcBorders>
              <w:left w:val="single" w:color="000000" w:sz="6" w:space="0"/>
              <w:right w:val="single" w:color="000000" w:sz="6" w:space="0"/>
            </w:tcBorders>
            <w:noWrap w:val="0"/>
            <w:vAlign w:val="center"/>
          </w:tcPr>
          <w:p w14:paraId="4CB441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汽油加油机</w:t>
            </w:r>
          </w:p>
        </w:tc>
        <w:tc>
          <w:tcPr>
            <w:tcW w:w="922" w:type="dxa"/>
            <w:tcBorders>
              <w:left w:val="single" w:color="000000" w:sz="6" w:space="0"/>
              <w:right w:val="single" w:color="000000" w:sz="6" w:space="0"/>
            </w:tcBorders>
            <w:noWrap w:val="0"/>
            <w:vAlign w:val="center"/>
          </w:tcPr>
          <w:p w14:paraId="559F3C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西侧</w:t>
            </w:r>
          </w:p>
        </w:tc>
        <w:tc>
          <w:tcPr>
            <w:tcW w:w="1653" w:type="dxa"/>
            <w:tcBorders>
              <w:left w:val="single" w:color="000000" w:sz="6" w:space="0"/>
              <w:right w:val="single" w:color="000000" w:sz="6" w:space="0"/>
            </w:tcBorders>
            <w:noWrap w:val="0"/>
            <w:vAlign w:val="center"/>
          </w:tcPr>
          <w:p w14:paraId="768294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洗车机</w:t>
            </w:r>
          </w:p>
        </w:tc>
        <w:tc>
          <w:tcPr>
            <w:tcW w:w="1512" w:type="dxa"/>
            <w:tcBorders>
              <w:left w:val="single" w:color="000000" w:sz="6" w:space="0"/>
            </w:tcBorders>
            <w:noWrap w:val="0"/>
            <w:vAlign w:val="center"/>
          </w:tcPr>
          <w:p w14:paraId="286D25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1300" w:type="dxa"/>
            <w:noWrap w:val="0"/>
            <w:vAlign w:val="center"/>
          </w:tcPr>
          <w:p w14:paraId="2DB114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12.4</w:t>
            </w:r>
          </w:p>
        </w:tc>
        <w:tc>
          <w:tcPr>
            <w:tcW w:w="1050" w:type="dxa"/>
            <w:noWrap w:val="0"/>
            <w:vAlign w:val="center"/>
          </w:tcPr>
          <w:p w14:paraId="580446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0776A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jc w:val="center"/>
        </w:trPr>
        <w:tc>
          <w:tcPr>
            <w:tcW w:w="781" w:type="dxa"/>
            <w:tcBorders>
              <w:right w:val="single" w:color="000000" w:sz="6" w:space="0"/>
            </w:tcBorders>
            <w:noWrap w:val="0"/>
            <w:vAlign w:val="center"/>
          </w:tcPr>
          <w:p w14:paraId="2CFD63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1738" w:type="dxa"/>
            <w:tcBorders>
              <w:left w:val="single" w:color="000000" w:sz="6" w:space="0"/>
              <w:right w:val="single" w:color="000000" w:sz="6" w:space="0"/>
            </w:tcBorders>
            <w:noWrap w:val="0"/>
            <w:vAlign w:val="center"/>
          </w:tcPr>
          <w:p w14:paraId="282CB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922" w:type="dxa"/>
            <w:tcBorders>
              <w:left w:val="single" w:color="000000" w:sz="6" w:space="0"/>
              <w:right w:val="single" w:color="000000" w:sz="6" w:space="0"/>
            </w:tcBorders>
            <w:noWrap w:val="0"/>
            <w:vAlign w:val="center"/>
          </w:tcPr>
          <w:p w14:paraId="000C49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7BED53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站房</w:t>
            </w:r>
          </w:p>
        </w:tc>
        <w:tc>
          <w:tcPr>
            <w:tcW w:w="1512" w:type="dxa"/>
            <w:tcBorders>
              <w:left w:val="single" w:color="000000" w:sz="6" w:space="0"/>
            </w:tcBorders>
            <w:noWrap w:val="0"/>
            <w:vAlign w:val="center"/>
          </w:tcPr>
          <w:p w14:paraId="199A4B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1300" w:type="dxa"/>
            <w:noWrap w:val="0"/>
            <w:vAlign w:val="center"/>
          </w:tcPr>
          <w:p w14:paraId="5B1D8A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5.8</w:t>
            </w:r>
          </w:p>
        </w:tc>
        <w:tc>
          <w:tcPr>
            <w:tcW w:w="1050" w:type="dxa"/>
            <w:noWrap w:val="0"/>
            <w:vAlign w:val="center"/>
          </w:tcPr>
          <w:p w14:paraId="6FE106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78173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781" w:type="dxa"/>
            <w:tcBorders>
              <w:right w:val="single" w:color="000000" w:sz="6" w:space="0"/>
            </w:tcBorders>
            <w:noWrap w:val="0"/>
            <w:vAlign w:val="center"/>
          </w:tcPr>
          <w:p w14:paraId="11ABE0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w:t>
            </w:r>
          </w:p>
        </w:tc>
        <w:tc>
          <w:tcPr>
            <w:tcW w:w="1738" w:type="dxa"/>
            <w:tcBorders>
              <w:left w:val="single" w:color="000000" w:sz="6" w:space="0"/>
              <w:right w:val="single" w:color="000000" w:sz="6" w:space="0"/>
            </w:tcBorders>
            <w:noWrap w:val="0"/>
            <w:vAlign w:val="center"/>
          </w:tcPr>
          <w:p w14:paraId="01B8C5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922" w:type="dxa"/>
            <w:tcBorders>
              <w:left w:val="single" w:color="000000" w:sz="6" w:space="0"/>
              <w:right w:val="single" w:color="000000" w:sz="6" w:space="0"/>
            </w:tcBorders>
            <w:noWrap w:val="0"/>
            <w:vAlign w:val="center"/>
          </w:tcPr>
          <w:p w14:paraId="4403D0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南侧</w:t>
            </w:r>
          </w:p>
        </w:tc>
        <w:tc>
          <w:tcPr>
            <w:tcW w:w="1653" w:type="dxa"/>
            <w:tcBorders>
              <w:left w:val="single" w:color="000000" w:sz="6" w:space="0"/>
              <w:right w:val="single" w:color="000000" w:sz="6" w:space="0"/>
            </w:tcBorders>
            <w:noWrap w:val="0"/>
            <w:vAlign w:val="center"/>
          </w:tcPr>
          <w:p w14:paraId="3C95B9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配电间</w:t>
            </w:r>
          </w:p>
        </w:tc>
        <w:tc>
          <w:tcPr>
            <w:tcW w:w="1512" w:type="dxa"/>
            <w:tcBorders>
              <w:left w:val="single" w:color="000000" w:sz="6" w:space="0"/>
            </w:tcBorders>
            <w:noWrap w:val="0"/>
            <w:vAlign w:val="center"/>
          </w:tcPr>
          <w:p w14:paraId="170084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1300" w:type="dxa"/>
            <w:noWrap w:val="0"/>
            <w:vAlign w:val="center"/>
          </w:tcPr>
          <w:p w14:paraId="0CA7BD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11.6</w:t>
            </w:r>
          </w:p>
        </w:tc>
        <w:tc>
          <w:tcPr>
            <w:tcW w:w="1050" w:type="dxa"/>
            <w:noWrap w:val="0"/>
            <w:vAlign w:val="center"/>
          </w:tcPr>
          <w:p w14:paraId="3A049D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68851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781" w:type="dxa"/>
            <w:tcBorders>
              <w:right w:val="single" w:color="000000" w:sz="6" w:space="0"/>
            </w:tcBorders>
            <w:noWrap w:val="0"/>
            <w:vAlign w:val="center"/>
          </w:tcPr>
          <w:p w14:paraId="46A0E5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1738" w:type="dxa"/>
            <w:tcBorders>
              <w:left w:val="single" w:color="000000" w:sz="6" w:space="0"/>
              <w:right w:val="single" w:color="000000" w:sz="6" w:space="0"/>
            </w:tcBorders>
            <w:noWrap w:val="0"/>
            <w:vAlign w:val="center"/>
          </w:tcPr>
          <w:p w14:paraId="5FC80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922" w:type="dxa"/>
            <w:tcBorders>
              <w:left w:val="single" w:color="000000" w:sz="6" w:space="0"/>
              <w:right w:val="single" w:color="000000" w:sz="6" w:space="0"/>
            </w:tcBorders>
            <w:noWrap w:val="0"/>
            <w:vAlign w:val="center"/>
          </w:tcPr>
          <w:p w14:paraId="6E7D4D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w:t>
            </w:r>
          </w:p>
        </w:tc>
        <w:tc>
          <w:tcPr>
            <w:tcW w:w="1653" w:type="dxa"/>
            <w:tcBorders>
              <w:left w:val="single" w:color="000000" w:sz="6" w:space="0"/>
              <w:right w:val="single" w:color="000000" w:sz="6" w:space="0"/>
            </w:tcBorders>
            <w:noWrap w:val="0"/>
            <w:vAlign w:val="center"/>
          </w:tcPr>
          <w:p w14:paraId="4A7F6B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0D10D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00" w:type="dxa"/>
            <w:noWrap w:val="0"/>
            <w:vAlign w:val="center"/>
          </w:tcPr>
          <w:p w14:paraId="052527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16.2</w:t>
            </w:r>
          </w:p>
        </w:tc>
        <w:tc>
          <w:tcPr>
            <w:tcW w:w="1050" w:type="dxa"/>
            <w:noWrap w:val="0"/>
            <w:vAlign w:val="center"/>
          </w:tcPr>
          <w:p w14:paraId="606E0E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09494B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781" w:type="dxa"/>
            <w:tcBorders>
              <w:right w:val="single" w:color="000000" w:sz="6" w:space="0"/>
            </w:tcBorders>
            <w:noWrap w:val="0"/>
            <w:vAlign w:val="center"/>
          </w:tcPr>
          <w:p w14:paraId="6D5873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1738" w:type="dxa"/>
            <w:tcBorders>
              <w:left w:val="single" w:color="000000" w:sz="6" w:space="0"/>
              <w:right w:val="single" w:color="000000" w:sz="6" w:space="0"/>
            </w:tcBorders>
            <w:noWrap w:val="0"/>
            <w:vAlign w:val="center"/>
          </w:tcPr>
          <w:p w14:paraId="50D741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922" w:type="dxa"/>
            <w:tcBorders>
              <w:left w:val="single" w:color="000000" w:sz="6" w:space="0"/>
              <w:right w:val="single" w:color="000000" w:sz="6" w:space="0"/>
            </w:tcBorders>
            <w:noWrap w:val="0"/>
            <w:vAlign w:val="center"/>
          </w:tcPr>
          <w:p w14:paraId="3F3820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东侧</w:t>
            </w:r>
          </w:p>
        </w:tc>
        <w:tc>
          <w:tcPr>
            <w:tcW w:w="1653" w:type="dxa"/>
            <w:tcBorders>
              <w:left w:val="single" w:color="000000" w:sz="6" w:space="0"/>
              <w:right w:val="single" w:color="000000" w:sz="6" w:space="0"/>
            </w:tcBorders>
            <w:noWrap w:val="0"/>
            <w:vAlign w:val="center"/>
          </w:tcPr>
          <w:p w14:paraId="6F4687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29A199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00" w:type="dxa"/>
            <w:noWrap w:val="0"/>
            <w:vAlign w:val="center"/>
          </w:tcPr>
          <w:p w14:paraId="2753DD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12.5</w:t>
            </w:r>
          </w:p>
        </w:tc>
        <w:tc>
          <w:tcPr>
            <w:tcW w:w="1050" w:type="dxa"/>
            <w:noWrap w:val="0"/>
            <w:vAlign w:val="center"/>
          </w:tcPr>
          <w:p w14:paraId="220F6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32893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jc w:val="center"/>
        </w:trPr>
        <w:tc>
          <w:tcPr>
            <w:tcW w:w="781" w:type="dxa"/>
            <w:tcBorders>
              <w:right w:val="single" w:color="000000" w:sz="6" w:space="0"/>
            </w:tcBorders>
            <w:noWrap w:val="0"/>
            <w:vAlign w:val="center"/>
          </w:tcPr>
          <w:p w14:paraId="711B2F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1738" w:type="dxa"/>
            <w:tcBorders>
              <w:left w:val="single" w:color="000000" w:sz="6" w:space="0"/>
              <w:right w:val="single" w:color="000000" w:sz="6" w:space="0"/>
            </w:tcBorders>
            <w:noWrap w:val="0"/>
            <w:vAlign w:val="center"/>
          </w:tcPr>
          <w:p w14:paraId="3CEE9F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922" w:type="dxa"/>
            <w:tcBorders>
              <w:left w:val="single" w:color="000000" w:sz="6" w:space="0"/>
              <w:right w:val="single" w:color="000000" w:sz="6" w:space="0"/>
            </w:tcBorders>
            <w:noWrap w:val="0"/>
            <w:vAlign w:val="center"/>
          </w:tcPr>
          <w:p w14:paraId="355D66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西侧</w:t>
            </w:r>
          </w:p>
        </w:tc>
        <w:tc>
          <w:tcPr>
            <w:tcW w:w="1653" w:type="dxa"/>
            <w:tcBorders>
              <w:left w:val="single" w:color="000000" w:sz="6" w:space="0"/>
              <w:right w:val="single" w:color="000000" w:sz="6" w:space="0"/>
            </w:tcBorders>
            <w:noWrap w:val="0"/>
            <w:vAlign w:val="center"/>
          </w:tcPr>
          <w:p w14:paraId="6E57D3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站区围墙</w:t>
            </w:r>
          </w:p>
        </w:tc>
        <w:tc>
          <w:tcPr>
            <w:tcW w:w="1512" w:type="dxa"/>
            <w:tcBorders>
              <w:left w:val="single" w:color="000000" w:sz="6" w:space="0"/>
            </w:tcBorders>
            <w:noWrap w:val="0"/>
            <w:vAlign w:val="center"/>
          </w:tcPr>
          <w:p w14:paraId="565580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300" w:type="dxa"/>
            <w:noWrap w:val="0"/>
            <w:vAlign w:val="center"/>
          </w:tcPr>
          <w:p w14:paraId="173848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17.4</w:t>
            </w:r>
          </w:p>
        </w:tc>
        <w:tc>
          <w:tcPr>
            <w:tcW w:w="1050" w:type="dxa"/>
            <w:noWrap w:val="0"/>
            <w:vAlign w:val="center"/>
          </w:tcPr>
          <w:p w14:paraId="22FA3A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7AD43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jc w:val="center"/>
        </w:trPr>
        <w:tc>
          <w:tcPr>
            <w:tcW w:w="781" w:type="dxa"/>
            <w:tcBorders>
              <w:right w:val="single" w:color="000000" w:sz="6" w:space="0"/>
            </w:tcBorders>
            <w:noWrap w:val="0"/>
            <w:vAlign w:val="center"/>
          </w:tcPr>
          <w:p w14:paraId="2652B8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1738" w:type="dxa"/>
            <w:tcBorders>
              <w:left w:val="single" w:color="000000" w:sz="6" w:space="0"/>
              <w:right w:val="single" w:color="000000" w:sz="6" w:space="0"/>
            </w:tcBorders>
            <w:noWrap w:val="0"/>
            <w:vAlign w:val="center"/>
          </w:tcPr>
          <w:p w14:paraId="75BE08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密闭卸油点</w:t>
            </w:r>
          </w:p>
        </w:tc>
        <w:tc>
          <w:tcPr>
            <w:tcW w:w="922" w:type="dxa"/>
            <w:tcBorders>
              <w:left w:val="single" w:color="000000" w:sz="6" w:space="0"/>
              <w:right w:val="single" w:color="000000" w:sz="6" w:space="0"/>
            </w:tcBorders>
            <w:noWrap w:val="0"/>
            <w:vAlign w:val="center"/>
          </w:tcPr>
          <w:p w14:paraId="22E14C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w:t>
            </w:r>
            <w:r>
              <w:rPr>
                <w:rFonts w:hint="eastAsia" w:ascii="Times New Roman" w:hAnsi="Times New Roman" w:eastAsia="宋体" w:cs="Times New Roman"/>
                <w:color w:val="auto"/>
                <w:sz w:val="21"/>
                <w:szCs w:val="21"/>
                <w:lang w:val="en-US" w:eastAsia="zh-CN"/>
              </w:rPr>
              <w:t>侧</w:t>
            </w:r>
          </w:p>
        </w:tc>
        <w:tc>
          <w:tcPr>
            <w:tcW w:w="1653" w:type="dxa"/>
            <w:tcBorders>
              <w:left w:val="single" w:color="000000" w:sz="6" w:space="0"/>
              <w:right w:val="single" w:color="000000" w:sz="6" w:space="0"/>
            </w:tcBorders>
            <w:noWrap w:val="0"/>
            <w:vAlign w:val="center"/>
          </w:tcPr>
          <w:p w14:paraId="1DFA64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站房</w:t>
            </w:r>
          </w:p>
        </w:tc>
        <w:tc>
          <w:tcPr>
            <w:tcW w:w="1512" w:type="dxa"/>
            <w:tcBorders>
              <w:left w:val="single" w:color="000000" w:sz="6" w:space="0"/>
            </w:tcBorders>
            <w:noWrap w:val="0"/>
            <w:vAlign w:val="center"/>
          </w:tcPr>
          <w:p w14:paraId="7AA636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300" w:type="dxa"/>
            <w:noWrap w:val="0"/>
            <w:vAlign w:val="center"/>
          </w:tcPr>
          <w:p w14:paraId="2A6377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17.3</w:t>
            </w:r>
          </w:p>
        </w:tc>
        <w:tc>
          <w:tcPr>
            <w:tcW w:w="1050" w:type="dxa"/>
            <w:noWrap w:val="0"/>
            <w:vAlign w:val="center"/>
          </w:tcPr>
          <w:p w14:paraId="6097E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0B17FD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6" w:hRule="atLeast"/>
          <w:jc w:val="center"/>
        </w:trPr>
        <w:tc>
          <w:tcPr>
            <w:tcW w:w="781" w:type="dxa"/>
            <w:tcBorders>
              <w:right w:val="single" w:color="000000" w:sz="6" w:space="0"/>
            </w:tcBorders>
            <w:noWrap w:val="0"/>
            <w:vAlign w:val="center"/>
          </w:tcPr>
          <w:p w14:paraId="376738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c>
          <w:tcPr>
            <w:tcW w:w="1738" w:type="dxa"/>
            <w:tcBorders>
              <w:left w:val="single" w:color="000000" w:sz="6" w:space="0"/>
              <w:right w:val="single" w:color="000000" w:sz="6" w:space="0"/>
            </w:tcBorders>
            <w:noWrap w:val="0"/>
            <w:vAlign w:val="center"/>
          </w:tcPr>
          <w:p w14:paraId="42E5F7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密闭卸油点</w:t>
            </w:r>
          </w:p>
        </w:tc>
        <w:tc>
          <w:tcPr>
            <w:tcW w:w="922" w:type="dxa"/>
            <w:tcBorders>
              <w:left w:val="single" w:color="000000" w:sz="6" w:space="0"/>
              <w:right w:val="single" w:color="000000" w:sz="6" w:space="0"/>
            </w:tcBorders>
            <w:noWrap w:val="0"/>
            <w:vAlign w:val="center"/>
          </w:tcPr>
          <w:p w14:paraId="3E7E01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w:t>
            </w:r>
            <w:r>
              <w:rPr>
                <w:rFonts w:hint="eastAsia" w:ascii="Times New Roman" w:hAnsi="Times New Roman" w:eastAsia="宋体" w:cs="Times New Roman"/>
                <w:color w:val="auto"/>
                <w:sz w:val="21"/>
                <w:szCs w:val="21"/>
                <w:lang w:val="en-US" w:eastAsia="zh-CN"/>
              </w:rPr>
              <w:t>侧</w:t>
            </w:r>
          </w:p>
        </w:tc>
        <w:tc>
          <w:tcPr>
            <w:tcW w:w="1653" w:type="dxa"/>
            <w:tcBorders>
              <w:left w:val="single" w:color="000000" w:sz="6" w:space="0"/>
              <w:right w:val="single" w:color="000000" w:sz="6" w:space="0"/>
            </w:tcBorders>
            <w:noWrap w:val="0"/>
            <w:vAlign w:val="center"/>
          </w:tcPr>
          <w:p w14:paraId="7F1C08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配电间</w:t>
            </w:r>
          </w:p>
        </w:tc>
        <w:tc>
          <w:tcPr>
            <w:tcW w:w="1512" w:type="dxa"/>
            <w:tcBorders>
              <w:left w:val="single" w:color="000000" w:sz="6" w:space="0"/>
            </w:tcBorders>
            <w:noWrap w:val="0"/>
            <w:vAlign w:val="center"/>
          </w:tcPr>
          <w:p w14:paraId="79C8D8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1300" w:type="dxa"/>
            <w:noWrap w:val="0"/>
            <w:vAlign w:val="center"/>
          </w:tcPr>
          <w:p w14:paraId="2EAEEB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25.2</w:t>
            </w:r>
          </w:p>
        </w:tc>
        <w:tc>
          <w:tcPr>
            <w:tcW w:w="1050" w:type="dxa"/>
            <w:noWrap w:val="0"/>
            <w:vAlign w:val="center"/>
          </w:tcPr>
          <w:p w14:paraId="514493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4D9D9B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 w:hRule="atLeast"/>
          <w:jc w:val="center"/>
        </w:trPr>
        <w:tc>
          <w:tcPr>
            <w:tcW w:w="781" w:type="dxa"/>
            <w:tcBorders>
              <w:right w:val="single" w:color="000000" w:sz="6" w:space="0"/>
            </w:tcBorders>
            <w:noWrap w:val="0"/>
            <w:vAlign w:val="center"/>
          </w:tcPr>
          <w:p w14:paraId="69ABC9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1738" w:type="dxa"/>
            <w:tcBorders>
              <w:left w:val="single" w:color="000000" w:sz="6" w:space="0"/>
              <w:right w:val="single" w:color="000000" w:sz="6" w:space="0"/>
            </w:tcBorders>
            <w:noWrap w:val="0"/>
            <w:vAlign w:val="center"/>
          </w:tcPr>
          <w:p w14:paraId="0F8A8F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密闭卸油点</w:t>
            </w:r>
          </w:p>
        </w:tc>
        <w:tc>
          <w:tcPr>
            <w:tcW w:w="922" w:type="dxa"/>
            <w:tcBorders>
              <w:left w:val="single" w:color="000000" w:sz="6" w:space="0"/>
              <w:right w:val="single" w:color="000000" w:sz="6" w:space="0"/>
            </w:tcBorders>
            <w:noWrap w:val="0"/>
            <w:vAlign w:val="center"/>
          </w:tcPr>
          <w:p w14:paraId="72D376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西侧</w:t>
            </w:r>
          </w:p>
        </w:tc>
        <w:tc>
          <w:tcPr>
            <w:tcW w:w="1653" w:type="dxa"/>
            <w:tcBorders>
              <w:left w:val="single" w:color="000000" w:sz="6" w:space="0"/>
              <w:right w:val="single" w:color="000000" w:sz="6" w:space="0"/>
            </w:tcBorders>
            <w:noWrap w:val="0"/>
            <w:vAlign w:val="center"/>
          </w:tcPr>
          <w:p w14:paraId="3FCDAE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洗车机</w:t>
            </w:r>
          </w:p>
        </w:tc>
        <w:tc>
          <w:tcPr>
            <w:tcW w:w="1512" w:type="dxa"/>
            <w:tcBorders>
              <w:left w:val="single" w:color="000000" w:sz="6" w:space="0"/>
            </w:tcBorders>
            <w:noWrap w:val="0"/>
            <w:vAlign w:val="center"/>
          </w:tcPr>
          <w:p w14:paraId="6C8C36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c>
          <w:tcPr>
            <w:tcW w:w="1300" w:type="dxa"/>
            <w:noWrap w:val="0"/>
            <w:vAlign w:val="center"/>
          </w:tcPr>
          <w:p w14:paraId="74F038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18.5</w:t>
            </w:r>
          </w:p>
        </w:tc>
        <w:tc>
          <w:tcPr>
            <w:tcW w:w="1050" w:type="dxa"/>
            <w:noWrap w:val="0"/>
            <w:vAlign w:val="center"/>
          </w:tcPr>
          <w:p w14:paraId="323365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r w14:paraId="245017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 w:hRule="atLeast"/>
          <w:jc w:val="center"/>
        </w:trPr>
        <w:tc>
          <w:tcPr>
            <w:tcW w:w="781" w:type="dxa"/>
            <w:tcBorders>
              <w:right w:val="single" w:color="000000" w:sz="6" w:space="0"/>
            </w:tcBorders>
            <w:noWrap w:val="0"/>
            <w:vAlign w:val="center"/>
          </w:tcPr>
          <w:p w14:paraId="716CF4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w:t>
            </w:r>
          </w:p>
        </w:tc>
        <w:tc>
          <w:tcPr>
            <w:tcW w:w="1738" w:type="dxa"/>
            <w:tcBorders>
              <w:left w:val="single" w:color="000000" w:sz="6" w:space="0"/>
              <w:right w:val="single" w:color="000000" w:sz="6" w:space="0"/>
            </w:tcBorders>
            <w:noWrap w:val="0"/>
            <w:vAlign w:val="center"/>
          </w:tcPr>
          <w:p w14:paraId="09FB1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密闭卸油点</w:t>
            </w:r>
          </w:p>
        </w:tc>
        <w:tc>
          <w:tcPr>
            <w:tcW w:w="922" w:type="dxa"/>
            <w:tcBorders>
              <w:left w:val="single" w:color="000000" w:sz="6" w:space="0"/>
              <w:right w:val="single" w:color="000000" w:sz="6" w:space="0"/>
            </w:tcBorders>
            <w:noWrap w:val="0"/>
            <w:vAlign w:val="center"/>
          </w:tcPr>
          <w:p w14:paraId="12F843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南</w:t>
            </w:r>
            <w:r>
              <w:rPr>
                <w:rFonts w:hint="default" w:ascii="Times New Roman" w:hAnsi="Times New Roman" w:eastAsia="宋体" w:cs="Times New Roman"/>
                <w:color w:val="auto"/>
                <w:sz w:val="21"/>
                <w:szCs w:val="21"/>
                <w:lang w:val="en-US" w:eastAsia="zh-CN"/>
              </w:rPr>
              <w:t>侧</w:t>
            </w:r>
          </w:p>
        </w:tc>
        <w:tc>
          <w:tcPr>
            <w:tcW w:w="1653" w:type="dxa"/>
            <w:tcBorders>
              <w:left w:val="single" w:color="000000" w:sz="6" w:space="0"/>
              <w:right w:val="single" w:color="000000" w:sz="6" w:space="0"/>
            </w:tcBorders>
            <w:noWrap w:val="0"/>
            <w:vAlign w:val="center"/>
          </w:tcPr>
          <w:p w14:paraId="1E5D37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汽油通气管管口</w:t>
            </w:r>
          </w:p>
        </w:tc>
        <w:tc>
          <w:tcPr>
            <w:tcW w:w="1512" w:type="dxa"/>
            <w:tcBorders>
              <w:left w:val="single" w:color="000000" w:sz="6" w:space="0"/>
            </w:tcBorders>
            <w:noWrap w:val="0"/>
            <w:vAlign w:val="center"/>
          </w:tcPr>
          <w:p w14:paraId="19B72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300" w:type="dxa"/>
            <w:noWrap w:val="0"/>
            <w:vAlign w:val="center"/>
          </w:tcPr>
          <w:p w14:paraId="6DA08C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11.2</w:t>
            </w:r>
          </w:p>
        </w:tc>
        <w:tc>
          <w:tcPr>
            <w:tcW w:w="1050" w:type="dxa"/>
            <w:noWrap w:val="0"/>
            <w:vAlign w:val="center"/>
          </w:tcPr>
          <w:p w14:paraId="5677E1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合格</w:t>
            </w:r>
          </w:p>
        </w:tc>
      </w:tr>
    </w:tbl>
    <w:p w14:paraId="375F12CD">
      <w:pPr>
        <w:pStyle w:val="25"/>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cs="Times New Roman"/>
          <w:color w:val="auto"/>
          <w:sz w:val="21"/>
          <w:szCs w:val="32"/>
        </w:rPr>
      </w:pPr>
      <w:r>
        <w:rPr>
          <w:rFonts w:hint="default" w:ascii="Times New Roman" w:hAnsi="Times New Roman" w:cs="Times New Roman"/>
          <w:color w:val="auto"/>
          <w:sz w:val="21"/>
          <w:szCs w:val="32"/>
        </w:rPr>
        <w:t>注：本表“标准间距”选自《汽车加油加气加氢站技术标准》GB50156-2021中“表5.0.13-1”及“附录C”的数据。</w:t>
      </w:r>
    </w:p>
    <w:p w14:paraId="20BF0FB9">
      <w:pPr>
        <w:keepNext w:val="0"/>
        <w:keepLines w:val="0"/>
        <w:pageBreakBefore w:val="0"/>
        <w:widowControl/>
        <w:kinsoku/>
        <w:wordWrap/>
        <w:overflowPunct/>
        <w:topLinePunct w:val="0"/>
        <w:autoSpaceDE/>
        <w:autoSpaceDN/>
        <w:bidi w:val="0"/>
        <w:adjustRightInd w:val="0"/>
        <w:snapToGrid w:val="0"/>
        <w:spacing w:line="560" w:lineRule="exact"/>
        <w:ind w:left="0" w:leftChars="0" w:firstLine="560" w:firstLineChars="200"/>
        <w:textAlignment w:val="auto"/>
        <w:rPr>
          <w:color w:val="auto"/>
        </w:rPr>
      </w:pPr>
      <w:r>
        <w:rPr>
          <w:rFonts w:hint="eastAsia"/>
          <w:color w:val="auto"/>
        </w:rPr>
        <w:t>从上表可知，该加油站站内设施的安全间距均符合《汽车加油加气加氢站技术标准》（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ascii="Times New Roman" w:hAnsi="Times New Roman"/>
          <w:color w:val="auto"/>
        </w:rPr>
        <w:t>5</w:t>
      </w:r>
      <w:r>
        <w:rPr>
          <w:color w:val="auto"/>
        </w:rPr>
        <w:t>.</w:t>
      </w:r>
      <w:r>
        <w:rPr>
          <w:rFonts w:ascii="Times New Roman" w:hAnsi="Times New Roman"/>
          <w:color w:val="auto"/>
        </w:rPr>
        <w:t>0</w:t>
      </w:r>
      <w:r>
        <w:rPr>
          <w:color w:val="auto"/>
        </w:rPr>
        <w:t>.</w:t>
      </w:r>
      <w:r>
        <w:rPr>
          <w:rFonts w:ascii="Times New Roman" w:hAnsi="Times New Roman"/>
          <w:color w:val="auto"/>
        </w:rPr>
        <w:t>13</w:t>
      </w:r>
      <w:r>
        <w:rPr>
          <w:rFonts w:hint="eastAsia"/>
          <w:color w:val="auto"/>
        </w:rPr>
        <w:t>条及“附录C”安全间距的要求。</w:t>
      </w:r>
    </w:p>
    <w:p w14:paraId="27370C7E">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bookmarkStart w:id="119" w:name="_Toc24343"/>
      <w:bookmarkStart w:id="120" w:name="_Toc19825"/>
      <w:bookmarkStart w:id="121" w:name="_Toc14426"/>
      <w:bookmarkStart w:id="122" w:name="_Toc884"/>
      <w:bookmarkStart w:id="123" w:name="_Toc290"/>
      <w:bookmarkStart w:id="124" w:name="_Toc7252"/>
      <w:r>
        <w:rPr>
          <w:rFonts w:hint="eastAsia"/>
          <w:color w:val="auto"/>
        </w:rPr>
        <w:t>该加油站站内建（构）筑物情况如下表所述：</w:t>
      </w:r>
    </w:p>
    <w:p w14:paraId="6C1317F7">
      <w:pPr>
        <w:pStyle w:val="21"/>
        <w:rPr>
          <w:rFonts w:hint="default" w:ascii="Times New Roman" w:hAnsi="Times New Roman" w:cs="Times New Roman"/>
          <w:bCs/>
          <w:color w:val="auto"/>
          <w:szCs w:val="21"/>
        </w:rPr>
      </w:pPr>
      <w:r>
        <w:rPr>
          <w:rFonts w:hint="default" w:ascii="Times New Roman" w:hAnsi="Times New Roman" w:cs="Times New Roman"/>
          <w:bCs/>
          <w:color w:val="auto"/>
          <w:szCs w:val="21"/>
        </w:rPr>
        <w:t>表2.4-3 站内建、构筑物一览表</w:t>
      </w:r>
    </w:p>
    <w:tbl>
      <w:tblPr>
        <w:tblStyle w:val="48"/>
        <w:tblW w:w="9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963"/>
        <w:gridCol w:w="591"/>
        <w:gridCol w:w="673"/>
        <w:gridCol w:w="886"/>
        <w:gridCol w:w="845"/>
        <w:gridCol w:w="881"/>
        <w:gridCol w:w="782"/>
        <w:gridCol w:w="716"/>
        <w:gridCol w:w="2564"/>
      </w:tblGrid>
      <w:tr w14:paraId="2A8C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515" w:type="dxa"/>
            <w:noWrap w:val="0"/>
            <w:vAlign w:val="center"/>
          </w:tcPr>
          <w:p w14:paraId="00A26E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bookmarkStart w:id="125" w:name="_Toc26120"/>
            <w:bookmarkStart w:id="126" w:name="_Toc31272"/>
            <w:bookmarkStart w:id="127" w:name="_Toc573"/>
            <w:r>
              <w:rPr>
                <w:rFonts w:hint="default" w:ascii="Times New Roman" w:hAnsi="Times New Roman" w:eastAsia="宋体" w:cs="Times New Roman"/>
                <w:b/>
                <w:color w:val="auto"/>
                <w:sz w:val="21"/>
                <w:szCs w:val="21"/>
              </w:rPr>
              <w:t>序号</w:t>
            </w:r>
          </w:p>
        </w:tc>
        <w:tc>
          <w:tcPr>
            <w:tcW w:w="963" w:type="dxa"/>
            <w:noWrap w:val="0"/>
            <w:vAlign w:val="center"/>
          </w:tcPr>
          <w:p w14:paraId="70BF63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建构筑</w:t>
            </w:r>
          </w:p>
          <w:p w14:paraId="04BA1E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物名称</w:t>
            </w:r>
          </w:p>
        </w:tc>
        <w:tc>
          <w:tcPr>
            <w:tcW w:w="591" w:type="dxa"/>
            <w:noWrap w:val="0"/>
            <w:vAlign w:val="center"/>
          </w:tcPr>
          <w:p w14:paraId="00AED3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层数</w:t>
            </w:r>
          </w:p>
        </w:tc>
        <w:tc>
          <w:tcPr>
            <w:tcW w:w="673" w:type="dxa"/>
            <w:noWrap w:val="0"/>
            <w:vAlign w:val="center"/>
          </w:tcPr>
          <w:p w14:paraId="60A0B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高度（m）</w:t>
            </w:r>
          </w:p>
        </w:tc>
        <w:tc>
          <w:tcPr>
            <w:tcW w:w="886" w:type="dxa"/>
            <w:noWrap w:val="0"/>
            <w:vAlign w:val="center"/>
          </w:tcPr>
          <w:p w14:paraId="333A15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结构</w:t>
            </w:r>
          </w:p>
          <w:p w14:paraId="536208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形式</w:t>
            </w:r>
          </w:p>
        </w:tc>
        <w:tc>
          <w:tcPr>
            <w:tcW w:w="845" w:type="dxa"/>
            <w:noWrap w:val="0"/>
            <w:vAlign w:val="center"/>
          </w:tcPr>
          <w:p w14:paraId="2CD86D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占地面积（m</w:t>
            </w:r>
            <w:r>
              <w:rPr>
                <w:rFonts w:hint="default" w:ascii="Times New Roman" w:hAnsi="Times New Roman" w:eastAsia="宋体" w:cs="Times New Roman"/>
                <w:b/>
                <w:color w:val="auto"/>
                <w:sz w:val="21"/>
                <w:szCs w:val="21"/>
                <w:vertAlign w:val="superscript"/>
              </w:rPr>
              <w:t>2</w:t>
            </w:r>
            <w:r>
              <w:rPr>
                <w:rFonts w:hint="default" w:ascii="Times New Roman" w:hAnsi="Times New Roman" w:eastAsia="宋体" w:cs="Times New Roman"/>
                <w:b/>
                <w:color w:val="auto"/>
                <w:sz w:val="21"/>
                <w:szCs w:val="21"/>
              </w:rPr>
              <w:t>）</w:t>
            </w:r>
          </w:p>
        </w:tc>
        <w:tc>
          <w:tcPr>
            <w:tcW w:w="881" w:type="dxa"/>
            <w:noWrap w:val="0"/>
            <w:vAlign w:val="center"/>
          </w:tcPr>
          <w:p w14:paraId="151DCD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建筑面积（m</w:t>
            </w:r>
            <w:r>
              <w:rPr>
                <w:rFonts w:hint="default" w:ascii="Times New Roman" w:hAnsi="Times New Roman" w:eastAsia="宋体" w:cs="Times New Roman"/>
                <w:b/>
                <w:color w:val="auto"/>
                <w:sz w:val="21"/>
                <w:szCs w:val="21"/>
                <w:vertAlign w:val="superscript"/>
              </w:rPr>
              <w:t>2</w:t>
            </w:r>
            <w:r>
              <w:rPr>
                <w:rFonts w:hint="default" w:ascii="Times New Roman" w:hAnsi="Times New Roman" w:eastAsia="宋体" w:cs="Times New Roman"/>
                <w:b/>
                <w:color w:val="auto"/>
                <w:sz w:val="21"/>
                <w:szCs w:val="21"/>
              </w:rPr>
              <w:t>）</w:t>
            </w:r>
          </w:p>
        </w:tc>
        <w:tc>
          <w:tcPr>
            <w:tcW w:w="782" w:type="dxa"/>
            <w:noWrap w:val="0"/>
            <w:vAlign w:val="center"/>
          </w:tcPr>
          <w:p w14:paraId="316DEE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火险</w:t>
            </w:r>
          </w:p>
          <w:p w14:paraId="0AED3C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716" w:type="dxa"/>
            <w:noWrap w:val="0"/>
            <w:vAlign w:val="center"/>
          </w:tcPr>
          <w:p w14:paraId="741F0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耐火</w:t>
            </w:r>
          </w:p>
          <w:p w14:paraId="2D98D6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等级</w:t>
            </w:r>
          </w:p>
        </w:tc>
        <w:tc>
          <w:tcPr>
            <w:tcW w:w="2564" w:type="dxa"/>
            <w:noWrap w:val="0"/>
            <w:vAlign w:val="center"/>
          </w:tcPr>
          <w:p w14:paraId="141036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备注</w:t>
            </w:r>
          </w:p>
        </w:tc>
      </w:tr>
      <w:tr w14:paraId="7C733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15" w:type="dxa"/>
            <w:shd w:val="clear" w:color="auto" w:fill="auto"/>
            <w:noWrap w:val="0"/>
            <w:vAlign w:val="center"/>
          </w:tcPr>
          <w:p w14:paraId="5CFB2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963" w:type="dxa"/>
            <w:shd w:val="clear" w:color="auto" w:fill="FFFFFF"/>
            <w:noWrap w:val="0"/>
            <w:vAlign w:val="center"/>
          </w:tcPr>
          <w:p w14:paraId="1B55E8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站房</w:t>
            </w:r>
          </w:p>
        </w:tc>
        <w:tc>
          <w:tcPr>
            <w:tcW w:w="591" w:type="dxa"/>
            <w:shd w:val="clear" w:color="auto" w:fill="FFFFFF"/>
            <w:noWrap w:val="0"/>
            <w:vAlign w:val="center"/>
          </w:tcPr>
          <w:p w14:paraId="156EC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673" w:type="dxa"/>
            <w:shd w:val="clear" w:color="auto" w:fill="FFFFFF"/>
            <w:noWrap w:val="0"/>
            <w:vAlign w:val="center"/>
          </w:tcPr>
          <w:p w14:paraId="38A47B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6.5</w:t>
            </w:r>
          </w:p>
        </w:tc>
        <w:tc>
          <w:tcPr>
            <w:tcW w:w="886" w:type="dxa"/>
            <w:shd w:val="clear" w:color="auto" w:fill="FFFFFF"/>
            <w:noWrap w:val="0"/>
            <w:vAlign w:val="center"/>
          </w:tcPr>
          <w:p w14:paraId="4EF69C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框架</w:t>
            </w:r>
          </w:p>
        </w:tc>
        <w:tc>
          <w:tcPr>
            <w:tcW w:w="845" w:type="dxa"/>
            <w:shd w:val="clear" w:color="auto" w:fill="FFFFFF"/>
            <w:noWrap w:val="0"/>
            <w:vAlign w:val="center"/>
          </w:tcPr>
          <w:p w14:paraId="5D42D1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227.18</w:t>
            </w:r>
          </w:p>
        </w:tc>
        <w:tc>
          <w:tcPr>
            <w:tcW w:w="881" w:type="dxa"/>
            <w:shd w:val="clear" w:color="auto" w:fill="FFFFFF"/>
            <w:noWrap w:val="0"/>
            <w:vAlign w:val="center"/>
          </w:tcPr>
          <w:p w14:paraId="020BA6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227.18</w:t>
            </w:r>
          </w:p>
        </w:tc>
        <w:tc>
          <w:tcPr>
            <w:tcW w:w="782" w:type="dxa"/>
            <w:noWrap w:val="0"/>
            <w:vAlign w:val="center"/>
          </w:tcPr>
          <w:p w14:paraId="31B84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16" w:type="dxa"/>
            <w:noWrap w:val="0"/>
            <w:vAlign w:val="center"/>
          </w:tcPr>
          <w:p w14:paraId="005278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二级</w:t>
            </w:r>
          </w:p>
        </w:tc>
        <w:tc>
          <w:tcPr>
            <w:tcW w:w="2564" w:type="dxa"/>
            <w:noWrap w:val="0"/>
            <w:vAlign w:val="center"/>
          </w:tcPr>
          <w:p w14:paraId="54F249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利旧；内设便利店、站长室、配电间、卫生间等</w:t>
            </w:r>
          </w:p>
        </w:tc>
      </w:tr>
      <w:tr w14:paraId="0B375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515" w:type="dxa"/>
            <w:noWrap w:val="0"/>
            <w:vAlign w:val="center"/>
          </w:tcPr>
          <w:p w14:paraId="67AEF9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963" w:type="dxa"/>
            <w:noWrap w:val="0"/>
            <w:vAlign w:val="center"/>
          </w:tcPr>
          <w:p w14:paraId="6ED04A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罩棚</w:t>
            </w:r>
          </w:p>
        </w:tc>
        <w:tc>
          <w:tcPr>
            <w:tcW w:w="591" w:type="dxa"/>
            <w:noWrap w:val="0"/>
            <w:vAlign w:val="center"/>
          </w:tcPr>
          <w:p w14:paraId="5BACEE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673" w:type="dxa"/>
            <w:noWrap w:val="0"/>
            <w:vAlign w:val="center"/>
          </w:tcPr>
          <w:p w14:paraId="54F62A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886" w:type="dxa"/>
            <w:noWrap w:val="0"/>
            <w:vAlign w:val="center"/>
          </w:tcPr>
          <w:p w14:paraId="354E99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网架</w:t>
            </w:r>
          </w:p>
          <w:p w14:paraId="684404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GB" w:eastAsia="zh-CN"/>
              </w:rPr>
            </w:pPr>
            <w:r>
              <w:rPr>
                <w:rFonts w:hint="eastAsia" w:ascii="Times New Roman" w:hAnsi="Times New Roman" w:eastAsia="宋体" w:cs="Times New Roman"/>
                <w:color w:val="auto"/>
                <w:sz w:val="21"/>
                <w:szCs w:val="21"/>
                <w:highlight w:val="none"/>
                <w:lang w:val="en-GB" w:eastAsia="zh-CN"/>
              </w:rPr>
              <w:t>结构</w:t>
            </w:r>
          </w:p>
        </w:tc>
        <w:tc>
          <w:tcPr>
            <w:tcW w:w="845" w:type="dxa"/>
            <w:noWrap w:val="0"/>
            <w:vAlign w:val="center"/>
          </w:tcPr>
          <w:p w14:paraId="1E12BE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1" w:type="dxa"/>
            <w:noWrap w:val="0"/>
            <w:vAlign w:val="center"/>
          </w:tcPr>
          <w:p w14:paraId="451AF0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524</w:t>
            </w:r>
          </w:p>
        </w:tc>
        <w:tc>
          <w:tcPr>
            <w:tcW w:w="782" w:type="dxa"/>
            <w:noWrap w:val="0"/>
            <w:vAlign w:val="center"/>
          </w:tcPr>
          <w:p w14:paraId="5F12F1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甲类</w:t>
            </w:r>
          </w:p>
        </w:tc>
        <w:tc>
          <w:tcPr>
            <w:tcW w:w="716" w:type="dxa"/>
            <w:noWrap w:val="0"/>
            <w:vAlign w:val="center"/>
          </w:tcPr>
          <w:p w14:paraId="4D6B9A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不燃材料</w:t>
            </w:r>
          </w:p>
        </w:tc>
        <w:tc>
          <w:tcPr>
            <w:tcW w:w="2564" w:type="dxa"/>
            <w:noWrap w:val="0"/>
            <w:vAlign w:val="center"/>
          </w:tcPr>
          <w:p w14:paraId="742310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利旧、4个钢立柱</w:t>
            </w:r>
          </w:p>
        </w:tc>
      </w:tr>
      <w:tr w14:paraId="3F2A3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515" w:type="dxa"/>
            <w:shd w:val="clear" w:color="auto" w:fill="FFFFFF"/>
            <w:noWrap w:val="0"/>
            <w:vAlign w:val="center"/>
          </w:tcPr>
          <w:p w14:paraId="51A3DF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963" w:type="dxa"/>
            <w:shd w:val="clear" w:color="auto" w:fill="FFFFFF"/>
            <w:noWrap w:val="0"/>
            <w:vAlign w:val="center"/>
          </w:tcPr>
          <w:p w14:paraId="3281A2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油罐区</w:t>
            </w:r>
          </w:p>
        </w:tc>
        <w:tc>
          <w:tcPr>
            <w:tcW w:w="591" w:type="dxa"/>
            <w:shd w:val="clear" w:color="auto" w:fill="FFFFFF"/>
            <w:noWrap w:val="0"/>
            <w:vAlign w:val="center"/>
          </w:tcPr>
          <w:p w14:paraId="27C09D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673" w:type="dxa"/>
            <w:shd w:val="clear" w:color="auto" w:fill="FFFFFF"/>
            <w:noWrap w:val="0"/>
            <w:vAlign w:val="center"/>
          </w:tcPr>
          <w:p w14:paraId="174A82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6" w:type="dxa"/>
            <w:shd w:val="clear" w:color="auto" w:fill="FFFFFF"/>
            <w:noWrap w:val="0"/>
            <w:vAlign w:val="center"/>
          </w:tcPr>
          <w:p w14:paraId="06066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45" w:type="dxa"/>
            <w:shd w:val="clear" w:color="auto" w:fill="FFFFFF"/>
            <w:noWrap w:val="0"/>
            <w:vAlign w:val="center"/>
          </w:tcPr>
          <w:p w14:paraId="0104C9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1" w:type="dxa"/>
            <w:shd w:val="clear" w:color="auto" w:fill="FFFFFF"/>
            <w:noWrap w:val="0"/>
            <w:vAlign w:val="center"/>
          </w:tcPr>
          <w:p w14:paraId="607B2E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82" w:type="dxa"/>
            <w:shd w:val="clear" w:color="auto" w:fill="FFFFFF"/>
            <w:noWrap w:val="0"/>
            <w:vAlign w:val="center"/>
          </w:tcPr>
          <w:p w14:paraId="7C38A4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甲类</w:t>
            </w:r>
          </w:p>
        </w:tc>
        <w:tc>
          <w:tcPr>
            <w:tcW w:w="716" w:type="dxa"/>
            <w:shd w:val="clear" w:color="auto" w:fill="FFFFFF"/>
            <w:noWrap w:val="0"/>
            <w:vAlign w:val="center"/>
          </w:tcPr>
          <w:p w14:paraId="70B643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564" w:type="dxa"/>
            <w:shd w:val="clear" w:color="auto" w:fill="FFFFFF"/>
            <w:noWrap w:val="0"/>
            <w:vAlign w:val="center"/>
          </w:tcPr>
          <w:p w14:paraId="2A04D2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埋地</w:t>
            </w:r>
          </w:p>
        </w:tc>
      </w:tr>
      <w:tr w14:paraId="03276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15" w:type="dxa"/>
            <w:shd w:val="clear" w:color="auto" w:fill="FFFFFF"/>
            <w:noWrap w:val="0"/>
            <w:vAlign w:val="center"/>
          </w:tcPr>
          <w:p w14:paraId="406714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963" w:type="dxa"/>
            <w:shd w:val="clear" w:color="auto" w:fill="FFFFFF"/>
            <w:noWrap w:val="0"/>
            <w:vAlign w:val="center"/>
          </w:tcPr>
          <w:p w14:paraId="432655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加油区</w:t>
            </w:r>
          </w:p>
        </w:tc>
        <w:tc>
          <w:tcPr>
            <w:tcW w:w="591" w:type="dxa"/>
            <w:shd w:val="clear" w:color="auto" w:fill="FFFFFF"/>
            <w:noWrap w:val="0"/>
            <w:vAlign w:val="center"/>
          </w:tcPr>
          <w:p w14:paraId="4B8A62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673" w:type="dxa"/>
            <w:shd w:val="clear" w:color="auto" w:fill="FFFFFF"/>
            <w:noWrap w:val="0"/>
            <w:vAlign w:val="center"/>
          </w:tcPr>
          <w:p w14:paraId="25B76E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6" w:type="dxa"/>
            <w:shd w:val="clear" w:color="auto" w:fill="FFFFFF"/>
            <w:noWrap w:val="0"/>
            <w:vAlign w:val="center"/>
          </w:tcPr>
          <w:p w14:paraId="00E79E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45" w:type="dxa"/>
            <w:shd w:val="clear" w:color="auto" w:fill="FFFFFF"/>
            <w:noWrap w:val="0"/>
            <w:vAlign w:val="center"/>
          </w:tcPr>
          <w:p w14:paraId="1321C7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1" w:type="dxa"/>
            <w:shd w:val="clear" w:color="auto" w:fill="FFFFFF"/>
            <w:noWrap w:val="0"/>
            <w:vAlign w:val="center"/>
          </w:tcPr>
          <w:p w14:paraId="722D02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82" w:type="dxa"/>
            <w:shd w:val="clear" w:color="auto" w:fill="FFFFFF"/>
            <w:noWrap w:val="0"/>
            <w:vAlign w:val="center"/>
          </w:tcPr>
          <w:p w14:paraId="4808A1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甲类</w:t>
            </w:r>
          </w:p>
        </w:tc>
        <w:tc>
          <w:tcPr>
            <w:tcW w:w="716" w:type="dxa"/>
            <w:shd w:val="clear" w:color="auto" w:fill="FFFFFF"/>
            <w:noWrap w:val="0"/>
            <w:vAlign w:val="center"/>
          </w:tcPr>
          <w:p w14:paraId="175873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564" w:type="dxa"/>
            <w:shd w:val="clear" w:color="auto" w:fill="FFFFFF"/>
            <w:noWrap w:val="0"/>
            <w:vAlign w:val="center"/>
          </w:tcPr>
          <w:p w14:paraId="199C94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r>
      <w:tr w14:paraId="58325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515" w:type="dxa"/>
            <w:shd w:val="clear" w:color="auto" w:fill="FFFFFF"/>
            <w:noWrap w:val="0"/>
            <w:vAlign w:val="center"/>
          </w:tcPr>
          <w:p w14:paraId="604A0D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963" w:type="dxa"/>
            <w:shd w:val="clear" w:color="auto" w:fill="FFFFFF"/>
            <w:noWrap w:val="0"/>
            <w:vAlign w:val="center"/>
          </w:tcPr>
          <w:p w14:paraId="0B493C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彩钢棚</w:t>
            </w:r>
          </w:p>
        </w:tc>
        <w:tc>
          <w:tcPr>
            <w:tcW w:w="591" w:type="dxa"/>
            <w:shd w:val="clear" w:color="auto" w:fill="FFFFFF"/>
            <w:noWrap w:val="0"/>
            <w:vAlign w:val="center"/>
          </w:tcPr>
          <w:p w14:paraId="0DC0DF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673" w:type="dxa"/>
            <w:shd w:val="clear" w:color="auto" w:fill="FFFFFF"/>
            <w:noWrap w:val="0"/>
            <w:vAlign w:val="center"/>
          </w:tcPr>
          <w:p w14:paraId="11DD0E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6" w:type="dxa"/>
            <w:shd w:val="clear" w:color="auto" w:fill="FFFFFF"/>
            <w:noWrap w:val="0"/>
            <w:vAlign w:val="center"/>
          </w:tcPr>
          <w:p w14:paraId="4D5222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45" w:type="dxa"/>
            <w:shd w:val="clear" w:color="auto" w:fill="FFFFFF"/>
            <w:noWrap w:val="0"/>
            <w:vAlign w:val="center"/>
          </w:tcPr>
          <w:p w14:paraId="602F8B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881" w:type="dxa"/>
            <w:shd w:val="clear" w:color="auto" w:fill="FFFFFF"/>
            <w:noWrap w:val="0"/>
            <w:vAlign w:val="center"/>
          </w:tcPr>
          <w:p w14:paraId="3FD92E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82" w:type="dxa"/>
            <w:shd w:val="clear" w:color="auto" w:fill="FFFFFF"/>
            <w:noWrap w:val="0"/>
            <w:vAlign w:val="center"/>
          </w:tcPr>
          <w:p w14:paraId="4FED32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716" w:type="dxa"/>
            <w:shd w:val="clear" w:color="auto" w:fill="FFFFFF"/>
            <w:noWrap w:val="0"/>
            <w:vAlign w:val="center"/>
          </w:tcPr>
          <w:p w14:paraId="338895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不燃材料</w:t>
            </w:r>
          </w:p>
        </w:tc>
        <w:tc>
          <w:tcPr>
            <w:tcW w:w="2564" w:type="dxa"/>
            <w:shd w:val="clear" w:color="auto" w:fill="FFFFFF"/>
            <w:noWrap w:val="0"/>
            <w:vAlign w:val="center"/>
          </w:tcPr>
          <w:p w14:paraId="36E6D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r>
    </w:tbl>
    <w:p w14:paraId="26A51490">
      <w:pPr>
        <w:pStyle w:val="4"/>
        <w:spacing w:before="120" w:beforeLines="50" w:line="360" w:lineRule="auto"/>
        <w:jc w:val="both"/>
        <w:rPr>
          <w:rFonts w:hint="default" w:ascii="Times New Roman" w:hAnsi="Times New Roman" w:cs="Times New Roman"/>
          <w:color w:val="auto"/>
        </w:rPr>
      </w:pPr>
      <w:bookmarkStart w:id="128" w:name="_Toc32602"/>
      <w:r>
        <w:rPr>
          <w:rFonts w:hint="default" w:ascii="Times New Roman" w:hAnsi="Times New Roman" w:cs="Times New Roman"/>
          <w:color w:val="auto"/>
          <w:szCs w:val="28"/>
        </w:rPr>
        <w:t>2.5</w:t>
      </w:r>
      <w:r>
        <w:rPr>
          <w:rFonts w:hint="default" w:ascii="Times New Roman" w:hAnsi="Times New Roman" w:cs="Times New Roman"/>
          <w:color w:val="auto"/>
        </w:rPr>
        <w:t>主要原辅材料</w:t>
      </w:r>
      <w:bookmarkEnd w:id="125"/>
      <w:bookmarkEnd w:id="126"/>
      <w:bookmarkEnd w:id="127"/>
      <w:bookmarkEnd w:id="128"/>
    </w:p>
    <w:p w14:paraId="682909D0">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该加油站经营的物品见下表：</w:t>
      </w:r>
    </w:p>
    <w:p w14:paraId="63D2F9A3">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表2.5-1 储存的危险化学品一览表</w:t>
      </w:r>
    </w:p>
    <w:tbl>
      <w:tblPr>
        <w:tblStyle w:val="48"/>
        <w:tblW w:w="940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7"/>
        <w:gridCol w:w="960"/>
        <w:gridCol w:w="1305"/>
        <w:gridCol w:w="3105"/>
        <w:gridCol w:w="1080"/>
        <w:gridCol w:w="1150"/>
        <w:gridCol w:w="618"/>
        <w:gridCol w:w="646"/>
      </w:tblGrid>
      <w:tr w14:paraId="63F449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537" w:type="dxa"/>
            <w:tcBorders>
              <w:tl2br w:val="nil"/>
              <w:tr2bl w:val="nil"/>
            </w:tcBorders>
            <w:vAlign w:val="center"/>
          </w:tcPr>
          <w:p w14:paraId="2516B9AD">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960" w:type="dxa"/>
            <w:tcBorders>
              <w:tl2br w:val="nil"/>
              <w:tr2bl w:val="nil"/>
            </w:tcBorders>
            <w:vAlign w:val="center"/>
          </w:tcPr>
          <w:p w14:paraId="6C8082F6">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1305" w:type="dxa"/>
            <w:tcBorders>
              <w:tl2br w:val="nil"/>
              <w:tr2bl w:val="nil"/>
            </w:tcBorders>
            <w:vAlign w:val="center"/>
          </w:tcPr>
          <w:p w14:paraId="27CE87DB">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危险化学品目录序号</w:t>
            </w:r>
          </w:p>
        </w:tc>
        <w:tc>
          <w:tcPr>
            <w:tcW w:w="3105" w:type="dxa"/>
            <w:tcBorders>
              <w:tl2br w:val="nil"/>
              <w:tr2bl w:val="nil"/>
            </w:tcBorders>
            <w:vAlign w:val="center"/>
          </w:tcPr>
          <w:p w14:paraId="1B9BFC01">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危险性类别</w:t>
            </w:r>
          </w:p>
        </w:tc>
        <w:tc>
          <w:tcPr>
            <w:tcW w:w="1080" w:type="dxa"/>
            <w:tcBorders>
              <w:tl2br w:val="nil"/>
              <w:tr2bl w:val="nil"/>
            </w:tcBorders>
            <w:vAlign w:val="center"/>
          </w:tcPr>
          <w:p w14:paraId="71412668">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储存位置、方式</w:t>
            </w:r>
          </w:p>
        </w:tc>
        <w:tc>
          <w:tcPr>
            <w:tcW w:w="1150" w:type="dxa"/>
            <w:tcBorders>
              <w:tl2br w:val="nil"/>
              <w:tr2bl w:val="nil"/>
            </w:tcBorders>
            <w:vAlign w:val="center"/>
          </w:tcPr>
          <w:p w14:paraId="71C4BABE">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日常最大储存量（t）</w:t>
            </w:r>
          </w:p>
        </w:tc>
        <w:tc>
          <w:tcPr>
            <w:tcW w:w="618" w:type="dxa"/>
            <w:tcBorders>
              <w:tl2br w:val="nil"/>
              <w:tr2bl w:val="nil"/>
            </w:tcBorders>
            <w:vAlign w:val="center"/>
          </w:tcPr>
          <w:p w14:paraId="46320682">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状态</w:t>
            </w:r>
          </w:p>
        </w:tc>
        <w:tc>
          <w:tcPr>
            <w:tcW w:w="646" w:type="dxa"/>
            <w:tcBorders>
              <w:tl2br w:val="nil"/>
              <w:tr2bl w:val="nil"/>
            </w:tcBorders>
            <w:vAlign w:val="center"/>
          </w:tcPr>
          <w:p w14:paraId="19AF442F">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储存状况</w:t>
            </w:r>
          </w:p>
        </w:tc>
      </w:tr>
      <w:tr w14:paraId="623E9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7" w:hRule="atLeast"/>
        </w:trPr>
        <w:tc>
          <w:tcPr>
            <w:tcW w:w="537" w:type="dxa"/>
            <w:tcBorders>
              <w:tl2br w:val="nil"/>
              <w:tr2bl w:val="nil"/>
            </w:tcBorders>
            <w:vAlign w:val="center"/>
          </w:tcPr>
          <w:p w14:paraId="73DD7BEA">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p>
        </w:tc>
        <w:tc>
          <w:tcPr>
            <w:tcW w:w="960" w:type="dxa"/>
            <w:tcBorders>
              <w:tl2br w:val="nil"/>
              <w:tr2bl w:val="nil"/>
            </w:tcBorders>
            <w:vAlign w:val="center"/>
          </w:tcPr>
          <w:p w14:paraId="5DB5CE5C">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汽油</w:t>
            </w:r>
          </w:p>
        </w:tc>
        <w:tc>
          <w:tcPr>
            <w:tcW w:w="1305" w:type="dxa"/>
            <w:tcBorders>
              <w:tl2br w:val="nil"/>
              <w:tr2bl w:val="nil"/>
            </w:tcBorders>
            <w:vAlign w:val="center"/>
          </w:tcPr>
          <w:p w14:paraId="419550F3">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1630</w:t>
            </w:r>
          </w:p>
        </w:tc>
        <w:tc>
          <w:tcPr>
            <w:tcW w:w="3105" w:type="dxa"/>
            <w:tcBorders>
              <w:tl2br w:val="nil"/>
              <w:tr2bl w:val="nil"/>
            </w:tcBorders>
            <w:vAlign w:val="center"/>
          </w:tcPr>
          <w:p w14:paraId="413F55DC">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易燃液体，类别2*</w:t>
            </w:r>
          </w:p>
          <w:p w14:paraId="5C1E329D">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生殖细胞致突变性，类别1B</w:t>
            </w:r>
          </w:p>
          <w:p w14:paraId="033CB99A">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致癌性，类别2</w:t>
            </w:r>
          </w:p>
          <w:p w14:paraId="2594A962">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吸入危害，类别1</w:t>
            </w:r>
          </w:p>
          <w:p w14:paraId="6414C514">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危害水生环境-急性危害，类别2</w:t>
            </w:r>
          </w:p>
          <w:p w14:paraId="66CF24A6">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危害水生环境-长期危害，类别2</w:t>
            </w:r>
          </w:p>
        </w:tc>
        <w:tc>
          <w:tcPr>
            <w:tcW w:w="1080" w:type="dxa"/>
            <w:tcBorders>
              <w:tl2br w:val="nil"/>
              <w:tr2bl w:val="nil"/>
            </w:tcBorders>
            <w:vAlign w:val="center"/>
          </w:tcPr>
          <w:p w14:paraId="7A59C107">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埋地储罐区</w:t>
            </w:r>
          </w:p>
        </w:tc>
        <w:tc>
          <w:tcPr>
            <w:tcW w:w="1150" w:type="dxa"/>
            <w:tcBorders>
              <w:tl2br w:val="nil"/>
              <w:tr2bl w:val="nil"/>
            </w:tcBorders>
            <w:vAlign w:val="center"/>
          </w:tcPr>
          <w:p w14:paraId="3951D650">
            <w:pPr>
              <w:pStyle w:val="22"/>
              <w:keepNext w:val="0"/>
              <w:keepLines w:val="0"/>
              <w:widowControl/>
              <w:suppressLineNumbers w:val="0"/>
              <w:spacing w:before="0" w:beforeAutospacing="0" w:after="0" w:afterAutospacing="0" w:line="240" w:lineRule="auto"/>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64.125</w:t>
            </w:r>
          </w:p>
        </w:tc>
        <w:tc>
          <w:tcPr>
            <w:tcW w:w="618" w:type="dxa"/>
            <w:tcBorders>
              <w:tl2br w:val="nil"/>
              <w:tr2bl w:val="nil"/>
            </w:tcBorders>
            <w:vAlign w:val="center"/>
          </w:tcPr>
          <w:p w14:paraId="1E7ED13E">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液体</w:t>
            </w:r>
          </w:p>
        </w:tc>
        <w:tc>
          <w:tcPr>
            <w:tcW w:w="646" w:type="dxa"/>
            <w:tcBorders>
              <w:tl2br w:val="nil"/>
              <w:tr2bl w:val="nil"/>
            </w:tcBorders>
            <w:vAlign w:val="center"/>
          </w:tcPr>
          <w:p w14:paraId="2411B2A2">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常温常压</w:t>
            </w:r>
          </w:p>
        </w:tc>
      </w:tr>
      <w:tr w14:paraId="038599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9401" w:type="dxa"/>
            <w:gridSpan w:val="8"/>
            <w:tcBorders>
              <w:tl2br w:val="nil"/>
              <w:tr2bl w:val="nil"/>
            </w:tcBorders>
            <w:vAlign w:val="center"/>
          </w:tcPr>
          <w:p w14:paraId="340BDF93">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color w:val="auto"/>
              </w:rPr>
              <w:t>日常最大储存量按照储罐充装系数为</w:t>
            </w:r>
            <w:r>
              <w:rPr>
                <w:rFonts w:hint="default" w:ascii="Times New Roman" w:hAnsi="Times New Roman"/>
                <w:color w:val="auto"/>
              </w:rPr>
              <w:t>0</w:t>
            </w:r>
            <w:r>
              <w:rPr>
                <w:rFonts w:hint="default"/>
                <w:color w:val="auto"/>
              </w:rPr>
              <w:t>.</w:t>
            </w:r>
            <w:r>
              <w:rPr>
                <w:rFonts w:hint="default" w:ascii="Times New Roman" w:hAnsi="Times New Roman"/>
                <w:color w:val="auto"/>
              </w:rPr>
              <w:t>9</w:t>
            </w:r>
            <w:r>
              <w:rPr>
                <w:rFonts w:hint="eastAsia" w:ascii="Times New Roman" w:hAnsi="Times New Roman"/>
                <w:color w:val="auto"/>
                <w:lang w:val="en-US" w:eastAsia="zh-CN"/>
              </w:rPr>
              <w:t>5</w:t>
            </w:r>
            <w:r>
              <w:rPr>
                <w:rFonts w:hint="default"/>
                <w:color w:val="auto"/>
              </w:rPr>
              <w:t>计算得出。</w:t>
            </w:r>
          </w:p>
          <w:p w14:paraId="207218A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color w:val="auto"/>
              </w:rPr>
              <w:t>汽油密度取</w:t>
            </w:r>
            <w:r>
              <w:rPr>
                <w:rFonts w:hint="default" w:ascii="Times New Roman" w:hAnsi="Times New Roman"/>
                <w:color w:val="auto"/>
              </w:rPr>
              <w:t>0</w:t>
            </w:r>
            <w:r>
              <w:rPr>
                <w:rFonts w:hint="default"/>
                <w:color w:val="auto"/>
              </w:rPr>
              <w:t>.</w:t>
            </w:r>
            <w:r>
              <w:rPr>
                <w:rFonts w:hint="default" w:ascii="Times New Roman" w:hAnsi="Times New Roman"/>
                <w:color w:val="auto"/>
              </w:rPr>
              <w:t>75g</w:t>
            </w:r>
            <w:r>
              <w:rPr>
                <w:rFonts w:hint="default"/>
                <w:color w:val="auto"/>
              </w:rPr>
              <w:t>/</w:t>
            </w:r>
            <w:r>
              <w:rPr>
                <w:rFonts w:hint="default" w:ascii="Times New Roman" w:hAnsi="Times New Roman"/>
                <w:color w:val="auto"/>
              </w:rPr>
              <w:t>cm</w:t>
            </w:r>
            <w:r>
              <w:rPr>
                <w:rFonts w:hint="default" w:ascii="Times New Roman" w:hAnsi="Times New Roman"/>
                <w:color w:val="auto"/>
                <w:vertAlign w:val="superscript"/>
              </w:rPr>
              <w:t>3</w:t>
            </w:r>
            <w:r>
              <w:rPr>
                <w:rFonts w:hint="eastAsia"/>
                <w:color w:val="auto"/>
              </w:rPr>
              <w:t>。</w:t>
            </w:r>
          </w:p>
        </w:tc>
      </w:tr>
    </w:tbl>
    <w:p w14:paraId="02858A8E">
      <w:pPr>
        <w:pStyle w:val="4"/>
        <w:spacing w:before="120" w:beforeLines="50" w:line="360" w:lineRule="auto"/>
        <w:jc w:val="both"/>
        <w:rPr>
          <w:rFonts w:hint="default" w:ascii="Times New Roman" w:hAnsi="Times New Roman" w:cs="Times New Roman"/>
          <w:color w:val="auto"/>
          <w:szCs w:val="28"/>
        </w:rPr>
      </w:pPr>
      <w:bookmarkStart w:id="129" w:name="_Toc20719"/>
      <w:bookmarkStart w:id="130" w:name="_Toc12793"/>
      <w:bookmarkStart w:id="131" w:name="_Toc17754"/>
      <w:bookmarkStart w:id="132" w:name="_Toc16798"/>
      <w:r>
        <w:rPr>
          <w:rFonts w:hint="default" w:ascii="Times New Roman" w:hAnsi="Times New Roman" w:cs="Times New Roman"/>
          <w:color w:val="auto"/>
          <w:szCs w:val="28"/>
        </w:rPr>
        <w:t>2.6工艺流程</w:t>
      </w:r>
      <w:bookmarkEnd w:id="119"/>
      <w:bookmarkEnd w:id="120"/>
      <w:bookmarkEnd w:id="121"/>
      <w:bookmarkEnd w:id="122"/>
      <w:bookmarkEnd w:id="123"/>
      <w:bookmarkEnd w:id="124"/>
      <w:bookmarkEnd w:id="129"/>
      <w:bookmarkEnd w:id="130"/>
      <w:bookmarkEnd w:id="131"/>
      <w:bookmarkEnd w:id="132"/>
    </w:p>
    <w:p w14:paraId="21C3E93F">
      <w:pPr>
        <w:widowControl w:val="0"/>
        <w:suppressAutoHyphens/>
        <w:adjustRightInd w:val="0"/>
        <w:snapToGrid w:val="0"/>
        <w:spacing w:line="360" w:lineRule="auto"/>
        <w:ind w:firstLine="560"/>
        <w:textAlignment w:val="center"/>
        <w:rPr>
          <w:rFonts w:hint="eastAsia"/>
          <w:color w:val="auto"/>
        </w:rPr>
      </w:pPr>
      <w:r>
        <w:rPr>
          <w:rFonts w:hint="eastAsia"/>
          <w:color w:val="auto"/>
        </w:rPr>
        <w:t>该项目工艺流程主要分为卸油、储油、量油、加油四部分。</w:t>
      </w:r>
    </w:p>
    <w:p w14:paraId="5B657213">
      <w:pPr>
        <w:widowControl w:val="0"/>
        <w:suppressAutoHyphens/>
        <w:adjustRightInd w:val="0"/>
        <w:snapToGrid w:val="0"/>
        <w:spacing w:line="360" w:lineRule="auto"/>
        <w:ind w:firstLine="560"/>
        <w:textAlignment w:val="center"/>
        <w:rPr>
          <w:rFonts w:hint="eastAsia"/>
          <w:color w:val="auto"/>
        </w:rPr>
      </w:pPr>
      <w:r>
        <w:rPr>
          <w:rFonts w:hint="eastAsia"/>
          <w:color w:val="auto"/>
        </w:rPr>
        <w:t>1）工艺简介</w:t>
      </w:r>
    </w:p>
    <w:p w14:paraId="6A564C99">
      <w:pPr>
        <w:widowControl w:val="0"/>
        <w:suppressAutoHyphens/>
        <w:adjustRightInd w:val="0"/>
        <w:snapToGrid w:val="0"/>
        <w:spacing w:line="360" w:lineRule="auto"/>
        <w:ind w:firstLine="560"/>
        <w:textAlignment w:val="center"/>
        <w:rPr>
          <w:rFonts w:hint="eastAsia"/>
          <w:color w:val="auto"/>
        </w:rPr>
      </w:pPr>
      <w:r>
        <w:rPr>
          <w:rFonts w:hint="eastAsia"/>
          <w:color w:val="auto"/>
        </w:rPr>
        <w:t>卸油：油料用油罐车从石油库运至加油站罐区后，在卸油口附近停稳熄火，卸油前现场至少配备2具手提式干粉灭火器和2块灭火毯，进入卸油区作业的人员，先释放消除静电，卸油人员将防静电跨接线连接到油罐车专用接地端，并确认接触良好。在油罐车静置进行静电释放5分钟后，进行计量、取样和卸油等相关作业。检查确认油罐计量孔密闭良好，汽油罐通气管上阀门处于关闭状态，安装呼吸阀</w:t>
      </w:r>
      <w:r>
        <w:rPr>
          <w:rFonts w:hint="eastAsia"/>
          <w:color w:val="auto"/>
          <w:lang w:val="en-US" w:eastAsia="zh-CN"/>
        </w:rPr>
        <w:t>使</w:t>
      </w:r>
      <w:r>
        <w:rPr>
          <w:rFonts w:hint="eastAsia"/>
          <w:color w:val="auto"/>
        </w:rPr>
        <w:t>通气管上阀门处于开启状态。卸完油后，关闭软管两端阀门，拆除软管，将卸油接口的密封盖盖紧并加锁。卸油结束后，卸油员全面检查并确认状态正常，引导油罐车启动车辆，离站，并清理卸油现场，将应急器材放回原位。</w:t>
      </w:r>
    </w:p>
    <w:p w14:paraId="3F24416B">
      <w:pPr>
        <w:widowControl w:val="0"/>
        <w:suppressAutoHyphens/>
        <w:adjustRightInd w:val="0"/>
        <w:snapToGrid w:val="0"/>
        <w:spacing w:line="360" w:lineRule="auto"/>
        <w:ind w:firstLine="560"/>
        <w:textAlignment w:val="center"/>
        <w:rPr>
          <w:rFonts w:hint="eastAsia"/>
          <w:color w:val="auto"/>
        </w:rPr>
      </w:pPr>
      <w:r>
        <w:rPr>
          <w:rFonts w:hint="eastAsia"/>
          <w:color w:val="auto"/>
        </w:rPr>
        <w:t>汽油罐卸油油气回收：在油罐车卸油过程中，将原来储油罐内散溢的油气，通过油气回收地下工艺管线及卸车软管重新收集至油罐车内，实现卸油与油气等体积置换。</w:t>
      </w:r>
    </w:p>
    <w:p w14:paraId="58B0BC70">
      <w:pPr>
        <w:widowControl w:val="0"/>
        <w:suppressAutoHyphens/>
        <w:adjustRightInd w:val="0"/>
        <w:snapToGrid w:val="0"/>
        <w:spacing w:line="360" w:lineRule="auto"/>
        <w:ind w:firstLine="560"/>
        <w:textAlignment w:val="center"/>
        <w:rPr>
          <w:rFonts w:hint="eastAsia"/>
          <w:color w:val="auto"/>
        </w:rPr>
      </w:pPr>
      <w:r>
        <w:rPr>
          <w:rFonts w:hint="eastAsia"/>
          <w:color w:val="auto"/>
        </w:rPr>
        <w:t>储油：对油罐车送来的油品在相应的油罐内进行储存，储存时间为2至3天，从而保证加油站不会出现脱销现象。</w:t>
      </w:r>
    </w:p>
    <w:p w14:paraId="4E278AB8">
      <w:pPr>
        <w:widowControl w:val="0"/>
        <w:suppressAutoHyphens/>
        <w:adjustRightInd w:val="0"/>
        <w:snapToGrid w:val="0"/>
        <w:spacing w:line="360" w:lineRule="auto"/>
        <w:ind w:firstLine="560"/>
        <w:textAlignment w:val="center"/>
        <w:rPr>
          <w:rFonts w:hint="eastAsia"/>
          <w:color w:val="auto"/>
        </w:rPr>
      </w:pPr>
      <w:r>
        <w:rPr>
          <w:rFonts w:hint="eastAsia"/>
          <w:color w:val="auto"/>
        </w:rPr>
        <w:t>量油：采用液位仪和人工量油检尺相结合的方法进行测量。</w:t>
      </w:r>
    </w:p>
    <w:p w14:paraId="32014BD8">
      <w:pPr>
        <w:keepNext w:val="0"/>
        <w:keepLines w:val="0"/>
        <w:pageBreakBefore w:val="0"/>
        <w:widowControl w:val="0"/>
        <w:suppressAutoHyphens/>
        <w:kinsoku/>
        <w:wordWrap/>
        <w:overflowPunct/>
        <w:topLinePunct w:val="0"/>
        <w:autoSpaceDE/>
        <w:autoSpaceDN/>
        <w:bidi w:val="0"/>
        <w:adjustRightInd w:val="0"/>
        <w:snapToGrid w:val="0"/>
        <w:spacing w:line="360" w:lineRule="auto"/>
        <w:ind w:firstLine="560"/>
        <w:textAlignment w:val="center"/>
        <w:rPr>
          <w:rFonts w:hint="eastAsia"/>
          <w:color w:val="auto"/>
        </w:rPr>
      </w:pPr>
      <w:r>
        <w:rPr>
          <w:rFonts w:hint="eastAsia"/>
          <w:color w:val="auto"/>
        </w:rPr>
        <w:t>加油：加油通过潜油泵把油品通过出油管线从储油罐</w:t>
      </w:r>
      <w:r>
        <w:rPr>
          <w:rFonts w:hint="eastAsia"/>
          <w:color w:val="auto"/>
          <w:lang w:val="en-US" w:eastAsia="zh-CN"/>
        </w:rPr>
        <w:t>压</w:t>
      </w:r>
      <w:r>
        <w:rPr>
          <w:rFonts w:hint="eastAsia"/>
          <w:color w:val="auto"/>
        </w:rPr>
        <w:t>出，经过加油机的计量器后，再经加油枪加到汽车油箱中，加油过程中汽油加油流量不大于50L/min。</w:t>
      </w:r>
    </w:p>
    <w:p w14:paraId="2550BCCC">
      <w:pPr>
        <w:widowControl w:val="0"/>
        <w:suppressAutoHyphens/>
        <w:adjustRightInd w:val="0"/>
        <w:snapToGrid w:val="0"/>
        <w:spacing w:line="360" w:lineRule="auto"/>
        <w:ind w:firstLine="560"/>
        <w:textAlignment w:val="center"/>
        <w:rPr>
          <w:rFonts w:hint="eastAsia"/>
          <w:color w:val="auto"/>
        </w:rPr>
      </w:pPr>
      <w:r>
        <w:rPr>
          <w:rFonts w:hint="eastAsia"/>
          <w:color w:val="auto"/>
        </w:rPr>
        <w:t>汽油加油油气回收：汽车加油过程中，将汽车油箱口散溢的油气，通过油气回收专用加油枪收集，利用真空泵经油气回收管线输送至汽油储罐，实现加油过程中无油气外溢污染环境。</w:t>
      </w:r>
    </w:p>
    <w:p w14:paraId="48B44B05">
      <w:pPr>
        <w:widowControl w:val="0"/>
        <w:suppressAutoHyphens/>
        <w:adjustRightInd w:val="0"/>
        <w:snapToGrid w:val="0"/>
        <w:spacing w:line="360" w:lineRule="auto"/>
        <w:ind w:firstLine="560"/>
        <w:textAlignment w:val="center"/>
        <w:rPr>
          <w:rFonts w:hint="eastAsia"/>
          <w:color w:val="auto"/>
        </w:rPr>
      </w:pPr>
      <w:r>
        <w:rPr>
          <w:rFonts w:hint="eastAsia"/>
          <w:color w:val="auto"/>
        </w:rPr>
        <w:t>油气排放处理装置：当地下储油罐内油气压力超过一定限值时，油气排放处理装置启动。装置由油气管引入油气，经油气排放处理装置处理后，气体符合国家标准的空气经排气管排入大气，经处理后的油通过管道送回油罐，整个工艺为密闭状态下进行。</w:t>
      </w:r>
    </w:p>
    <w:p w14:paraId="54A5A279">
      <w:pPr>
        <w:widowControl w:val="0"/>
        <w:suppressAutoHyphens/>
        <w:adjustRightInd w:val="0"/>
        <w:snapToGrid w:val="0"/>
        <w:spacing w:line="360" w:lineRule="auto"/>
        <w:ind w:firstLine="560"/>
        <w:textAlignment w:val="center"/>
        <w:rPr>
          <w:rFonts w:hint="eastAsia"/>
          <w:color w:val="auto"/>
        </w:rPr>
      </w:pPr>
      <w:r>
        <w:rPr>
          <w:rFonts w:hint="eastAsia"/>
          <w:color w:val="auto"/>
        </w:rPr>
        <w:t>2）工艺流程</w:t>
      </w:r>
    </w:p>
    <w:p w14:paraId="598B13E3">
      <w:pPr>
        <w:widowControl w:val="0"/>
        <w:suppressAutoHyphens/>
        <w:adjustRightInd w:val="0"/>
        <w:snapToGrid w:val="0"/>
        <w:spacing w:line="360" w:lineRule="auto"/>
        <w:ind w:firstLine="560"/>
        <w:textAlignment w:val="center"/>
        <w:rPr>
          <w:color w:val="auto"/>
          <w:kern w:val="28"/>
        </w:rPr>
      </w:pPr>
      <w:r>
        <w:rPr>
          <w:rFonts w:hint="eastAsia"/>
          <w:color w:val="auto"/>
        </w:rPr>
        <w:t>汽油密闭式卸油及卸油油气回收工艺流程方</w:t>
      </w:r>
      <w:r>
        <w:rPr>
          <w:rFonts w:hint="eastAsia"/>
          <w:color w:val="auto"/>
          <w:lang w:val="en-US" w:eastAsia="zh-CN"/>
        </w:rPr>
        <w:t>框</w:t>
      </w:r>
      <w:r>
        <w:rPr>
          <w:rFonts w:hint="eastAsia"/>
          <w:color w:val="auto"/>
        </w:rPr>
        <w:t>图如下：</w:t>
      </w:r>
    </w:p>
    <w:p w14:paraId="08AB03BE">
      <w:pPr>
        <w:pStyle w:val="153"/>
        <w:rPr>
          <w:rFonts w:hint="default" w:ascii="Times New Roman" w:hAnsi="Times New Roman" w:cs="Times New Roman"/>
        </w:rPr>
      </w:pPr>
    </w:p>
    <w:p w14:paraId="04128556">
      <w:pPr>
        <w:pStyle w:val="153"/>
        <w:rPr>
          <w:rFonts w:hint="default" w:ascii="Times New Roman" w:hAnsi="Times New Roman" w:cs="Times New Roman"/>
        </w:rPr>
      </w:pPr>
    </w:p>
    <w:p w14:paraId="23B377BD">
      <w:pPr>
        <w:pStyle w:val="153"/>
        <w:rPr>
          <w:rFonts w:hint="default" w:ascii="Times New Roman" w:hAnsi="Times New Roman" w:cs="Times New Roman"/>
        </w:rPr>
      </w:pPr>
    </w:p>
    <w:p w14:paraId="023D9F48">
      <w:pPr>
        <w:pStyle w:val="153"/>
        <w:rPr>
          <w:rFonts w:hint="default" w:ascii="Times New Roman" w:hAnsi="Times New Roman" w:cs="Times New Roman"/>
        </w:rPr>
      </w:pPr>
      <w:r>
        <w:rPr>
          <w:rFonts w:hint="default" w:ascii="Times New Roman" w:hAnsi="Times New Roman" w:cs="Times New Roman"/>
        </w:rPr>
        <mc:AlternateContent>
          <mc:Choice Requires="wpg">
            <w:drawing>
              <wp:anchor distT="0" distB="0" distL="114300" distR="114300" simplePos="0" relativeHeight="251666432" behindDoc="0" locked="0" layoutInCell="1" allowOverlap="1">
                <wp:simplePos x="0" y="0"/>
                <wp:positionH relativeFrom="column">
                  <wp:posOffset>350520</wp:posOffset>
                </wp:positionH>
                <wp:positionV relativeFrom="paragraph">
                  <wp:posOffset>130175</wp:posOffset>
                </wp:positionV>
                <wp:extent cx="4932680" cy="1094105"/>
                <wp:effectExtent l="5080" t="5080" r="15240" b="5715"/>
                <wp:wrapNone/>
                <wp:docPr id="43" name="组合 43"/>
                <wp:cNvGraphicFramePr/>
                <a:graphic xmlns:a="http://schemas.openxmlformats.org/drawingml/2006/main">
                  <a:graphicData uri="http://schemas.microsoft.com/office/word/2010/wordprocessingGroup">
                    <wpg:wgp>
                      <wpg:cNvGrpSpPr/>
                      <wpg:grpSpPr>
                        <a:xfrm>
                          <a:off x="0" y="0"/>
                          <a:ext cx="4932680" cy="1094105"/>
                          <a:chOff x="0" y="0"/>
                          <a:chExt cx="7725" cy="1606"/>
                        </a:xfrm>
                      </wpg:grpSpPr>
                      <wps:wsp>
                        <wps:cNvPr id="28" name="文本框 28"/>
                        <wps:cNvSpPr txBox="1"/>
                        <wps:spPr>
                          <a:xfrm>
                            <a:off x="0" y="0"/>
                            <a:ext cx="1420"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B8D002C">
                              <w:pPr>
                                <w:rPr>
                                  <w:rFonts w:hint="eastAsia"/>
                                  <w:sz w:val="21"/>
                                  <w:szCs w:val="21"/>
                                </w:rPr>
                              </w:pPr>
                              <w:r>
                                <w:rPr>
                                  <w:rFonts w:hint="eastAsia"/>
                                  <w:sz w:val="21"/>
                                  <w:szCs w:val="21"/>
                                </w:rPr>
                                <w:t>汽车油罐车车车</w:t>
                              </w:r>
                            </w:p>
                          </w:txbxContent>
                        </wps:txbx>
                        <wps:bodyPr upright="1"/>
                      </wps:wsp>
                      <wps:wsp>
                        <wps:cNvPr id="29" name="直接连接符 29"/>
                        <wps:cNvCnPr/>
                        <wps:spPr>
                          <a:xfrm>
                            <a:off x="1432" y="232"/>
                            <a:ext cx="644" cy="1"/>
                          </a:xfrm>
                          <a:prstGeom prst="line">
                            <a:avLst/>
                          </a:prstGeom>
                          <a:ln w="19050" cap="flat" cmpd="sng">
                            <a:solidFill>
                              <a:srgbClr val="000000"/>
                            </a:solidFill>
                            <a:prstDash val="solid"/>
                            <a:headEnd type="none" w="med" len="med"/>
                            <a:tailEnd type="triangle" w="med" len="med"/>
                          </a:ln>
                        </wps:spPr>
                        <wps:bodyPr upright="1"/>
                      </wps:wsp>
                      <wps:wsp>
                        <wps:cNvPr id="30" name="文本框 30"/>
                        <wps:cNvSpPr txBox="1"/>
                        <wps:spPr>
                          <a:xfrm>
                            <a:off x="2115" y="0"/>
                            <a:ext cx="1412"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5C0250">
                              <w:pPr>
                                <w:jc w:val="center"/>
                                <w:rPr>
                                  <w:rFonts w:hint="eastAsia"/>
                                  <w:szCs w:val="21"/>
                                </w:rPr>
                              </w:pPr>
                              <w:r>
                                <w:rPr>
                                  <w:rFonts w:hint="eastAsia"/>
                                  <w:sz w:val="21"/>
                                  <w:szCs w:val="21"/>
                                </w:rPr>
                                <w:t>导静电软管</w:t>
                              </w:r>
                              <w:r>
                                <w:rPr>
                                  <w:rFonts w:hint="eastAsia"/>
                                  <w:szCs w:val="21"/>
                                </w:rPr>
                                <w:t>管</w:t>
                              </w:r>
                            </w:p>
                          </w:txbxContent>
                        </wps:txbx>
                        <wps:bodyPr upright="1"/>
                      </wps:wsp>
                      <wps:wsp>
                        <wps:cNvPr id="31" name="直接连接符 31"/>
                        <wps:cNvCnPr/>
                        <wps:spPr>
                          <a:xfrm>
                            <a:off x="3543" y="221"/>
                            <a:ext cx="644" cy="1"/>
                          </a:xfrm>
                          <a:prstGeom prst="line">
                            <a:avLst/>
                          </a:prstGeom>
                          <a:ln w="19050" cap="flat" cmpd="sng">
                            <a:solidFill>
                              <a:srgbClr val="000000"/>
                            </a:solidFill>
                            <a:prstDash val="solid"/>
                            <a:headEnd type="none" w="med" len="med"/>
                            <a:tailEnd type="triangle" w="med" len="med"/>
                          </a:ln>
                        </wps:spPr>
                        <wps:bodyPr upright="1"/>
                      </wps:wsp>
                      <wps:wsp>
                        <wps:cNvPr id="32" name="文本框 32"/>
                        <wps:cNvSpPr txBox="1"/>
                        <wps:spPr>
                          <a:xfrm>
                            <a:off x="4211" y="0"/>
                            <a:ext cx="1359"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D975367">
                              <w:pPr>
                                <w:jc w:val="center"/>
                                <w:rPr>
                                  <w:rFonts w:hint="eastAsia"/>
                                  <w:szCs w:val="21"/>
                                </w:rPr>
                              </w:pPr>
                              <w:r>
                                <w:rPr>
                                  <w:rFonts w:hint="eastAsia"/>
                                  <w:sz w:val="21"/>
                                  <w:szCs w:val="21"/>
                                </w:rPr>
                                <w:t>快速接头</w:t>
                              </w:r>
                            </w:p>
                          </w:txbxContent>
                        </wps:txbx>
                        <wps:bodyPr upright="1"/>
                      </wps:wsp>
                      <wps:wsp>
                        <wps:cNvPr id="33" name="直接连接符 33"/>
                        <wps:cNvCnPr/>
                        <wps:spPr>
                          <a:xfrm>
                            <a:off x="5634" y="233"/>
                            <a:ext cx="644" cy="1"/>
                          </a:xfrm>
                          <a:prstGeom prst="line">
                            <a:avLst/>
                          </a:prstGeom>
                          <a:ln w="19050" cap="flat" cmpd="sng">
                            <a:solidFill>
                              <a:srgbClr val="000000"/>
                            </a:solidFill>
                            <a:prstDash val="solid"/>
                            <a:headEnd type="none" w="med" len="med"/>
                            <a:tailEnd type="triangle" w="med" len="med"/>
                          </a:ln>
                        </wps:spPr>
                        <wps:bodyPr upright="1"/>
                      </wps:wsp>
                      <wps:wsp>
                        <wps:cNvPr id="34" name="文本框 34"/>
                        <wps:cNvSpPr txBox="1"/>
                        <wps:spPr>
                          <a:xfrm>
                            <a:off x="6375" y="13"/>
                            <a:ext cx="1350"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C7FC73">
                              <w:pPr>
                                <w:ind w:left="-80" w:leftChars="-66" w:right="-179" w:rightChars="-64" w:hanging="105" w:hangingChars="50"/>
                                <w:jc w:val="center"/>
                                <w:rPr>
                                  <w:rFonts w:hint="eastAsia"/>
                                  <w:sz w:val="21"/>
                                  <w:szCs w:val="21"/>
                                </w:rPr>
                              </w:pPr>
                              <w:r>
                                <w:rPr>
                                  <w:rFonts w:hint="eastAsia"/>
                                  <w:sz w:val="21"/>
                                  <w:szCs w:val="21"/>
                                </w:rPr>
                                <w:t>埋地油罐</w:t>
                              </w:r>
                            </w:p>
                          </w:txbxContent>
                        </wps:txbx>
                        <wps:bodyPr upright="1"/>
                      </wps:wsp>
                      <wps:wsp>
                        <wps:cNvPr id="35" name="直接连接符 35"/>
                        <wps:cNvCnPr/>
                        <wps:spPr>
                          <a:xfrm rot="5400000">
                            <a:off x="6630" y="653"/>
                            <a:ext cx="644" cy="1"/>
                          </a:xfrm>
                          <a:prstGeom prst="line">
                            <a:avLst/>
                          </a:prstGeom>
                          <a:ln w="19050" cap="flat" cmpd="sng">
                            <a:solidFill>
                              <a:srgbClr val="000000"/>
                            </a:solidFill>
                            <a:prstDash val="dash"/>
                            <a:headEnd type="none" w="med" len="med"/>
                            <a:tailEnd type="triangle" w="med" len="med"/>
                          </a:ln>
                        </wps:spPr>
                        <wps:bodyPr upright="1"/>
                      </wps:wsp>
                      <wps:wsp>
                        <wps:cNvPr id="36" name="文本框 36"/>
                        <wps:cNvSpPr txBox="1"/>
                        <wps:spPr>
                          <a:xfrm>
                            <a:off x="6376" y="1140"/>
                            <a:ext cx="1325"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B35452">
                              <w:pPr>
                                <w:jc w:val="center"/>
                                <w:rPr>
                                  <w:rFonts w:hint="eastAsia"/>
                                  <w:szCs w:val="21"/>
                                </w:rPr>
                              </w:pPr>
                              <w:r>
                                <w:rPr>
                                  <w:rFonts w:hint="eastAsia"/>
                                  <w:sz w:val="21"/>
                                  <w:szCs w:val="21"/>
                                </w:rPr>
                                <w:t>快速接头</w:t>
                              </w:r>
                            </w:p>
                          </w:txbxContent>
                        </wps:txbx>
                        <wps:bodyPr upright="1"/>
                      </wps:wsp>
                      <wps:wsp>
                        <wps:cNvPr id="37" name="文本框 37"/>
                        <wps:cNvSpPr txBox="1"/>
                        <wps:spPr>
                          <a:xfrm>
                            <a:off x="4186" y="1125"/>
                            <a:ext cx="1369"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46B9B1">
                              <w:pPr>
                                <w:rPr>
                                  <w:rFonts w:hint="eastAsia"/>
                                  <w:szCs w:val="21"/>
                                </w:rPr>
                              </w:pPr>
                              <w:r>
                                <w:rPr>
                                  <w:rFonts w:hint="eastAsia"/>
                                  <w:sz w:val="21"/>
                                  <w:szCs w:val="21"/>
                                </w:rPr>
                                <w:t>导静电软管</w:t>
                              </w:r>
                              <w:r>
                                <w:rPr>
                                  <w:rFonts w:hint="eastAsia"/>
                                  <w:szCs w:val="21"/>
                                </w:rPr>
                                <w:t>管</w:t>
                              </w:r>
                            </w:p>
                          </w:txbxContent>
                        </wps:txbx>
                        <wps:bodyPr upright="1"/>
                      </wps:wsp>
                      <wps:wsp>
                        <wps:cNvPr id="38" name="直接连接符 38"/>
                        <wps:cNvCnPr/>
                        <wps:spPr>
                          <a:xfrm rot="10800000">
                            <a:off x="5613" y="1346"/>
                            <a:ext cx="644" cy="1"/>
                          </a:xfrm>
                          <a:prstGeom prst="line">
                            <a:avLst/>
                          </a:prstGeom>
                          <a:ln w="19050" cap="flat" cmpd="sng">
                            <a:solidFill>
                              <a:srgbClr val="000000"/>
                            </a:solidFill>
                            <a:prstDash val="dash"/>
                            <a:headEnd type="none" w="med" len="med"/>
                            <a:tailEnd type="triangle" w="med" len="med"/>
                          </a:ln>
                        </wps:spPr>
                        <wps:bodyPr upright="1"/>
                      </wps:wsp>
                      <wps:wsp>
                        <wps:cNvPr id="39" name="直接连接符 39"/>
                        <wps:cNvCnPr/>
                        <wps:spPr>
                          <a:xfrm rot="10800000">
                            <a:off x="3303" y="1359"/>
                            <a:ext cx="717" cy="3"/>
                          </a:xfrm>
                          <a:prstGeom prst="line">
                            <a:avLst/>
                          </a:prstGeom>
                          <a:ln w="19050" cap="flat" cmpd="sng">
                            <a:solidFill>
                              <a:srgbClr val="000000"/>
                            </a:solidFill>
                            <a:prstDash val="dash"/>
                            <a:headEnd type="none" w="med" len="med"/>
                            <a:tailEnd type="triangle" w="med" len="med"/>
                          </a:ln>
                        </wps:spPr>
                        <wps:bodyPr upright="1"/>
                      </wps:wsp>
                      <wps:wsp>
                        <wps:cNvPr id="40" name="文本框 40"/>
                        <wps:cNvSpPr txBox="1"/>
                        <wps:spPr>
                          <a:xfrm>
                            <a:off x="1935" y="1140"/>
                            <a:ext cx="1280"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92B53C">
                              <w:pPr>
                                <w:jc w:val="center"/>
                                <w:rPr>
                                  <w:rFonts w:hint="eastAsia"/>
                                  <w:szCs w:val="21"/>
                                </w:rPr>
                              </w:pPr>
                              <w:r>
                                <w:rPr>
                                  <w:rFonts w:hint="eastAsia"/>
                                  <w:sz w:val="21"/>
                                  <w:szCs w:val="21"/>
                                </w:rPr>
                                <w:t>快速接头</w:t>
                              </w:r>
                            </w:p>
                          </w:txbxContent>
                        </wps:txbx>
                        <wps:bodyPr upright="1"/>
                      </wps:wsp>
                      <wps:wsp>
                        <wps:cNvPr id="41" name="直接连接符 41"/>
                        <wps:cNvCnPr/>
                        <wps:spPr>
                          <a:xfrm rot="-10800000" flipV="1">
                            <a:off x="915" y="1330"/>
                            <a:ext cx="902" cy="16"/>
                          </a:xfrm>
                          <a:prstGeom prst="line">
                            <a:avLst/>
                          </a:prstGeom>
                          <a:ln w="19050" cap="flat" cmpd="sng">
                            <a:solidFill>
                              <a:srgbClr val="000000"/>
                            </a:solidFill>
                            <a:prstDash val="dash"/>
                            <a:headEnd type="none" w="med" len="med"/>
                            <a:tailEnd type="none" w="med" len="med"/>
                          </a:ln>
                        </wps:spPr>
                        <wps:bodyPr upright="1"/>
                      </wps:wsp>
                      <wps:wsp>
                        <wps:cNvPr id="42" name="直接连接符 42"/>
                        <wps:cNvCnPr/>
                        <wps:spPr>
                          <a:xfrm rot="-5400000">
                            <a:off x="420" y="863"/>
                            <a:ext cx="644" cy="1"/>
                          </a:xfrm>
                          <a:prstGeom prst="line">
                            <a:avLst/>
                          </a:prstGeom>
                          <a:ln w="19050" cap="flat" cmpd="sng">
                            <a:solidFill>
                              <a:srgbClr val="000000"/>
                            </a:solidFill>
                            <a:prstDash val="dash"/>
                            <a:headEnd type="none" w="med" len="med"/>
                            <a:tailEnd type="triangle" w="med" len="med"/>
                          </a:ln>
                        </wps:spPr>
                        <wps:bodyPr upright="1"/>
                      </wps:wsp>
                    </wpg:wgp>
                  </a:graphicData>
                </a:graphic>
              </wp:anchor>
            </w:drawing>
          </mc:Choice>
          <mc:Fallback>
            <w:pict>
              <v:group id="_x0000_s1026" o:spid="_x0000_s1026" o:spt="203" style="position:absolute;left:0pt;margin-left:27.6pt;margin-top:10.25pt;height:86.15pt;width:388.4pt;z-index:251666432;mso-width-relative:page;mso-height-relative:page;" coordsize="7725,1606" o:gfxdata="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">
                <o:lock v:ext="edit" aspectratio="f"/>
                <v:shape id="_x0000_s1026" o:spid="_x0000_s1026" o:spt="202" type="#_x0000_t202" style="position:absolute;left:0;top:0;height:466;width:1420;" fillcolor="#FFFFFF" filled="t" stroked="t" coordsize="21600,21600" o:gfxdata="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Xhli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7B8D002C">
                        <w:pPr>
                          <w:rPr>
                            <w:rFonts w:hint="eastAsia"/>
                            <w:sz w:val="21"/>
                            <w:szCs w:val="21"/>
                          </w:rPr>
                        </w:pPr>
                        <w:r>
                          <w:rPr>
                            <w:rFonts w:hint="eastAsia"/>
                            <w:sz w:val="21"/>
                            <w:szCs w:val="21"/>
                          </w:rPr>
                          <w:t>汽车油罐车车车</w:t>
                        </w:r>
                      </w:p>
                    </w:txbxContent>
                  </v:textbox>
                </v:shape>
                <v:line id="_x0000_s1026" o:spid="_x0000_s1026" o:spt="20" style="position:absolute;left:1432;top:232;height:1;width:644;" filled="f" stroked="t" coordsize="21600,21600" o:gfxdata="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O0NKvQAA&#10;ANsAAAAPAAAAAAAAAAEAIAAAACIAAABkcnMvZG93bnJldi54bWxQSwECFAAUAAAACACHTuJAMy8F&#10;njsAAAA5AAAAEAAAAAAAAAABACAAAAAMAQAAZHJzL3NoYXBleG1sLnhtbFBLBQYAAAAABgAGAFsB&#10;AAC2AwAAAAA=&#10;">
                  <v:fill on="f" focussize="0,0"/>
                  <v:stroke weight="1.5pt" color="#000000" joinstyle="round" endarrow="block"/>
                  <v:imagedata o:title=""/>
                  <o:lock v:ext="edit" aspectratio="f"/>
                </v:line>
                <v:shape id="_x0000_s1026" o:spid="_x0000_s1026" o:spt="202" type="#_x0000_t202" style="position:absolute;left:2115;top:0;height:466;width:1412;" fillcolor="#FFFFFF" filled="t" stroked="t" coordsize="21600,21600" o:gfxdata="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GDu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A5C0250">
                        <w:pPr>
                          <w:jc w:val="center"/>
                          <w:rPr>
                            <w:rFonts w:hint="eastAsia"/>
                            <w:szCs w:val="21"/>
                          </w:rPr>
                        </w:pPr>
                        <w:r>
                          <w:rPr>
                            <w:rFonts w:hint="eastAsia"/>
                            <w:sz w:val="21"/>
                            <w:szCs w:val="21"/>
                          </w:rPr>
                          <w:t>导静电软管</w:t>
                        </w:r>
                        <w:r>
                          <w:rPr>
                            <w:rFonts w:hint="eastAsia"/>
                            <w:szCs w:val="21"/>
                          </w:rPr>
                          <w:t>管</w:t>
                        </w:r>
                      </w:p>
                    </w:txbxContent>
                  </v:textbox>
                </v:shape>
                <v:line id="_x0000_s1026" o:spid="_x0000_s1026" o:spt="20" style="position:absolute;left:3543;top:221;height:1;width:644;" filled="f" stroked="t" coordsize="21600,21600" o:gfxdata="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U2ZG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shape id="_x0000_s1026" o:spid="_x0000_s1026" o:spt="202" type="#_x0000_t202" style="position:absolute;left:4211;top:0;height:466;width:1359;"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D975367">
                        <w:pPr>
                          <w:jc w:val="center"/>
                          <w:rPr>
                            <w:rFonts w:hint="eastAsia"/>
                            <w:szCs w:val="21"/>
                          </w:rPr>
                        </w:pPr>
                        <w:r>
                          <w:rPr>
                            <w:rFonts w:hint="eastAsia"/>
                            <w:sz w:val="21"/>
                            <w:szCs w:val="21"/>
                          </w:rPr>
                          <w:t>快速接头</w:t>
                        </w:r>
                      </w:p>
                    </w:txbxContent>
                  </v:textbox>
                </v:shape>
                <v:line id="_x0000_s1026" o:spid="_x0000_s1026" o:spt="20" style="position:absolute;left:5634;top:233;height:1;width:644;" filled="f" stroked="t" coordsize="21600,21600" o:gfxdata="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wrifb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shape id="_x0000_s1026" o:spid="_x0000_s1026" o:spt="202" type="#_x0000_t202" style="position:absolute;left:6375;top:13;height:467;width:135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3C7FC73">
                        <w:pPr>
                          <w:ind w:left="-80" w:leftChars="-66" w:right="-179" w:rightChars="-64" w:hanging="105" w:hangingChars="50"/>
                          <w:jc w:val="center"/>
                          <w:rPr>
                            <w:rFonts w:hint="eastAsia"/>
                            <w:sz w:val="21"/>
                            <w:szCs w:val="21"/>
                          </w:rPr>
                        </w:pPr>
                        <w:r>
                          <w:rPr>
                            <w:rFonts w:hint="eastAsia"/>
                            <w:sz w:val="21"/>
                            <w:szCs w:val="21"/>
                          </w:rPr>
                          <w:t>埋地油罐</w:t>
                        </w:r>
                      </w:p>
                    </w:txbxContent>
                  </v:textbox>
                </v:shape>
                <v:line id="_x0000_s1026" o:spid="_x0000_s1026" o:spt="20" style="position:absolute;left:6630;top:653;height:1;width:644;rotation:5898240f;" filled="f" stroked="t" coordsize="21600,21600" o:gfxdata="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v/a8vQAA&#10;ANsAAAAPAAAAAAAAAAEAIAAAACIAAABkcnMvZG93bnJldi54bWxQSwECFAAUAAAACACHTuJAMy8F&#10;njsAAAA5AAAAEAAAAAAAAAABACAAAAAMAQAAZHJzL3NoYXBleG1sLnhtbFBLBQYAAAAABgAGAFsB&#10;AAC2AwAAAAA=&#10;">
                  <v:fill on="f" focussize="0,0"/>
                  <v:stroke weight="1.5pt" color="#000000" joinstyle="round" dashstyle="dash" endarrow="block"/>
                  <v:imagedata o:title=""/>
                  <o:lock v:ext="edit" aspectratio="f"/>
                </v:line>
                <v:shape id="_x0000_s1026" o:spid="_x0000_s1026" o:spt="202" type="#_x0000_t202" style="position:absolute;left:6376;top:1140;height:466;width:1325;" fillcolor="#FFFFFF" filled="t" stroked="t" coordsize="21600,21600" o:gfxdata="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lS+V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9B35452">
                        <w:pPr>
                          <w:jc w:val="center"/>
                          <w:rPr>
                            <w:rFonts w:hint="eastAsia"/>
                            <w:szCs w:val="21"/>
                          </w:rPr>
                        </w:pPr>
                        <w:r>
                          <w:rPr>
                            <w:rFonts w:hint="eastAsia"/>
                            <w:sz w:val="21"/>
                            <w:szCs w:val="21"/>
                          </w:rPr>
                          <w:t>快速接头</w:t>
                        </w:r>
                      </w:p>
                    </w:txbxContent>
                  </v:textbox>
                </v:shape>
                <v:shape id="_x0000_s1026" o:spid="_x0000_s1026" o:spt="202" type="#_x0000_t202" style="position:absolute;left:4186;top:1125;height:466;width:1369;" fillcolor="#FFFFFF" filled="t" stroked="t" coordsize="21600,21600" o:gfxdata="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gbz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D46B9B1">
                        <w:pPr>
                          <w:rPr>
                            <w:rFonts w:hint="eastAsia"/>
                            <w:szCs w:val="21"/>
                          </w:rPr>
                        </w:pPr>
                        <w:r>
                          <w:rPr>
                            <w:rFonts w:hint="eastAsia"/>
                            <w:sz w:val="21"/>
                            <w:szCs w:val="21"/>
                          </w:rPr>
                          <w:t>导静电软管</w:t>
                        </w:r>
                        <w:r>
                          <w:rPr>
                            <w:rFonts w:hint="eastAsia"/>
                            <w:szCs w:val="21"/>
                          </w:rPr>
                          <w:t>管</w:t>
                        </w:r>
                      </w:p>
                    </w:txbxContent>
                  </v:textbox>
                </v:shape>
                <v:line id="_x0000_s1026" o:spid="_x0000_s1026" o:spt="20" style="position:absolute;left:5613;top:1346;height:1;width:644;rotation:11796480f;" filled="f" stroked="t" coordsize="21600,21600" o:gfxdata="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r/d0H7UAAADbAAAADwAA&#10;AAAAAAABACAAAAAiAAAAZHJzL2Rvd25yZXYueG1sUEsBAhQAFAAAAAgAh07iQDMvBZ47AAAAOQAA&#10;ABAAAAAAAAAAAQAgAAAABAEAAGRycy9zaGFwZXhtbC54bWxQSwUGAAAAAAYABgBbAQAArgMAAAAA&#10;">
                  <v:fill on="f" focussize="0,0"/>
                  <v:stroke weight="1.5pt" color="#000000" joinstyle="round" dashstyle="dash" endarrow="block"/>
                  <v:imagedata o:title=""/>
                  <o:lock v:ext="edit" aspectratio="f"/>
                </v:line>
                <v:line id="_x0000_s1026" o:spid="_x0000_s1026" o:spt="20" style="position:absolute;left:3303;top:1359;height:3;width:717;rotation:11796480f;" filled="f" stroked="t" coordsize="21600,21600" o:gfxdata="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u9GEugAAANsA&#10;AAAPAAAAAAAAAAEAIAAAACIAAABkcnMvZG93bnJldi54bWxQSwECFAAUAAAACACHTuJAMy8FnjsA&#10;AAA5AAAAEAAAAAAAAAABACAAAAAJAQAAZHJzL3NoYXBleG1sLnhtbFBLBQYAAAAABgAGAFsBAACz&#10;AwAAAAA=&#10;">
                  <v:fill on="f" focussize="0,0"/>
                  <v:stroke weight="1.5pt" color="#000000" joinstyle="round" dashstyle="dash" endarrow="block"/>
                  <v:imagedata o:title=""/>
                  <o:lock v:ext="edit" aspectratio="f"/>
                </v:line>
                <v:shape id="_x0000_s1026" o:spid="_x0000_s1026" o:spt="202" type="#_x0000_t202" style="position:absolute;left:1935;top:1140;height:466;width:1280;" fillcolor="#FFFFFF" filled="t" stroked="t" coordsize="21600,21600" o:gfxdata="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9/D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392B53C">
                        <w:pPr>
                          <w:jc w:val="center"/>
                          <w:rPr>
                            <w:rFonts w:hint="eastAsia"/>
                            <w:szCs w:val="21"/>
                          </w:rPr>
                        </w:pPr>
                        <w:r>
                          <w:rPr>
                            <w:rFonts w:hint="eastAsia"/>
                            <w:sz w:val="21"/>
                            <w:szCs w:val="21"/>
                          </w:rPr>
                          <w:t>快速接头</w:t>
                        </w:r>
                      </w:p>
                    </w:txbxContent>
                  </v:textbox>
                </v:shape>
                <v:line id="_x0000_s1026" o:spid="_x0000_s1026" o:spt="20" style="position:absolute;left:915;top:1330;flip:y;height:16;width:902;rotation:11796480f;" filled="f" stroked="t" coordsize="21600,21600" o:gfxdata="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sTT74A&#10;AADbAAAADwAAAAAAAAABACAAAAAiAAAAZHJzL2Rvd25yZXYueG1sUEsBAhQAFAAAAAgAh07iQDMv&#10;BZ47AAAAOQAAABAAAAAAAAAAAQAgAAAADQEAAGRycy9zaGFwZXhtbC54bWxQSwUGAAAAAAYABgBb&#10;AQAAtwMAAAAA&#10;">
                  <v:fill on="f" focussize="0,0"/>
                  <v:stroke weight="1.5pt" color="#000000" joinstyle="round" dashstyle="dash"/>
                  <v:imagedata o:title=""/>
                  <o:lock v:ext="edit" aspectratio="f"/>
                </v:line>
                <v:line id="_x0000_s1026" o:spid="_x0000_s1026" o:spt="20" style="position:absolute;left:420;top:863;height:1;width:644;rotation:-5898240f;" filled="f" stroked="t" coordsize="21600,21600" o:gfxdata="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YXqMvQAA&#10;ANsAAAAPAAAAAAAAAAEAIAAAACIAAABkcnMvZG93bnJldi54bWxQSwECFAAUAAAACACHTuJAMy8F&#10;njsAAAA5AAAAEAAAAAAAAAABACAAAAAMAQAAZHJzL3NoYXBleG1sLnhtbFBLBQYAAAAABgAGAFsB&#10;AAC2AwAAAAA=&#10;">
                  <v:fill on="f" focussize="0,0"/>
                  <v:stroke weight="1.5pt" color="#000000" joinstyle="round" dashstyle="dash" endarrow="block"/>
                  <v:imagedata o:title=""/>
                  <o:lock v:ext="edit" aspectratio="f"/>
                </v:line>
              </v:group>
            </w:pict>
          </mc:Fallback>
        </mc:AlternateContent>
      </w:r>
    </w:p>
    <w:p w14:paraId="106C2E7B">
      <w:pPr>
        <w:pStyle w:val="27"/>
        <w:spacing w:line="240" w:lineRule="atLeast"/>
        <w:ind w:left="420" w:firstLine="420"/>
        <w:rPr>
          <w:rFonts w:hint="default" w:ascii="Times New Roman" w:hAnsi="Times New Roman" w:cs="Times New Roman"/>
          <w:color w:val="FF0000"/>
          <w:lang w:val="zh-CN"/>
        </w:rPr>
      </w:pPr>
    </w:p>
    <w:p w14:paraId="0BE32032">
      <w:pPr>
        <w:spacing w:line="680" w:lineRule="exact"/>
        <w:ind w:firstLine="422" w:firstLineChars="200"/>
        <w:rPr>
          <w:rStyle w:val="55"/>
          <w:rFonts w:hint="default" w:ascii="Times New Roman" w:hAnsi="Times New Roman" w:cs="Times New Roman"/>
          <w:b/>
          <w:bCs/>
          <w:color w:val="FF0000"/>
        </w:rPr>
      </w:pPr>
    </w:p>
    <w:p w14:paraId="726E8DC6">
      <w:pPr>
        <w:spacing w:line="680" w:lineRule="exact"/>
        <w:ind w:firstLine="422" w:firstLineChars="200"/>
        <w:rPr>
          <w:rStyle w:val="55"/>
          <w:rFonts w:hint="default" w:ascii="Times New Roman" w:hAnsi="Times New Roman" w:cs="Times New Roman"/>
          <w:b/>
          <w:bCs/>
          <w:color w:val="FF0000"/>
        </w:rPr>
      </w:pPr>
    </w:p>
    <w:p w14:paraId="78BAE48E">
      <w:pPr>
        <w:spacing w:line="680" w:lineRule="exact"/>
        <w:ind w:firstLine="422" w:firstLineChars="200"/>
        <w:rPr>
          <w:rStyle w:val="55"/>
          <w:rFonts w:hint="default" w:ascii="Times New Roman" w:hAnsi="Times New Roman" w:cs="Times New Roman"/>
          <w:b/>
          <w:bCs/>
          <w:color w:val="auto"/>
        </w:rPr>
      </w:pPr>
      <w:r>
        <w:rPr>
          <w:rStyle w:val="55"/>
          <w:rFonts w:hint="default" w:ascii="Times New Roman" w:hAnsi="Times New Roman" w:cs="Times New Roman"/>
          <w:b/>
          <w:bCs/>
          <w:color w:val="auto"/>
        </w:rPr>
        <w:t>注：虚线箭头表示油气回收工艺路线。</w:t>
      </w:r>
    </w:p>
    <w:p w14:paraId="5BE56704">
      <w:pPr>
        <w:widowControl w:val="0"/>
        <w:spacing w:line="360" w:lineRule="auto"/>
        <w:ind w:left="0" w:leftChars="0" w:right="0" w:rightChars="0" w:firstLine="0" w:firstLineChars="0"/>
        <w:textAlignment w:val="center"/>
        <w:rPr>
          <w:rFonts w:hint="default" w:ascii="Times New Roman" w:hAnsi="Times New Roman" w:eastAsia="宋体" w:cs="Times New Roman"/>
          <w:color w:val="auto"/>
          <w:sz w:val="21"/>
          <w:szCs w:val="28"/>
          <w:highlight w:val="none"/>
        </w:rPr>
      </w:pPr>
    </w:p>
    <w:p w14:paraId="0E5C22B5">
      <w:pPr>
        <w:keepNext w:val="0"/>
        <w:keepLines w:val="0"/>
        <w:pageBreakBefore w:val="0"/>
        <w:widowControl w:val="0"/>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宋体" w:cs="Times New Roman"/>
          <w:color w:val="auto"/>
          <w:sz w:val="28"/>
          <w:szCs w:val="28"/>
          <w:highlight w:val="none"/>
          <w:lang w:val="zh-CN"/>
        </w:rPr>
      </w:pPr>
      <w:r>
        <w:rPr>
          <w:rFonts w:hint="default" w:ascii="Times New Roman" w:hAnsi="Times New Roman" w:eastAsia="宋体" w:cs="Times New Roman"/>
          <w:color w:val="auto"/>
          <w:sz w:val="28"/>
          <w:szCs w:val="28"/>
          <w:highlight w:val="none"/>
          <w:lang w:val="zh-CN"/>
        </w:rPr>
        <w:t>汽油加油及油气回收工艺流程方</w:t>
      </w:r>
      <w:r>
        <w:rPr>
          <w:rFonts w:hint="eastAsia" w:cs="Times New Roman"/>
          <w:color w:val="auto"/>
          <w:sz w:val="28"/>
          <w:szCs w:val="28"/>
          <w:highlight w:val="none"/>
          <w:lang w:val="en-US" w:eastAsia="zh-CN"/>
        </w:rPr>
        <w:t>框</w:t>
      </w:r>
      <w:r>
        <w:rPr>
          <w:rFonts w:hint="default" w:ascii="Times New Roman" w:hAnsi="Times New Roman" w:eastAsia="宋体" w:cs="Times New Roman"/>
          <w:color w:val="auto"/>
          <w:sz w:val="28"/>
          <w:szCs w:val="28"/>
          <w:highlight w:val="none"/>
          <w:lang w:val="zh-CN"/>
        </w:rPr>
        <w:t>图如下：</w:t>
      </w:r>
    </w:p>
    <w:p w14:paraId="7FDA3FC8">
      <w:pPr>
        <w:pStyle w:val="47"/>
        <w:tabs>
          <w:tab w:val="left" w:pos="0"/>
          <w:tab w:val="left" w:pos="870"/>
          <w:tab w:val="left" w:pos="3150"/>
        </w:tabs>
        <w:spacing w:before="0" w:beforeAutospacing="0" w:after="0" w:afterAutospacing="0" w:line="240" w:lineRule="auto"/>
        <w:ind w:firstLine="560" w:firstLineChars="200"/>
        <w:rPr>
          <w:rFonts w:hint="default" w:ascii="Times New Roman" w:hAnsi="Times New Roman" w:cs="Times New Roman"/>
          <w:color w:val="FF0000"/>
        </w:rPr>
      </w:pPr>
    </w:p>
    <w:p w14:paraId="3A121C95">
      <w:pPr>
        <w:pStyle w:val="47"/>
        <w:tabs>
          <w:tab w:val="left" w:pos="0"/>
          <w:tab w:val="left" w:pos="870"/>
          <w:tab w:val="left" w:pos="3150"/>
        </w:tabs>
        <w:spacing w:before="0" w:beforeAutospacing="0" w:after="0" w:afterAutospacing="0" w:line="240" w:lineRule="auto"/>
        <w:ind w:firstLine="560" w:firstLineChars="200"/>
        <w:rPr>
          <w:rFonts w:hint="default" w:ascii="Times New Roman" w:hAnsi="Times New Roman" w:cs="Times New Roman"/>
          <w:color w:val="FF0000"/>
        </w:rPr>
      </w:pPr>
      <w:r>
        <w:rPr>
          <w:rFonts w:hint="default" w:ascii="Times New Roman" w:hAnsi="Times New Roman" w:cs="Times New Roman"/>
          <w:color w:val="FF0000"/>
        </w:rPr>
        <mc:AlternateContent>
          <mc:Choice Requires="wpg">
            <w:drawing>
              <wp:anchor distT="0" distB="0" distL="114300" distR="114300" simplePos="0" relativeHeight="251668480" behindDoc="0" locked="0" layoutInCell="1" allowOverlap="1">
                <wp:simplePos x="0" y="0"/>
                <wp:positionH relativeFrom="column">
                  <wp:posOffset>671830</wp:posOffset>
                </wp:positionH>
                <wp:positionV relativeFrom="paragraph">
                  <wp:posOffset>55880</wp:posOffset>
                </wp:positionV>
                <wp:extent cx="4486910" cy="1628775"/>
                <wp:effectExtent l="5080" t="4445" r="3810" b="5080"/>
                <wp:wrapNone/>
                <wp:docPr id="99" name="组合 99"/>
                <wp:cNvGraphicFramePr/>
                <a:graphic xmlns:a="http://schemas.openxmlformats.org/drawingml/2006/main">
                  <a:graphicData uri="http://schemas.microsoft.com/office/word/2010/wordprocessingGroup">
                    <wpg:wgp>
                      <wpg:cNvGrpSpPr/>
                      <wpg:grpSpPr>
                        <a:xfrm>
                          <a:off x="0" y="0"/>
                          <a:ext cx="4486910" cy="1628775"/>
                          <a:chOff x="0" y="0"/>
                          <a:chExt cx="7391" cy="2746"/>
                        </a:xfrm>
                      </wpg:grpSpPr>
                      <wps:wsp>
                        <wps:cNvPr id="44" name="文本框 44"/>
                        <wps:cNvSpPr txBox="1"/>
                        <wps:spPr>
                          <a:xfrm>
                            <a:off x="5535" y="1155"/>
                            <a:ext cx="1124"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6C5926">
                              <w:pPr>
                                <w:jc w:val="center"/>
                                <w:rPr>
                                  <w:rFonts w:hint="eastAsia"/>
                                  <w:szCs w:val="21"/>
                                </w:rPr>
                              </w:pPr>
                              <w:r>
                                <w:rPr>
                                  <w:rFonts w:hint="eastAsia"/>
                                  <w:sz w:val="21"/>
                                  <w:szCs w:val="21"/>
                                </w:rPr>
                                <w:t>加油枪</w:t>
                              </w:r>
                            </w:p>
                          </w:txbxContent>
                        </wps:txbx>
                        <wps:bodyPr upright="1"/>
                      </wps:wsp>
                      <wps:wsp>
                        <wps:cNvPr id="45" name="文本框 45"/>
                        <wps:cNvSpPr txBox="1"/>
                        <wps:spPr>
                          <a:xfrm>
                            <a:off x="3509" y="1140"/>
                            <a:ext cx="1220"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A43C825">
                              <w:pPr>
                                <w:jc w:val="center"/>
                                <w:rPr>
                                  <w:rFonts w:hint="eastAsia"/>
                                  <w:szCs w:val="21"/>
                                </w:rPr>
                              </w:pPr>
                              <w:r>
                                <w:rPr>
                                  <w:rFonts w:hint="eastAsia"/>
                                  <w:sz w:val="21"/>
                                  <w:szCs w:val="21"/>
                                </w:rPr>
                                <w:t>受油容器</w:t>
                              </w:r>
                            </w:p>
                          </w:txbxContent>
                        </wps:txbx>
                        <wps:bodyPr upright="1"/>
                      </wps:wsp>
                      <wps:wsp>
                        <wps:cNvPr id="46" name="直接连接符 46"/>
                        <wps:cNvCnPr/>
                        <wps:spPr>
                          <a:xfrm rot="10800000">
                            <a:off x="6692" y="2454"/>
                            <a:ext cx="644" cy="1"/>
                          </a:xfrm>
                          <a:prstGeom prst="line">
                            <a:avLst/>
                          </a:prstGeom>
                          <a:ln w="19050" cap="flat" cmpd="sng">
                            <a:solidFill>
                              <a:srgbClr val="000000"/>
                            </a:solidFill>
                            <a:prstDash val="dash"/>
                            <a:headEnd type="none" w="med" len="med"/>
                            <a:tailEnd type="triangle" w="med" len="med"/>
                          </a:ln>
                        </wps:spPr>
                        <wps:bodyPr upright="1"/>
                      </wps:wsp>
                      <wps:wsp>
                        <wps:cNvPr id="47" name="文本框 47"/>
                        <wps:cNvSpPr txBox="1"/>
                        <wps:spPr>
                          <a:xfrm>
                            <a:off x="5535" y="2250"/>
                            <a:ext cx="1124"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78A119">
                              <w:pPr>
                                <w:jc w:val="center"/>
                                <w:rPr>
                                  <w:rFonts w:hint="eastAsia"/>
                                  <w:szCs w:val="21"/>
                                </w:rPr>
                              </w:pPr>
                              <w:r>
                                <w:rPr>
                                  <w:rFonts w:hint="eastAsia"/>
                                  <w:sz w:val="21"/>
                                  <w:szCs w:val="21"/>
                                </w:rPr>
                                <w:t>真空泵</w:t>
                              </w:r>
                            </w:p>
                          </w:txbxContent>
                        </wps:txbx>
                        <wps:bodyPr upright="1"/>
                      </wps:wsp>
                      <wps:wsp>
                        <wps:cNvPr id="48" name="文本框 48"/>
                        <wps:cNvSpPr txBox="1"/>
                        <wps:spPr>
                          <a:xfrm>
                            <a:off x="3225" y="2280"/>
                            <a:ext cx="1501"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E241672">
                              <w:pPr>
                                <w:jc w:val="center"/>
                                <w:rPr>
                                  <w:rFonts w:hint="eastAsia"/>
                                  <w:szCs w:val="21"/>
                                </w:rPr>
                              </w:pPr>
                              <w:r>
                                <w:rPr>
                                  <w:rFonts w:hint="eastAsia"/>
                                  <w:sz w:val="21"/>
                                  <w:szCs w:val="21"/>
                                </w:rPr>
                                <w:t>油气回收管</w:t>
                              </w:r>
                              <w:r>
                                <w:rPr>
                                  <w:rFonts w:hint="eastAsia"/>
                                  <w:szCs w:val="21"/>
                                </w:rPr>
                                <w:t>道</w:t>
                              </w:r>
                            </w:p>
                          </w:txbxContent>
                        </wps:txbx>
                        <wps:bodyPr upright="1"/>
                      </wps:wsp>
                      <wps:wsp>
                        <wps:cNvPr id="49" name="直接连接符 49"/>
                        <wps:cNvCnPr/>
                        <wps:spPr>
                          <a:xfrm rot="10800000">
                            <a:off x="568" y="2488"/>
                            <a:ext cx="2581" cy="12"/>
                          </a:xfrm>
                          <a:prstGeom prst="line">
                            <a:avLst/>
                          </a:prstGeom>
                          <a:ln w="19050" cap="flat" cmpd="sng">
                            <a:solidFill>
                              <a:srgbClr val="000000"/>
                            </a:solidFill>
                            <a:prstDash val="dash"/>
                            <a:headEnd type="none" w="med" len="med"/>
                            <a:tailEnd type="none" w="med" len="med"/>
                          </a:ln>
                        </wps:spPr>
                        <wps:bodyPr upright="1"/>
                      </wps:wsp>
                      <wps:wsp>
                        <wps:cNvPr id="50" name="直接连接符 50"/>
                        <wps:cNvCnPr/>
                        <wps:spPr>
                          <a:xfrm rot="10800000">
                            <a:off x="4772" y="2484"/>
                            <a:ext cx="644" cy="1"/>
                          </a:xfrm>
                          <a:prstGeom prst="line">
                            <a:avLst/>
                          </a:prstGeom>
                          <a:ln w="19050" cap="flat" cmpd="sng">
                            <a:solidFill>
                              <a:srgbClr val="000000"/>
                            </a:solidFill>
                            <a:prstDash val="dash"/>
                            <a:headEnd type="none" w="med" len="med"/>
                            <a:tailEnd type="triangle" w="med" len="med"/>
                          </a:ln>
                        </wps:spPr>
                        <wps:bodyPr upright="1"/>
                      </wps:wsp>
                      <wps:wsp>
                        <wps:cNvPr id="51" name="直接连接符 51"/>
                        <wps:cNvCnPr/>
                        <wps:spPr>
                          <a:xfrm rot="-5400000" flipV="1">
                            <a:off x="-499" y="1329"/>
                            <a:ext cx="1861" cy="1"/>
                          </a:xfrm>
                          <a:prstGeom prst="line">
                            <a:avLst/>
                          </a:prstGeom>
                          <a:ln w="19050" cap="flat" cmpd="sng">
                            <a:solidFill>
                              <a:srgbClr val="000000"/>
                            </a:solidFill>
                            <a:prstDash val="dash"/>
                            <a:headEnd type="none" w="med" len="med"/>
                            <a:tailEnd type="triangle" w="med" len="med"/>
                          </a:ln>
                        </wps:spPr>
                        <wps:bodyPr upright="1"/>
                      </wps:wsp>
                      <wps:wsp>
                        <wps:cNvPr id="52" name="直接连接符 52"/>
                        <wps:cNvCnPr/>
                        <wps:spPr>
                          <a:xfrm rot="5400000">
                            <a:off x="6213" y="1172"/>
                            <a:ext cx="2054" cy="1"/>
                          </a:xfrm>
                          <a:prstGeom prst="line">
                            <a:avLst/>
                          </a:prstGeom>
                          <a:ln w="19050" cap="flat" cmpd="sng">
                            <a:solidFill>
                              <a:srgbClr val="000000"/>
                            </a:solidFill>
                            <a:prstDash val="dash"/>
                            <a:headEnd type="none" w="med" len="med"/>
                            <a:tailEnd type="none" w="med" len="med"/>
                          </a:ln>
                        </wps:spPr>
                        <wps:bodyPr upright="1"/>
                      </wps:wsp>
                      <wpg:grpSp>
                        <wpg:cNvPr id="98" name="组合 98"/>
                        <wpg:cNvGrpSpPr/>
                        <wpg:grpSpPr>
                          <a:xfrm>
                            <a:off x="0" y="0"/>
                            <a:ext cx="7379" cy="1450"/>
                            <a:chOff x="0" y="0"/>
                            <a:chExt cx="7379" cy="1450"/>
                          </a:xfrm>
                        </wpg:grpSpPr>
                        <wps:wsp>
                          <wps:cNvPr id="53" name="直接连接符 53"/>
                          <wps:cNvCnPr/>
                          <wps:spPr>
                            <a:xfrm rot="10800000">
                              <a:off x="4802" y="1269"/>
                              <a:ext cx="644" cy="1"/>
                            </a:xfrm>
                            <a:prstGeom prst="line">
                              <a:avLst/>
                            </a:prstGeom>
                            <a:ln w="19050" cap="flat" cmpd="sng">
                              <a:solidFill>
                                <a:srgbClr val="000000"/>
                              </a:solidFill>
                              <a:prstDash val="solid"/>
                              <a:headEnd type="none" w="med" len="med"/>
                              <a:tailEnd type="triangle" w="med" len="med"/>
                            </a:ln>
                          </wps:spPr>
                          <wps:bodyPr upright="1"/>
                        </wps:wsp>
                        <wps:wsp>
                          <wps:cNvPr id="54" name="直接连接符 54"/>
                          <wps:cNvCnPr/>
                          <wps:spPr>
                            <a:xfrm>
                              <a:off x="4862" y="1450"/>
                              <a:ext cx="644" cy="1"/>
                            </a:xfrm>
                            <a:prstGeom prst="line">
                              <a:avLst/>
                            </a:prstGeom>
                            <a:ln w="19050" cap="flat" cmpd="sng">
                              <a:solidFill>
                                <a:srgbClr val="000000"/>
                              </a:solidFill>
                              <a:prstDash val="dash"/>
                              <a:headEnd type="none" w="med" len="med"/>
                              <a:tailEnd type="triangle" w="med" len="med"/>
                            </a:ln>
                          </wps:spPr>
                          <wps:bodyPr upright="1"/>
                        </wps:wsp>
                        <wps:wsp>
                          <wps:cNvPr id="55" name="文本框 55"/>
                          <wps:cNvSpPr txBox="1"/>
                          <wps:spPr>
                            <a:xfrm>
                              <a:off x="0" y="0"/>
                              <a:ext cx="1211"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B0809B">
                                <w:pPr>
                                  <w:rPr>
                                    <w:rFonts w:hint="eastAsia"/>
                                    <w:szCs w:val="21"/>
                                  </w:rPr>
                                </w:pPr>
                                <w:r>
                                  <w:rPr>
                                    <w:rFonts w:hint="eastAsia"/>
                                    <w:sz w:val="21"/>
                                    <w:szCs w:val="21"/>
                                  </w:rPr>
                                  <w:t>埋地油罐</w:t>
                                </w:r>
                                <w:r>
                                  <w:rPr>
                                    <w:rFonts w:hint="eastAsia"/>
                                    <w:szCs w:val="21"/>
                                  </w:rPr>
                                  <w:t>罐</w:t>
                                </w:r>
                              </w:p>
                            </w:txbxContent>
                          </wps:txbx>
                          <wps:bodyPr upright="1"/>
                        </wps:wsp>
                        <wps:wsp>
                          <wps:cNvPr id="56" name="直接连接符 56"/>
                          <wps:cNvCnPr/>
                          <wps:spPr>
                            <a:xfrm>
                              <a:off x="1221" y="232"/>
                              <a:ext cx="644" cy="1"/>
                            </a:xfrm>
                            <a:prstGeom prst="line">
                              <a:avLst/>
                            </a:prstGeom>
                            <a:ln w="19050" cap="flat" cmpd="sng">
                              <a:solidFill>
                                <a:srgbClr val="000000"/>
                              </a:solidFill>
                              <a:prstDash val="solid"/>
                              <a:headEnd type="none" w="med" len="med"/>
                              <a:tailEnd type="triangle" w="med" len="med"/>
                            </a:ln>
                          </wps:spPr>
                          <wps:bodyPr upright="1"/>
                        </wps:wsp>
                        <wps:wsp>
                          <wps:cNvPr id="81" name="文本框 81"/>
                          <wps:cNvSpPr txBox="1"/>
                          <wps:spPr>
                            <a:xfrm>
                              <a:off x="1905" y="15"/>
                              <a:ext cx="1004"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1C1826">
                                <w:pPr>
                                  <w:jc w:val="center"/>
                                  <w:rPr>
                                    <w:rFonts w:hint="eastAsia"/>
                                    <w:szCs w:val="21"/>
                                  </w:rPr>
                                </w:pPr>
                                <w:r>
                                  <w:rPr>
                                    <w:rFonts w:hint="eastAsia"/>
                                    <w:sz w:val="21"/>
                                    <w:szCs w:val="21"/>
                                  </w:rPr>
                                  <w:t>潜油泵</w:t>
                                </w:r>
                              </w:p>
                            </w:txbxContent>
                          </wps:txbx>
                          <wps:bodyPr upright="1"/>
                        </wps:wsp>
                        <wps:wsp>
                          <wps:cNvPr id="82" name="直接连接符 82"/>
                          <wps:cNvCnPr/>
                          <wps:spPr>
                            <a:xfrm>
                              <a:off x="2942" y="236"/>
                              <a:ext cx="644" cy="1"/>
                            </a:xfrm>
                            <a:prstGeom prst="line">
                              <a:avLst/>
                            </a:prstGeom>
                            <a:ln w="19050" cap="flat" cmpd="sng">
                              <a:solidFill>
                                <a:srgbClr val="000000"/>
                              </a:solidFill>
                              <a:prstDash val="solid"/>
                              <a:headEnd type="none" w="med" len="med"/>
                              <a:tailEnd type="triangle" w="med" len="med"/>
                            </a:ln>
                          </wps:spPr>
                          <wps:bodyPr upright="1"/>
                        </wps:wsp>
                        <wps:wsp>
                          <wps:cNvPr id="89" name="文本框 89"/>
                          <wps:cNvSpPr txBox="1"/>
                          <wps:spPr>
                            <a:xfrm>
                              <a:off x="3596" y="15"/>
                              <a:ext cx="1188" cy="46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9CA00A">
                                <w:pPr>
                                  <w:jc w:val="center"/>
                                  <w:rPr>
                                    <w:rFonts w:hint="eastAsia"/>
                                    <w:szCs w:val="21"/>
                                  </w:rPr>
                                </w:pPr>
                                <w:r>
                                  <w:rPr>
                                    <w:rFonts w:hint="eastAsia"/>
                                    <w:sz w:val="21"/>
                                    <w:szCs w:val="21"/>
                                  </w:rPr>
                                  <w:t>加油管</w:t>
                                </w:r>
                                <w:r>
                                  <w:rPr>
                                    <w:rFonts w:hint="eastAsia"/>
                                    <w:szCs w:val="21"/>
                                  </w:rPr>
                                  <w:t>道</w:t>
                                </w:r>
                              </w:p>
                            </w:txbxContent>
                          </wps:txbx>
                          <wps:bodyPr upright="1"/>
                        </wps:wsp>
                        <wps:wsp>
                          <wps:cNvPr id="90" name="直接连接符 90"/>
                          <wps:cNvCnPr/>
                          <wps:spPr>
                            <a:xfrm>
                              <a:off x="4838" y="233"/>
                              <a:ext cx="644" cy="1"/>
                            </a:xfrm>
                            <a:prstGeom prst="line">
                              <a:avLst/>
                            </a:prstGeom>
                            <a:ln w="19050" cap="flat" cmpd="sng">
                              <a:solidFill>
                                <a:srgbClr val="000000"/>
                              </a:solidFill>
                              <a:prstDash val="solid"/>
                              <a:headEnd type="none" w="med" len="med"/>
                              <a:tailEnd type="triangle" w="med" len="med"/>
                            </a:ln>
                          </wps:spPr>
                          <wps:bodyPr upright="1"/>
                        </wps:wsp>
                        <wps:wsp>
                          <wps:cNvPr id="94" name="文本框 94"/>
                          <wps:cNvSpPr txBox="1"/>
                          <wps:spPr>
                            <a:xfrm>
                              <a:off x="5505" y="15"/>
                              <a:ext cx="1154" cy="4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35B17BF">
                                <w:pPr>
                                  <w:ind w:left="-80" w:leftChars="-66" w:right="-179" w:rightChars="-64" w:hanging="105" w:hangingChars="50"/>
                                  <w:jc w:val="center"/>
                                  <w:rPr>
                                    <w:rFonts w:hint="eastAsia"/>
                                    <w:sz w:val="21"/>
                                    <w:szCs w:val="21"/>
                                  </w:rPr>
                                </w:pPr>
                                <w:r>
                                  <w:rPr>
                                    <w:rFonts w:hint="eastAsia"/>
                                    <w:sz w:val="21"/>
                                    <w:szCs w:val="21"/>
                                  </w:rPr>
                                  <w:t>加油机</w:t>
                                </w:r>
                              </w:p>
                            </w:txbxContent>
                          </wps:txbx>
                          <wps:bodyPr upright="1"/>
                        </wps:wsp>
                        <wps:wsp>
                          <wps:cNvPr id="95" name="直接连接符 95"/>
                          <wps:cNvCnPr/>
                          <wps:spPr>
                            <a:xfrm rot="5400000">
                              <a:off x="5502" y="666"/>
                              <a:ext cx="644" cy="1"/>
                            </a:xfrm>
                            <a:prstGeom prst="line">
                              <a:avLst/>
                            </a:prstGeom>
                            <a:ln w="19050" cap="flat" cmpd="sng">
                              <a:solidFill>
                                <a:srgbClr val="000000"/>
                              </a:solidFill>
                              <a:prstDash val="solid"/>
                              <a:headEnd type="none" w="med" len="med"/>
                              <a:tailEnd type="triangle" w="med" len="med"/>
                            </a:ln>
                          </wps:spPr>
                          <wps:bodyPr upright="1"/>
                        </wps:wsp>
                        <wps:wsp>
                          <wps:cNvPr id="96" name="直接连接符 96"/>
                          <wps:cNvCnPr/>
                          <wps:spPr>
                            <a:xfrm flipV="1">
                              <a:off x="6741" y="238"/>
                              <a:ext cx="638" cy="1"/>
                            </a:xfrm>
                            <a:prstGeom prst="line">
                              <a:avLst/>
                            </a:prstGeom>
                            <a:ln w="19050" cap="flat" cmpd="sng">
                              <a:solidFill>
                                <a:srgbClr val="000000"/>
                              </a:solidFill>
                              <a:prstDash val="dash"/>
                              <a:headEnd type="none" w="med" len="med"/>
                              <a:tailEnd type="none" w="med" len="med"/>
                            </a:ln>
                          </wps:spPr>
                          <wps:bodyPr upright="1"/>
                        </wps:wsp>
                        <wps:wsp>
                          <wps:cNvPr id="97" name="直接连接符 97"/>
                          <wps:cNvCnPr/>
                          <wps:spPr>
                            <a:xfrm rot="-5400000">
                              <a:off x="5712" y="651"/>
                              <a:ext cx="644" cy="1"/>
                            </a:xfrm>
                            <a:prstGeom prst="line">
                              <a:avLst/>
                            </a:prstGeom>
                            <a:ln w="19050" cap="flat" cmpd="sng">
                              <a:solidFill>
                                <a:srgbClr val="000000"/>
                              </a:solidFill>
                              <a:prstDash val="dash"/>
                              <a:headEnd type="none" w="med" len="med"/>
                              <a:tailEnd type="triangle" w="med" len="med"/>
                            </a:ln>
                          </wps:spPr>
                          <wps:bodyPr upright="1"/>
                        </wps:wsp>
                      </wpg:grpSp>
                    </wpg:wgp>
                  </a:graphicData>
                </a:graphic>
              </wp:anchor>
            </w:drawing>
          </mc:Choice>
          <mc:Fallback>
            <w:pict>
              <v:group id="_x0000_s1026" o:spid="_x0000_s1026" o:spt="203" style="position:absolute;left:0pt;margin-left:52.9pt;margin-top:4.4pt;height:128.25pt;width:353.3pt;z-index:251668480;mso-width-relative:page;mso-height-relative:page;" coordsize="7391,2746" o:gfxdata="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">
                <o:lock v:ext="edit" aspectratio="f"/>
                <v:shape id="_x0000_s1026" o:spid="_x0000_s1026" o:spt="202" type="#_x0000_t202" style="position:absolute;left:5535;top:1155;height:466;width:1124;" fillcolor="#FFFFFF" filled="t" stroked="t" coordsize="21600,21600" o:gfxdata="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cz2x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386C5926">
                        <w:pPr>
                          <w:jc w:val="center"/>
                          <w:rPr>
                            <w:rFonts w:hint="eastAsia"/>
                            <w:szCs w:val="21"/>
                          </w:rPr>
                        </w:pPr>
                        <w:r>
                          <w:rPr>
                            <w:rFonts w:hint="eastAsia"/>
                            <w:sz w:val="21"/>
                            <w:szCs w:val="21"/>
                          </w:rPr>
                          <w:t>加油枪</w:t>
                        </w:r>
                      </w:p>
                    </w:txbxContent>
                  </v:textbox>
                </v:shape>
                <v:shape id="_x0000_s1026" o:spid="_x0000_s1026" o:spt="202" type="#_x0000_t202" style="position:absolute;left:3509;top:1140;height:466;width:1220;"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A43C825">
                        <w:pPr>
                          <w:jc w:val="center"/>
                          <w:rPr>
                            <w:rFonts w:hint="eastAsia"/>
                            <w:szCs w:val="21"/>
                          </w:rPr>
                        </w:pPr>
                        <w:r>
                          <w:rPr>
                            <w:rFonts w:hint="eastAsia"/>
                            <w:sz w:val="21"/>
                            <w:szCs w:val="21"/>
                          </w:rPr>
                          <w:t>受油容器</w:t>
                        </w:r>
                      </w:p>
                    </w:txbxContent>
                  </v:textbox>
                </v:shape>
                <v:line id="_x0000_s1026" o:spid="_x0000_s1026" o:spt="20" style="position:absolute;left:6692;top:2454;height:1;width:644;rotation:11796480f;" filled="f" stroked="t" coordsize="21600,21600" o:gfxdata="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kiNou5AAAA2wAA&#10;AA8AAAAAAAAAAQAgAAAAIgAAAGRycy9kb3ducmV2LnhtbFBLAQIUABQAAAAIAIdO4kAzLwWeOwAA&#10;ADkAAAAQAAAAAAAAAAEAIAAAAAgBAABkcnMvc2hhcGV4bWwueG1sUEsFBgAAAAAGAAYAWwEAALID&#10;AAAAAA==&#10;">
                  <v:fill on="f" focussize="0,0"/>
                  <v:stroke weight="1.5pt" color="#000000" joinstyle="round" dashstyle="dash" endarrow="block"/>
                  <v:imagedata o:title=""/>
                  <o:lock v:ext="edit" aspectratio="f"/>
                </v:line>
                <v:shape id="_x0000_s1026" o:spid="_x0000_s1026" o:spt="202" type="#_x0000_t202" style="position:absolute;left:5535;top:2250;height:466;width:1124;" fillcolor="#FFFFFF" filled="t" stroked="t" coordsize="21600,21600" o:gfxdata="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R5os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678A119">
                        <w:pPr>
                          <w:jc w:val="center"/>
                          <w:rPr>
                            <w:rFonts w:hint="eastAsia"/>
                            <w:szCs w:val="21"/>
                          </w:rPr>
                        </w:pPr>
                        <w:r>
                          <w:rPr>
                            <w:rFonts w:hint="eastAsia"/>
                            <w:sz w:val="21"/>
                            <w:szCs w:val="21"/>
                          </w:rPr>
                          <w:t>真空泵</w:t>
                        </w:r>
                      </w:p>
                    </w:txbxContent>
                  </v:textbox>
                </v:shape>
                <v:shape id="_x0000_s1026" o:spid="_x0000_s1026" o:spt="202" type="#_x0000_t202" style="position:absolute;left:3225;top:2280;height:466;width:1501;" fillcolor="#FFFFFF" filled="t" stroked="t" coordsize="21600,21600" o:gfxdata="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UgfzC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0E241672">
                        <w:pPr>
                          <w:jc w:val="center"/>
                          <w:rPr>
                            <w:rFonts w:hint="eastAsia"/>
                            <w:szCs w:val="21"/>
                          </w:rPr>
                        </w:pPr>
                        <w:r>
                          <w:rPr>
                            <w:rFonts w:hint="eastAsia"/>
                            <w:sz w:val="21"/>
                            <w:szCs w:val="21"/>
                          </w:rPr>
                          <w:t>油气回收管</w:t>
                        </w:r>
                        <w:r>
                          <w:rPr>
                            <w:rFonts w:hint="eastAsia"/>
                            <w:szCs w:val="21"/>
                          </w:rPr>
                          <w:t>道</w:t>
                        </w:r>
                      </w:p>
                    </w:txbxContent>
                  </v:textbox>
                </v:shape>
                <v:line id="_x0000_s1026" o:spid="_x0000_s1026" o:spt="20" style="position:absolute;left:568;top:2488;height:12;width:2581;rotation:11796480f;" filled="f" stroked="t" coordsize="21600,21600" o:gfxdata="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jkJvQAA&#10;ANsAAAAPAAAAAAAAAAEAIAAAACIAAABkcnMvZG93bnJldi54bWxQSwECFAAUAAAACACHTuJAMy8F&#10;njsAAAA5AAAAEAAAAAAAAAABACAAAAAMAQAAZHJzL3NoYXBleG1sLnhtbFBLBQYAAAAABgAGAFsB&#10;AAC2AwAAAAA=&#10;">
                  <v:fill on="f" focussize="0,0"/>
                  <v:stroke weight="1.5pt" color="#000000" joinstyle="round" dashstyle="dash"/>
                  <v:imagedata o:title=""/>
                  <o:lock v:ext="edit" aspectratio="f"/>
                </v:line>
                <v:line id="_x0000_s1026" o:spid="_x0000_s1026" o:spt="20" style="position:absolute;left:4772;top:2484;height:1;width:644;rotation:11796480f;" filled="f" stroked="t" coordsize="21600,21600" o:gfxdata="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MXp25twAAANsAAAAP&#10;AAAAAAAAAAEAIAAAACIAAABkcnMvZG93bnJldi54bWxQSwECFAAUAAAACACHTuJAMy8FnjsAAAA5&#10;AAAAEAAAAAAAAAABACAAAAAGAQAAZHJzL3NoYXBleG1sLnhtbFBLBQYAAAAABgAGAFsBAACwAwAA&#10;AAA=&#10;">
                  <v:fill on="f" focussize="0,0"/>
                  <v:stroke weight="1.5pt" color="#000000" joinstyle="round" dashstyle="dash" endarrow="block"/>
                  <v:imagedata o:title=""/>
                  <o:lock v:ext="edit" aspectratio="f"/>
                </v:line>
                <v:line id="_x0000_s1026" o:spid="_x0000_s1026" o:spt="20" style="position:absolute;left:-499;top:1329;flip:y;height:1;width:1861;rotation:5898240f;" filled="f" stroked="t" coordsize="21600,21600" o:gfxdata="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9saSa8AAAA&#10;2wAAAA8AAAAAAAAAAQAgAAAAIgAAAGRycy9kb3ducmV2LnhtbFBLAQIUABQAAAAIAIdO4kAzLwWe&#10;OwAAADkAAAAQAAAAAAAAAAEAIAAAAAsBAABkcnMvc2hhcGV4bWwueG1sUEsFBgAAAAAGAAYAWwEA&#10;ALUDAAAAAA==&#10;">
                  <v:fill on="f" focussize="0,0"/>
                  <v:stroke weight="1.5pt" color="#000000" joinstyle="round" dashstyle="dash" endarrow="block"/>
                  <v:imagedata o:title=""/>
                  <o:lock v:ext="edit" aspectratio="f"/>
                </v:line>
                <v:line id="_x0000_s1026" o:spid="_x0000_s1026" o:spt="20" style="position:absolute;left:6213;top:1172;height:1;width:2054;rotation:5898240f;" filled="f" stroked="t" coordsize="21600,21600" o:gfxdata="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kM0a8AAAA&#10;2wAAAA8AAAAAAAAAAQAgAAAAIgAAAGRycy9kb3ducmV2LnhtbFBLAQIUABQAAAAIAIdO4kAzLwWe&#10;OwAAADkAAAAQAAAAAAAAAAEAIAAAAAsBAABkcnMvc2hhcGV4bWwueG1sUEsFBgAAAAAGAAYAWwEA&#10;ALUDAAAAAA==&#10;">
                  <v:fill on="f" focussize="0,0"/>
                  <v:stroke weight="1.5pt" color="#000000" joinstyle="round" dashstyle="dash"/>
                  <v:imagedata o:title=""/>
                  <o:lock v:ext="edit" aspectratio="f"/>
                </v:line>
                <v:group id="_x0000_s1026" o:spid="_x0000_s1026" o:spt="203" style="position:absolute;left:0;top:0;height:1450;width:7379;" coordsize="7379,1450"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line id="_x0000_s1026" o:spid="_x0000_s1026" o:spt="20" style="position:absolute;left:4802;top:1269;height:1;width:644;rotation:11796480f;" filled="f" stroked="t" coordsize="21600,21600" o:gfxdata="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Xfkr74A&#10;AADbAAAADwAAAAAAAAABACAAAAAiAAAAZHJzL2Rvd25yZXYueG1sUEsBAhQAFAAAAAgAh07iQDMv&#10;BZ47AAAAOQAAABAAAAAAAAAAAQAgAAAADQEAAGRycy9zaGFwZXhtbC54bWxQSwUGAAAAAAYABgBb&#10;AQAAtwMAAAAA&#10;">
                    <v:fill on="f" focussize="0,0"/>
                    <v:stroke weight="1.5pt" color="#000000" joinstyle="round" endarrow="block"/>
                    <v:imagedata o:title=""/>
                    <o:lock v:ext="edit" aspectratio="f"/>
                  </v:line>
                  <v:line id="_x0000_s1026" o:spid="_x0000_s1026" o:spt="20" style="position:absolute;left:4862;top:1450;height:1;width:644;" filled="f" stroked="t" coordsize="21600,21600" o:gfxdata="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jxh0L4A&#10;AADbAAAADwAAAAAAAAABACAAAAAiAAAAZHJzL2Rvd25yZXYueG1sUEsBAhQAFAAAAAgAh07iQDMv&#10;BZ47AAAAOQAAABAAAAAAAAAAAQAgAAAADQEAAGRycy9zaGFwZXhtbC54bWxQSwUGAAAAAAYABgBb&#10;AQAAtwMAAAAA&#10;">
                    <v:fill on="f" focussize="0,0"/>
                    <v:stroke weight="1.5pt" color="#000000" joinstyle="round" dashstyle="dash" endarrow="block"/>
                    <v:imagedata o:title=""/>
                    <o:lock v:ext="edit" aspectratio="f"/>
                  </v:line>
                  <v:shape id="_x0000_s1026" o:spid="_x0000_s1026" o:spt="202" type="#_x0000_t202" style="position:absolute;left:0;top:0;height:466;width:1211;" fillcolor="#FFFFFF" filled="t" stroked="t" coordsize="21600,21600" o:gfxdata="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F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3B0809B">
                          <w:pPr>
                            <w:rPr>
                              <w:rFonts w:hint="eastAsia"/>
                              <w:szCs w:val="21"/>
                            </w:rPr>
                          </w:pPr>
                          <w:r>
                            <w:rPr>
                              <w:rFonts w:hint="eastAsia"/>
                              <w:sz w:val="21"/>
                              <w:szCs w:val="21"/>
                            </w:rPr>
                            <w:t>埋地油罐</w:t>
                          </w:r>
                          <w:r>
                            <w:rPr>
                              <w:rFonts w:hint="eastAsia"/>
                              <w:szCs w:val="21"/>
                            </w:rPr>
                            <w:t>罐</w:t>
                          </w:r>
                        </w:p>
                      </w:txbxContent>
                    </v:textbox>
                  </v:shape>
                  <v:line id="_x0000_s1026" o:spid="_x0000_s1026" o:spt="20" style="position:absolute;left:1221;top:232;height:1;width:644;" filled="f" stroked="t" coordsize="21600,21600" o:gfxdata="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ipEW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shape id="_x0000_s1026" o:spid="_x0000_s1026" o:spt="202" type="#_x0000_t202" style="position:absolute;left:1905;top:15;height:466;width:1004;" fillcolor="#FFFFFF" filled="t" stroked="t" coordsize="21600,21600" o:gfxdata="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vx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01C1826">
                          <w:pPr>
                            <w:jc w:val="center"/>
                            <w:rPr>
                              <w:rFonts w:hint="eastAsia"/>
                              <w:szCs w:val="21"/>
                            </w:rPr>
                          </w:pPr>
                          <w:r>
                            <w:rPr>
                              <w:rFonts w:hint="eastAsia"/>
                              <w:sz w:val="21"/>
                              <w:szCs w:val="21"/>
                            </w:rPr>
                            <w:t>潜油泵</w:t>
                          </w:r>
                        </w:p>
                      </w:txbxContent>
                    </v:textbox>
                  </v:shape>
                  <v:line id="_x0000_s1026" o:spid="_x0000_s1026" o:spt="20" style="position:absolute;left:2942;top:236;height:1;width:644;" filled="f" stroked="t" coordsize="21600,21600" o:gfxdata="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mOAbsAAADb&#10;AAAADwAAAAAAAAABACAAAAAiAAAAZHJzL2Rvd25yZXYueG1sUEsBAhQAFAAAAAgAh07iQDMvBZ47&#10;AAAAOQAAABAAAAAAAAAAAQAgAAAACgEAAGRycy9zaGFwZXhtbC54bWxQSwUGAAAAAAYABgBbAQAA&#10;tAMAAAAA&#10;">
                    <v:fill on="f" focussize="0,0"/>
                    <v:stroke weight="1.5pt" color="#000000" joinstyle="round" endarrow="block"/>
                    <v:imagedata o:title=""/>
                    <o:lock v:ext="edit" aspectratio="f"/>
                  </v:line>
                  <v:shape id="_x0000_s1026" o:spid="_x0000_s1026" o:spt="202" type="#_x0000_t202" style="position:absolute;left:3596;top:15;height:466;width:1188;" fillcolor="#FFFFFF" filled="t" stroked="t" coordsize="21600,21600" o:gfxdata="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HTj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C9CA00A">
                          <w:pPr>
                            <w:jc w:val="center"/>
                            <w:rPr>
                              <w:rFonts w:hint="eastAsia"/>
                              <w:szCs w:val="21"/>
                            </w:rPr>
                          </w:pPr>
                          <w:r>
                            <w:rPr>
                              <w:rFonts w:hint="eastAsia"/>
                              <w:sz w:val="21"/>
                              <w:szCs w:val="21"/>
                            </w:rPr>
                            <w:t>加油管</w:t>
                          </w:r>
                          <w:r>
                            <w:rPr>
                              <w:rFonts w:hint="eastAsia"/>
                              <w:szCs w:val="21"/>
                            </w:rPr>
                            <w:t>道</w:t>
                          </w:r>
                        </w:p>
                      </w:txbxContent>
                    </v:textbox>
                  </v:shape>
                  <v:line id="_x0000_s1026" o:spid="_x0000_s1026" o:spt="20" style="position:absolute;left:4838;top:233;height:1;width:644;" filled="f" stroked="t" coordsize="21600,21600" o:gfxdata="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b4jMLgAAADbAAAA&#10;DwAAAAAAAAABACAAAAAiAAAAZHJzL2Rvd25yZXYueG1sUEsBAhQAFAAAAAgAh07iQDMvBZ47AAAA&#10;OQAAABAAAAAAAAAAAQAgAAAABwEAAGRycy9zaGFwZXhtbC54bWxQSwUGAAAAAAYABgBbAQAAsQMA&#10;AAAA&#10;">
                    <v:fill on="f" focussize="0,0"/>
                    <v:stroke weight="1.5pt" color="#000000" joinstyle="round" endarrow="block"/>
                    <v:imagedata o:title=""/>
                    <o:lock v:ext="edit" aspectratio="f"/>
                  </v:line>
                  <v:shape id="_x0000_s1026" o:spid="_x0000_s1026" o:spt="202" type="#_x0000_t202" style="position:absolute;left:5505;top:15;height:467;width:1154;" fillcolor="#FFFFFF" filled="t" stroked="t" coordsize="21600,21600" o:gfxdata="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6zag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35B17BF">
                          <w:pPr>
                            <w:ind w:left="-80" w:leftChars="-66" w:right="-179" w:rightChars="-64" w:hanging="105" w:hangingChars="50"/>
                            <w:jc w:val="center"/>
                            <w:rPr>
                              <w:rFonts w:hint="eastAsia"/>
                              <w:sz w:val="21"/>
                              <w:szCs w:val="21"/>
                            </w:rPr>
                          </w:pPr>
                          <w:r>
                            <w:rPr>
                              <w:rFonts w:hint="eastAsia"/>
                              <w:sz w:val="21"/>
                              <w:szCs w:val="21"/>
                            </w:rPr>
                            <w:t>加油机</w:t>
                          </w:r>
                        </w:p>
                      </w:txbxContent>
                    </v:textbox>
                  </v:shape>
                  <v:line id="_x0000_s1026" o:spid="_x0000_s1026" o:spt="20" style="position:absolute;left:5502;top:666;height:1;width:644;rotation:5898240f;" filled="f" stroked="t" coordsize="21600,21600" o:gfxdata="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53MJG8AAAA&#10;2wAAAA8AAAAAAAAAAQAgAAAAIgAAAGRycy9kb3ducmV2LnhtbFBLAQIUABQAAAAIAIdO4kAzLwWe&#10;OwAAADkAAAAQAAAAAAAAAAEAIAAAAAsBAABkcnMvc2hhcGV4bWwueG1sUEsFBgAAAAAGAAYAWwEA&#10;ALUDAAAAAA==&#10;">
                    <v:fill on="f" focussize="0,0"/>
                    <v:stroke weight="1.5pt" color="#000000" joinstyle="round" endarrow="block"/>
                    <v:imagedata o:title=""/>
                    <o:lock v:ext="edit" aspectratio="f"/>
                  </v:line>
                  <v:line id="_x0000_s1026" o:spid="_x0000_s1026" o:spt="20" style="position:absolute;left:6741;top:238;flip:y;height:1;width:638;" filled="f" stroked="t" coordsize="21600,21600" o:gfxdata="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JpgAvQAA&#10;ANsAAAAPAAAAAAAAAAEAIAAAACIAAABkcnMvZG93bnJldi54bWxQSwECFAAUAAAACACHTuJAMy8F&#10;njsAAAA5AAAAEAAAAAAAAAABACAAAAAMAQAAZHJzL3NoYXBleG1sLnhtbFBLBQYAAAAABgAGAFsB&#10;AAC2AwAAAAA=&#10;">
                    <v:fill on="f" focussize="0,0"/>
                    <v:stroke weight="1.5pt" color="#000000" joinstyle="round" dashstyle="dash"/>
                    <v:imagedata o:title=""/>
                    <o:lock v:ext="edit" aspectratio="f"/>
                  </v:line>
                  <v:line id="_x0000_s1026" o:spid="_x0000_s1026" o:spt="20" style="position:absolute;left:5712;top:651;height:1;width:644;rotation:-5898240f;" filled="f" stroked="t" coordsize="21600,21600" o:gfxdata="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b1U74A&#10;AADbAAAADwAAAAAAAAABACAAAAAiAAAAZHJzL2Rvd25yZXYueG1sUEsBAhQAFAAAAAgAh07iQDMv&#10;BZ47AAAAOQAAABAAAAAAAAAAAQAgAAAADQEAAGRycy9zaGFwZXhtbC54bWxQSwUGAAAAAAYABgBb&#10;AQAAtwMAAAAA&#10;">
                    <v:fill on="f" focussize="0,0"/>
                    <v:stroke weight="1.5pt" color="#000000" joinstyle="round" dashstyle="dash" endarrow="block"/>
                    <v:imagedata o:title=""/>
                    <o:lock v:ext="edit" aspectratio="f"/>
                  </v:line>
                </v:group>
              </v:group>
            </w:pict>
          </mc:Fallback>
        </mc:AlternateContent>
      </w:r>
    </w:p>
    <w:p w14:paraId="173BFD14">
      <w:pPr>
        <w:pStyle w:val="159"/>
        <w:ind w:firstLine="199" w:firstLineChars="95"/>
        <w:rPr>
          <w:rFonts w:hint="default" w:ascii="Times New Roman" w:hAnsi="Times New Roman" w:cs="Times New Roman"/>
          <w:b/>
          <w:bCs/>
          <w:color w:val="FF0000"/>
          <w:sz w:val="21"/>
          <w:szCs w:val="21"/>
        </w:rPr>
      </w:pPr>
      <w:r>
        <w:rPr>
          <w:rFonts w:hint="default" w:ascii="Times New Roman" w:hAnsi="Times New Roman" w:cs="Times New Roman"/>
          <w:color w:val="FF0000"/>
          <w:sz w:val="21"/>
          <w:szCs w:val="21"/>
        </w:rPr>
        <w:t xml:space="preserve">   </w:t>
      </w:r>
    </w:p>
    <w:p w14:paraId="42311564">
      <w:pPr>
        <w:pStyle w:val="159"/>
        <w:ind w:firstLine="843" w:firstLineChars="400"/>
        <w:rPr>
          <w:rFonts w:hint="default" w:ascii="Times New Roman" w:hAnsi="Times New Roman" w:cs="Times New Roman"/>
          <w:b/>
          <w:bCs/>
          <w:color w:val="FF0000"/>
          <w:sz w:val="21"/>
          <w:szCs w:val="21"/>
        </w:rPr>
      </w:pPr>
    </w:p>
    <w:p w14:paraId="3F76C64D">
      <w:pPr>
        <w:pStyle w:val="159"/>
        <w:ind w:firstLine="843" w:firstLineChars="400"/>
        <w:rPr>
          <w:rFonts w:hint="default" w:ascii="Times New Roman" w:hAnsi="Times New Roman" w:cs="Times New Roman"/>
          <w:b/>
          <w:bCs/>
          <w:color w:val="FF0000"/>
          <w:sz w:val="21"/>
          <w:szCs w:val="21"/>
        </w:rPr>
      </w:pPr>
    </w:p>
    <w:p w14:paraId="5798D52C">
      <w:pPr>
        <w:pStyle w:val="159"/>
        <w:ind w:firstLine="843" w:firstLineChars="400"/>
        <w:rPr>
          <w:rFonts w:hint="default" w:ascii="Times New Roman" w:hAnsi="Times New Roman" w:cs="Times New Roman"/>
          <w:b/>
          <w:bCs/>
          <w:color w:val="FF0000"/>
          <w:sz w:val="21"/>
          <w:szCs w:val="21"/>
        </w:rPr>
      </w:pPr>
    </w:p>
    <w:p w14:paraId="7649335D">
      <w:pPr>
        <w:pStyle w:val="159"/>
        <w:ind w:firstLine="843" w:firstLineChars="400"/>
        <w:rPr>
          <w:rFonts w:hint="default" w:ascii="Times New Roman" w:hAnsi="Times New Roman" w:cs="Times New Roman"/>
          <w:b/>
          <w:bCs/>
          <w:color w:val="FF0000"/>
          <w:sz w:val="21"/>
          <w:szCs w:val="21"/>
        </w:rPr>
      </w:pPr>
    </w:p>
    <w:p w14:paraId="71ECC161">
      <w:pPr>
        <w:pStyle w:val="159"/>
        <w:ind w:firstLine="843" w:firstLineChars="400"/>
        <w:rPr>
          <w:rFonts w:hint="default" w:ascii="Times New Roman" w:hAnsi="Times New Roman" w:cs="Times New Roman"/>
          <w:b/>
          <w:bCs/>
          <w:color w:val="FF0000"/>
          <w:sz w:val="21"/>
          <w:szCs w:val="21"/>
        </w:rPr>
      </w:pPr>
    </w:p>
    <w:p w14:paraId="625038CF">
      <w:pPr>
        <w:pStyle w:val="159"/>
        <w:ind w:firstLine="843" w:firstLineChars="400"/>
        <w:rPr>
          <w:rFonts w:hint="default" w:ascii="Times New Roman" w:hAnsi="Times New Roman" w:cs="Times New Roman"/>
          <w:b/>
          <w:bCs/>
          <w:color w:val="FF0000"/>
          <w:sz w:val="21"/>
          <w:szCs w:val="21"/>
        </w:rPr>
      </w:pPr>
    </w:p>
    <w:p w14:paraId="48718B5A">
      <w:pPr>
        <w:pStyle w:val="159"/>
        <w:ind w:firstLine="843" w:firstLineChars="400"/>
        <w:rPr>
          <w:rFonts w:hint="default" w:ascii="Times New Roman" w:hAnsi="Times New Roman" w:cs="Times New Roman"/>
          <w:b/>
          <w:bCs/>
          <w:color w:val="auto"/>
        </w:rPr>
      </w:pPr>
      <w:r>
        <w:rPr>
          <w:rFonts w:hint="default" w:ascii="Times New Roman" w:hAnsi="Times New Roman" w:cs="Times New Roman"/>
          <w:b/>
          <w:bCs/>
          <w:color w:val="auto"/>
          <w:sz w:val="21"/>
          <w:szCs w:val="21"/>
        </w:rPr>
        <w:t>注：虚线箭头表示油气回收工艺路线。</w:t>
      </w:r>
    </w:p>
    <w:p w14:paraId="0929FC2C">
      <w:pPr>
        <w:pStyle w:val="4"/>
        <w:spacing w:line="360" w:lineRule="auto"/>
        <w:jc w:val="both"/>
        <w:rPr>
          <w:rFonts w:hint="default" w:ascii="Times New Roman" w:hAnsi="Times New Roman" w:cs="Times New Roman"/>
          <w:color w:val="auto"/>
        </w:rPr>
      </w:pPr>
      <w:bookmarkStart w:id="133" w:name="_Toc298920849"/>
      <w:bookmarkStart w:id="134" w:name="_Toc2687"/>
      <w:bookmarkStart w:id="135" w:name="_Toc16072"/>
      <w:bookmarkStart w:id="136" w:name="_Toc18656"/>
      <w:bookmarkStart w:id="137" w:name="_Toc4161"/>
      <w:bookmarkStart w:id="138" w:name="_Toc6333"/>
      <w:bookmarkStart w:id="139" w:name="_Toc23251"/>
      <w:bookmarkStart w:id="140" w:name="_Toc9705"/>
      <w:bookmarkStart w:id="141" w:name="_Toc25161"/>
      <w:bookmarkStart w:id="142" w:name="_Toc32250"/>
      <w:bookmarkStart w:id="143" w:name="_Toc11799"/>
      <w:r>
        <w:rPr>
          <w:rFonts w:hint="default" w:ascii="Times New Roman" w:hAnsi="Times New Roman" w:cs="Times New Roman"/>
          <w:color w:val="auto"/>
        </w:rPr>
        <w:t>2.7主要</w:t>
      </w:r>
      <w:bookmarkEnd w:id="133"/>
      <w:r>
        <w:rPr>
          <w:rFonts w:hint="default" w:ascii="Times New Roman" w:hAnsi="Times New Roman" w:cs="Times New Roman"/>
          <w:color w:val="auto"/>
        </w:rPr>
        <w:t>设备</w:t>
      </w:r>
      <w:bookmarkEnd w:id="134"/>
      <w:bookmarkEnd w:id="135"/>
      <w:bookmarkEnd w:id="136"/>
      <w:bookmarkEnd w:id="137"/>
      <w:bookmarkEnd w:id="138"/>
      <w:bookmarkEnd w:id="139"/>
      <w:bookmarkEnd w:id="140"/>
      <w:bookmarkEnd w:id="141"/>
      <w:bookmarkEnd w:id="142"/>
      <w:bookmarkEnd w:id="143"/>
    </w:p>
    <w:p w14:paraId="4D13A40F">
      <w:pPr>
        <w:pStyle w:val="5"/>
        <w:spacing w:line="360" w:lineRule="auto"/>
        <w:ind w:left="0" w:leftChars="0" w:firstLine="0" w:firstLineChars="0"/>
        <w:rPr>
          <w:rFonts w:hint="default" w:ascii="Times New Roman" w:hAnsi="Times New Roman" w:cs="Times New Roman"/>
          <w:color w:val="auto"/>
        </w:rPr>
      </w:pPr>
      <w:bookmarkStart w:id="144" w:name="_Toc24573"/>
      <w:r>
        <w:rPr>
          <w:rFonts w:hint="default" w:ascii="Times New Roman" w:hAnsi="Times New Roman" w:cs="Times New Roman"/>
          <w:color w:val="auto"/>
        </w:rPr>
        <w:t>2.7.1主要设备</w:t>
      </w:r>
      <w:bookmarkEnd w:id="144"/>
    </w:p>
    <w:p w14:paraId="4302C070">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该加油站采用的主要设备见表2.7-1：</w:t>
      </w:r>
    </w:p>
    <w:p w14:paraId="02E8B7F8">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表2.7-1 主要设备情况</w:t>
      </w:r>
    </w:p>
    <w:tbl>
      <w:tblPr>
        <w:tblStyle w:val="48"/>
        <w:tblW w:w="905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719"/>
        <w:gridCol w:w="1744"/>
        <w:gridCol w:w="671"/>
        <w:gridCol w:w="687"/>
        <w:gridCol w:w="1634"/>
        <w:gridCol w:w="1919"/>
      </w:tblGrid>
      <w:tr w14:paraId="6BC2A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 w:hRule="exact"/>
          <w:tblHeader/>
        </w:trPr>
        <w:tc>
          <w:tcPr>
            <w:tcW w:w="679" w:type="dxa"/>
            <w:noWrap w:val="0"/>
            <w:vAlign w:val="center"/>
          </w:tcPr>
          <w:p w14:paraId="58719AC7">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bookmarkStart w:id="145" w:name="_Toc25784"/>
            <w:bookmarkStart w:id="146" w:name="_Toc495504960"/>
            <w:r>
              <w:rPr>
                <w:rFonts w:hint="default" w:ascii="Times New Roman" w:hAnsi="Times New Roman" w:eastAsia="宋体" w:cs="Times New Roman"/>
                <w:color w:val="auto"/>
                <w:sz w:val="21"/>
                <w:szCs w:val="21"/>
              </w:rPr>
              <w:t>序号</w:t>
            </w:r>
          </w:p>
        </w:tc>
        <w:tc>
          <w:tcPr>
            <w:tcW w:w="1719" w:type="dxa"/>
            <w:noWrap w:val="0"/>
            <w:vAlign w:val="center"/>
          </w:tcPr>
          <w:p w14:paraId="11F85882">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设备名称</w:t>
            </w:r>
          </w:p>
        </w:tc>
        <w:tc>
          <w:tcPr>
            <w:tcW w:w="1744" w:type="dxa"/>
            <w:noWrap w:val="0"/>
            <w:vAlign w:val="center"/>
          </w:tcPr>
          <w:p w14:paraId="4B1B2727">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规格型号</w:t>
            </w:r>
          </w:p>
        </w:tc>
        <w:tc>
          <w:tcPr>
            <w:tcW w:w="671" w:type="dxa"/>
            <w:noWrap w:val="0"/>
            <w:vAlign w:val="center"/>
          </w:tcPr>
          <w:p w14:paraId="5020AF84">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数量</w:t>
            </w:r>
          </w:p>
        </w:tc>
        <w:tc>
          <w:tcPr>
            <w:tcW w:w="687" w:type="dxa"/>
            <w:noWrap w:val="0"/>
            <w:vAlign w:val="center"/>
          </w:tcPr>
          <w:p w14:paraId="5D8C69FB">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w:t>
            </w:r>
          </w:p>
        </w:tc>
        <w:tc>
          <w:tcPr>
            <w:tcW w:w="1634" w:type="dxa"/>
            <w:noWrap w:val="0"/>
            <w:vAlign w:val="center"/>
          </w:tcPr>
          <w:p w14:paraId="1C78B25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生产厂家</w:t>
            </w:r>
          </w:p>
        </w:tc>
        <w:tc>
          <w:tcPr>
            <w:tcW w:w="1919" w:type="dxa"/>
            <w:noWrap w:val="0"/>
            <w:vAlign w:val="center"/>
          </w:tcPr>
          <w:p w14:paraId="1ABD102D">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 注</w:t>
            </w:r>
          </w:p>
        </w:tc>
      </w:tr>
      <w:tr w14:paraId="35682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exact"/>
        </w:trPr>
        <w:tc>
          <w:tcPr>
            <w:tcW w:w="679" w:type="dxa"/>
            <w:noWrap w:val="0"/>
            <w:vAlign w:val="center"/>
          </w:tcPr>
          <w:p w14:paraId="389CF4EF">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1719" w:type="dxa"/>
            <w:noWrap w:val="0"/>
            <w:vAlign w:val="center"/>
          </w:tcPr>
          <w:p w14:paraId="7359BFB0">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加油机</w:t>
            </w:r>
          </w:p>
        </w:tc>
        <w:tc>
          <w:tcPr>
            <w:tcW w:w="1744" w:type="dxa"/>
            <w:noWrap w:val="0"/>
            <w:vAlign w:val="center"/>
          </w:tcPr>
          <w:p w14:paraId="34128A87">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TH222A</w:t>
            </w:r>
          </w:p>
        </w:tc>
        <w:tc>
          <w:tcPr>
            <w:tcW w:w="671" w:type="dxa"/>
            <w:noWrap w:val="0"/>
            <w:vAlign w:val="center"/>
          </w:tcPr>
          <w:p w14:paraId="46F30B5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87" w:type="dxa"/>
            <w:noWrap w:val="0"/>
            <w:vAlign w:val="center"/>
          </w:tcPr>
          <w:p w14:paraId="055D071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台</w:t>
            </w:r>
          </w:p>
        </w:tc>
        <w:tc>
          <w:tcPr>
            <w:tcW w:w="1634" w:type="dxa"/>
            <w:noWrap w:val="0"/>
            <w:vAlign w:val="center"/>
          </w:tcPr>
          <w:p w14:paraId="66F46661">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托肯恒山科技(广州)有限公司</w:t>
            </w:r>
          </w:p>
        </w:tc>
        <w:tc>
          <w:tcPr>
            <w:tcW w:w="1919" w:type="dxa"/>
            <w:noWrap w:val="0"/>
            <w:vAlign w:val="center"/>
          </w:tcPr>
          <w:p w14:paraId="18E3C9CE">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流速4.5~45L/min，防爆等级为ExdeibmbⅡAT3Gb</w:t>
            </w:r>
          </w:p>
        </w:tc>
      </w:tr>
      <w:tr w14:paraId="547B0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79" w:type="dxa"/>
            <w:vMerge w:val="restart"/>
            <w:noWrap w:val="0"/>
            <w:vAlign w:val="center"/>
          </w:tcPr>
          <w:p w14:paraId="165A42D1">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1719" w:type="dxa"/>
            <w:vMerge w:val="restart"/>
            <w:noWrap w:val="0"/>
            <w:vAlign w:val="center"/>
          </w:tcPr>
          <w:p w14:paraId="54BD1749">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双层储油罐</w:t>
            </w:r>
          </w:p>
        </w:tc>
        <w:tc>
          <w:tcPr>
            <w:tcW w:w="1744" w:type="dxa"/>
            <w:noWrap w:val="0"/>
            <w:vAlign w:val="center"/>
          </w:tcPr>
          <w:p w14:paraId="70ECAF8D">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SF型30m3</w:t>
            </w:r>
          </w:p>
        </w:tc>
        <w:tc>
          <w:tcPr>
            <w:tcW w:w="671" w:type="dxa"/>
            <w:noWrap w:val="0"/>
            <w:vAlign w:val="center"/>
          </w:tcPr>
          <w:p w14:paraId="4D992C59">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 xml:space="preserve">1  </w:t>
            </w:r>
          </w:p>
        </w:tc>
        <w:tc>
          <w:tcPr>
            <w:tcW w:w="687" w:type="dxa"/>
            <w:vMerge w:val="restart"/>
            <w:noWrap w:val="0"/>
            <w:vAlign w:val="center"/>
          </w:tcPr>
          <w:p w14:paraId="6F6925D6">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个</w:t>
            </w:r>
          </w:p>
        </w:tc>
        <w:tc>
          <w:tcPr>
            <w:tcW w:w="1634" w:type="dxa"/>
            <w:vMerge w:val="restart"/>
            <w:noWrap w:val="0"/>
            <w:vAlign w:val="center"/>
          </w:tcPr>
          <w:p w14:paraId="0C5B772D">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江西省万隆实业有限公司</w:t>
            </w:r>
          </w:p>
        </w:tc>
        <w:tc>
          <w:tcPr>
            <w:tcW w:w="1919" w:type="dxa"/>
            <w:noWrap w:val="0"/>
            <w:vAlign w:val="center"/>
          </w:tcPr>
          <w:p w14:paraId="12331C29">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92#汽油</w:t>
            </w:r>
          </w:p>
        </w:tc>
      </w:tr>
      <w:tr w14:paraId="73C1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79" w:type="dxa"/>
            <w:vMerge w:val="continue"/>
            <w:noWrap w:val="0"/>
            <w:vAlign w:val="center"/>
          </w:tcPr>
          <w:p w14:paraId="7AAF15A4">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719" w:type="dxa"/>
            <w:vMerge w:val="continue"/>
            <w:noWrap w:val="0"/>
            <w:vAlign w:val="center"/>
          </w:tcPr>
          <w:p w14:paraId="7D6CF53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744" w:type="dxa"/>
            <w:noWrap w:val="0"/>
            <w:vAlign w:val="top"/>
          </w:tcPr>
          <w:p w14:paraId="2D2156EF">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SF型30m3</w:t>
            </w:r>
          </w:p>
        </w:tc>
        <w:tc>
          <w:tcPr>
            <w:tcW w:w="671" w:type="dxa"/>
            <w:noWrap w:val="0"/>
            <w:vAlign w:val="center"/>
          </w:tcPr>
          <w:p w14:paraId="7D69D869">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vMerge w:val="continue"/>
            <w:noWrap w:val="0"/>
            <w:vAlign w:val="center"/>
          </w:tcPr>
          <w:p w14:paraId="62C386AB">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634" w:type="dxa"/>
            <w:vMerge w:val="continue"/>
            <w:noWrap w:val="0"/>
            <w:vAlign w:val="center"/>
          </w:tcPr>
          <w:p w14:paraId="03291AE5">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919" w:type="dxa"/>
            <w:noWrap w:val="0"/>
            <w:vAlign w:val="top"/>
          </w:tcPr>
          <w:p w14:paraId="062A80D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95#汽油</w:t>
            </w:r>
          </w:p>
        </w:tc>
      </w:tr>
      <w:tr w14:paraId="4FF09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79" w:type="dxa"/>
            <w:vMerge w:val="continue"/>
            <w:noWrap w:val="0"/>
            <w:vAlign w:val="center"/>
          </w:tcPr>
          <w:p w14:paraId="02263A43">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719" w:type="dxa"/>
            <w:vMerge w:val="continue"/>
            <w:noWrap w:val="0"/>
            <w:vAlign w:val="center"/>
          </w:tcPr>
          <w:p w14:paraId="5095A23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744" w:type="dxa"/>
            <w:noWrap w:val="0"/>
            <w:vAlign w:val="top"/>
          </w:tcPr>
          <w:p w14:paraId="26298C8F">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SF型30m3</w:t>
            </w:r>
          </w:p>
        </w:tc>
        <w:tc>
          <w:tcPr>
            <w:tcW w:w="671" w:type="dxa"/>
            <w:noWrap w:val="0"/>
            <w:vAlign w:val="center"/>
          </w:tcPr>
          <w:p w14:paraId="08074A82">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vMerge w:val="continue"/>
            <w:noWrap w:val="0"/>
            <w:vAlign w:val="center"/>
          </w:tcPr>
          <w:p w14:paraId="5AD86B9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634" w:type="dxa"/>
            <w:vMerge w:val="continue"/>
            <w:noWrap w:val="0"/>
            <w:vAlign w:val="center"/>
          </w:tcPr>
          <w:p w14:paraId="3D9CE182">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c>
          <w:tcPr>
            <w:tcW w:w="1919" w:type="dxa"/>
            <w:noWrap w:val="0"/>
            <w:vAlign w:val="top"/>
          </w:tcPr>
          <w:p w14:paraId="53EA1301">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98#汽油</w:t>
            </w:r>
          </w:p>
        </w:tc>
      </w:tr>
      <w:tr w14:paraId="1058C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exact"/>
        </w:trPr>
        <w:tc>
          <w:tcPr>
            <w:tcW w:w="679" w:type="dxa"/>
            <w:noWrap w:val="0"/>
            <w:vAlign w:val="center"/>
          </w:tcPr>
          <w:p w14:paraId="1EF971B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1719" w:type="dxa"/>
            <w:noWrap w:val="0"/>
            <w:vAlign w:val="center"/>
          </w:tcPr>
          <w:p w14:paraId="69E10536">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液位仪</w:t>
            </w:r>
          </w:p>
        </w:tc>
        <w:tc>
          <w:tcPr>
            <w:tcW w:w="1744" w:type="dxa"/>
            <w:noWrap w:val="0"/>
            <w:vAlign w:val="center"/>
          </w:tcPr>
          <w:p w14:paraId="0B7C4B6F">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TLS4B</w:t>
            </w:r>
          </w:p>
        </w:tc>
        <w:tc>
          <w:tcPr>
            <w:tcW w:w="671" w:type="dxa"/>
            <w:noWrap w:val="0"/>
            <w:vAlign w:val="center"/>
          </w:tcPr>
          <w:p w14:paraId="1CD3BD9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noWrap w:val="0"/>
            <w:vAlign w:val="center"/>
          </w:tcPr>
          <w:p w14:paraId="4F14875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台</w:t>
            </w:r>
          </w:p>
        </w:tc>
        <w:tc>
          <w:tcPr>
            <w:tcW w:w="1634" w:type="dxa"/>
            <w:noWrap w:val="0"/>
            <w:vAlign w:val="center"/>
          </w:tcPr>
          <w:p w14:paraId="21BD2E5C">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维德路特</w:t>
            </w:r>
          </w:p>
        </w:tc>
        <w:tc>
          <w:tcPr>
            <w:tcW w:w="1919" w:type="dxa"/>
            <w:noWrap w:val="0"/>
            <w:vAlign w:val="center"/>
          </w:tcPr>
          <w:p w14:paraId="7EBB151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r>
      <w:tr w14:paraId="1984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exact"/>
        </w:trPr>
        <w:tc>
          <w:tcPr>
            <w:tcW w:w="679" w:type="dxa"/>
            <w:noWrap w:val="0"/>
            <w:vAlign w:val="center"/>
          </w:tcPr>
          <w:p w14:paraId="103D3AB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1719" w:type="dxa"/>
            <w:noWrap w:val="0"/>
            <w:vAlign w:val="center"/>
          </w:tcPr>
          <w:p w14:paraId="0D37D259">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泄漏检测仪</w:t>
            </w:r>
          </w:p>
        </w:tc>
        <w:tc>
          <w:tcPr>
            <w:tcW w:w="1744" w:type="dxa"/>
            <w:noWrap w:val="0"/>
            <w:vAlign w:val="center"/>
          </w:tcPr>
          <w:p w14:paraId="67B56AAF">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WT-LLD</w:t>
            </w:r>
          </w:p>
        </w:tc>
        <w:tc>
          <w:tcPr>
            <w:tcW w:w="671" w:type="dxa"/>
            <w:noWrap w:val="0"/>
            <w:vAlign w:val="center"/>
          </w:tcPr>
          <w:p w14:paraId="65681EAE">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noWrap w:val="0"/>
            <w:vAlign w:val="center"/>
          </w:tcPr>
          <w:p w14:paraId="40653B32">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套</w:t>
            </w:r>
          </w:p>
        </w:tc>
        <w:tc>
          <w:tcPr>
            <w:tcW w:w="1634" w:type="dxa"/>
            <w:noWrap w:val="0"/>
            <w:vAlign w:val="center"/>
          </w:tcPr>
          <w:p w14:paraId="7D40EB93">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青岛汇赢</w:t>
            </w:r>
          </w:p>
        </w:tc>
        <w:tc>
          <w:tcPr>
            <w:tcW w:w="1919" w:type="dxa"/>
            <w:noWrap w:val="0"/>
            <w:vAlign w:val="center"/>
          </w:tcPr>
          <w:p w14:paraId="3C2FD96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p>
        </w:tc>
      </w:tr>
      <w:tr w14:paraId="1CC97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exact"/>
        </w:trPr>
        <w:tc>
          <w:tcPr>
            <w:tcW w:w="679" w:type="dxa"/>
            <w:noWrap w:val="0"/>
            <w:vAlign w:val="center"/>
          </w:tcPr>
          <w:p w14:paraId="647A9B5B">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719" w:type="dxa"/>
            <w:noWrap w:val="0"/>
            <w:vAlign w:val="center"/>
          </w:tcPr>
          <w:p w14:paraId="510B48A0">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人体静电释放器</w:t>
            </w:r>
          </w:p>
        </w:tc>
        <w:tc>
          <w:tcPr>
            <w:tcW w:w="1744" w:type="dxa"/>
            <w:noWrap w:val="0"/>
            <w:vAlign w:val="center"/>
          </w:tcPr>
          <w:p w14:paraId="2CC5F548">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PX-PSA-SG</w:t>
            </w:r>
          </w:p>
        </w:tc>
        <w:tc>
          <w:tcPr>
            <w:tcW w:w="671" w:type="dxa"/>
            <w:noWrap w:val="0"/>
            <w:vAlign w:val="center"/>
          </w:tcPr>
          <w:p w14:paraId="3FE1987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noWrap w:val="0"/>
            <w:vAlign w:val="center"/>
          </w:tcPr>
          <w:p w14:paraId="3E5187EC">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台</w:t>
            </w:r>
          </w:p>
        </w:tc>
        <w:tc>
          <w:tcPr>
            <w:tcW w:w="1634" w:type="dxa"/>
            <w:noWrap w:val="0"/>
            <w:vAlign w:val="center"/>
          </w:tcPr>
          <w:p w14:paraId="7FBF24AB">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919" w:type="dxa"/>
            <w:noWrap w:val="0"/>
            <w:vAlign w:val="center"/>
          </w:tcPr>
          <w:p w14:paraId="32F510CC">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r>
      <w:tr w14:paraId="1943F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679" w:type="dxa"/>
            <w:noWrap w:val="0"/>
            <w:vAlign w:val="center"/>
          </w:tcPr>
          <w:p w14:paraId="7426CFF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1719" w:type="dxa"/>
            <w:noWrap w:val="0"/>
            <w:vAlign w:val="center"/>
          </w:tcPr>
          <w:p w14:paraId="43415B2C">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静电接地报警器</w:t>
            </w:r>
          </w:p>
        </w:tc>
        <w:tc>
          <w:tcPr>
            <w:tcW w:w="1744" w:type="dxa"/>
            <w:noWrap w:val="0"/>
            <w:vAlign w:val="center"/>
          </w:tcPr>
          <w:p w14:paraId="21F7B0BB">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PX-SGA</w:t>
            </w:r>
          </w:p>
        </w:tc>
        <w:tc>
          <w:tcPr>
            <w:tcW w:w="671" w:type="dxa"/>
            <w:noWrap w:val="0"/>
            <w:vAlign w:val="center"/>
          </w:tcPr>
          <w:p w14:paraId="5BCBC96E">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台</w:t>
            </w:r>
          </w:p>
        </w:tc>
        <w:tc>
          <w:tcPr>
            <w:tcW w:w="687" w:type="dxa"/>
            <w:noWrap w:val="0"/>
            <w:vAlign w:val="center"/>
          </w:tcPr>
          <w:p w14:paraId="0A3881A6">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634" w:type="dxa"/>
            <w:noWrap w:val="0"/>
            <w:vAlign w:val="center"/>
          </w:tcPr>
          <w:p w14:paraId="4879BC28">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徐州彭鑫自动化有限公司</w:t>
            </w:r>
          </w:p>
        </w:tc>
        <w:tc>
          <w:tcPr>
            <w:tcW w:w="1919" w:type="dxa"/>
            <w:noWrap w:val="0"/>
            <w:vAlign w:val="center"/>
          </w:tcPr>
          <w:p w14:paraId="47BF7C8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r>
      <w:tr w14:paraId="2B08B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79" w:type="dxa"/>
            <w:noWrap w:val="0"/>
            <w:vAlign w:val="center"/>
          </w:tcPr>
          <w:p w14:paraId="6F0E833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1719" w:type="dxa"/>
            <w:noWrap w:val="0"/>
            <w:vAlign w:val="center"/>
          </w:tcPr>
          <w:p w14:paraId="2904388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视频监控系统</w:t>
            </w:r>
          </w:p>
        </w:tc>
        <w:tc>
          <w:tcPr>
            <w:tcW w:w="1744" w:type="dxa"/>
            <w:noWrap w:val="0"/>
            <w:vAlign w:val="center"/>
          </w:tcPr>
          <w:p w14:paraId="7FB20B6D">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671" w:type="dxa"/>
            <w:noWrap w:val="0"/>
            <w:vAlign w:val="center"/>
          </w:tcPr>
          <w:p w14:paraId="01A129D6">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687" w:type="dxa"/>
            <w:noWrap w:val="0"/>
            <w:vAlign w:val="center"/>
          </w:tcPr>
          <w:p w14:paraId="42DE7AC5">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套</w:t>
            </w:r>
          </w:p>
        </w:tc>
        <w:tc>
          <w:tcPr>
            <w:tcW w:w="1634" w:type="dxa"/>
            <w:noWrap w:val="0"/>
            <w:vAlign w:val="center"/>
          </w:tcPr>
          <w:p w14:paraId="0A397D41">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919" w:type="dxa"/>
            <w:noWrap w:val="0"/>
            <w:vAlign w:val="center"/>
          </w:tcPr>
          <w:p w14:paraId="44DFCD2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p>
        </w:tc>
      </w:tr>
      <w:tr w14:paraId="081CD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trPr>
        <w:tc>
          <w:tcPr>
            <w:tcW w:w="679" w:type="dxa"/>
            <w:noWrap w:val="0"/>
            <w:vAlign w:val="center"/>
          </w:tcPr>
          <w:p w14:paraId="38B78437">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1719" w:type="dxa"/>
            <w:noWrap w:val="0"/>
            <w:vAlign w:val="center"/>
          </w:tcPr>
          <w:p w14:paraId="066BF818">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紧急切断按钮</w:t>
            </w:r>
          </w:p>
        </w:tc>
        <w:tc>
          <w:tcPr>
            <w:tcW w:w="1744" w:type="dxa"/>
            <w:noWrap w:val="0"/>
            <w:vAlign w:val="center"/>
          </w:tcPr>
          <w:p w14:paraId="19BECFFD">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671" w:type="dxa"/>
            <w:noWrap w:val="0"/>
            <w:vAlign w:val="center"/>
          </w:tcPr>
          <w:p w14:paraId="328F0CDF">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87" w:type="dxa"/>
            <w:noWrap w:val="0"/>
            <w:vAlign w:val="center"/>
          </w:tcPr>
          <w:p w14:paraId="2D6B4A66">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个</w:t>
            </w:r>
          </w:p>
        </w:tc>
        <w:tc>
          <w:tcPr>
            <w:tcW w:w="1634" w:type="dxa"/>
            <w:noWrap w:val="0"/>
            <w:vAlign w:val="center"/>
          </w:tcPr>
          <w:p w14:paraId="412C9FCF">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919" w:type="dxa"/>
            <w:noWrap w:val="0"/>
            <w:vAlign w:val="center"/>
          </w:tcPr>
          <w:p w14:paraId="76C57F0D">
            <w:pPr>
              <w:keepNext w:val="0"/>
              <w:keepLines w:val="0"/>
              <w:widowControl w:val="0"/>
              <w:suppressLineNumbers w:val="0"/>
              <w:spacing w:before="0" w:beforeAutospacing="0" w:after="0" w:afterAutospacing="0" w:line="240" w:lineRule="exact"/>
              <w:ind w:left="0" w:right="0"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位于收银台、站房外墙</w:t>
            </w:r>
          </w:p>
        </w:tc>
      </w:tr>
      <w:tr w14:paraId="14CD0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exact"/>
        </w:trPr>
        <w:tc>
          <w:tcPr>
            <w:tcW w:w="679" w:type="dxa"/>
            <w:noWrap w:val="0"/>
            <w:vAlign w:val="center"/>
          </w:tcPr>
          <w:p w14:paraId="035D9E4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1719" w:type="dxa"/>
            <w:noWrap w:val="0"/>
            <w:vAlign w:val="center"/>
          </w:tcPr>
          <w:p w14:paraId="29C0180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洗车机</w:t>
            </w:r>
          </w:p>
        </w:tc>
        <w:tc>
          <w:tcPr>
            <w:tcW w:w="1744" w:type="dxa"/>
            <w:noWrap w:val="0"/>
            <w:vAlign w:val="center"/>
          </w:tcPr>
          <w:p w14:paraId="458031EE">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671" w:type="dxa"/>
            <w:noWrap w:val="0"/>
            <w:vAlign w:val="center"/>
          </w:tcPr>
          <w:p w14:paraId="5038605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687" w:type="dxa"/>
            <w:noWrap w:val="0"/>
            <w:vAlign w:val="center"/>
          </w:tcPr>
          <w:p w14:paraId="085653C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座</w:t>
            </w:r>
          </w:p>
        </w:tc>
        <w:tc>
          <w:tcPr>
            <w:tcW w:w="1634" w:type="dxa"/>
            <w:noWrap w:val="0"/>
            <w:vAlign w:val="center"/>
          </w:tcPr>
          <w:p w14:paraId="37603E94">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w:t>
            </w:r>
          </w:p>
        </w:tc>
        <w:tc>
          <w:tcPr>
            <w:tcW w:w="1919" w:type="dxa"/>
            <w:noWrap w:val="0"/>
            <w:vAlign w:val="center"/>
          </w:tcPr>
          <w:p w14:paraId="58B6A39E">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自动型</w:t>
            </w:r>
          </w:p>
        </w:tc>
      </w:tr>
    </w:tbl>
    <w:p w14:paraId="6C20856C">
      <w:pPr>
        <w:pStyle w:val="5"/>
        <w:keepNext/>
        <w:keepLines/>
        <w:pageBreakBefore w:val="0"/>
        <w:widowControl/>
        <w:kinsoku/>
        <w:wordWrap/>
        <w:overflowPunct/>
        <w:topLinePunct w:val="0"/>
        <w:autoSpaceDE/>
        <w:autoSpaceDN/>
        <w:bidi w:val="0"/>
        <w:adjustRightInd/>
        <w:snapToGrid/>
        <w:spacing w:before="192" w:beforeLines="50" w:line="360" w:lineRule="auto"/>
        <w:ind w:left="0"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2.7.2主要装置和设施（设备）的布局及其上下游生产装置的关系</w:t>
      </w:r>
      <w:bookmarkEnd w:id="145"/>
    </w:p>
    <w:p w14:paraId="0EAC1E9D">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color w:val="auto"/>
        </w:rPr>
      </w:pPr>
      <w:r>
        <w:rPr>
          <w:rFonts w:hint="eastAsia"/>
          <w:color w:val="auto"/>
          <w:lang w:val="en-US" w:eastAsia="zh-CN"/>
        </w:rPr>
        <w:t>本项目</w:t>
      </w:r>
      <w:r>
        <w:rPr>
          <w:rFonts w:hint="eastAsia"/>
          <w:color w:val="auto"/>
        </w:rPr>
        <w:t>主要建构筑物有加油作业区、油品储罐区、站房（内</w:t>
      </w:r>
      <w:r>
        <w:rPr>
          <w:rFonts w:hint="eastAsia"/>
          <w:color w:val="auto"/>
          <w:lang w:val="en-US" w:eastAsia="zh-CN"/>
        </w:rPr>
        <w:t>设</w:t>
      </w:r>
      <w:r>
        <w:rPr>
          <w:rFonts w:hint="eastAsia"/>
          <w:color w:val="auto"/>
        </w:rPr>
        <w:t>便利店、办公室、配电间、</w:t>
      </w:r>
      <w:r>
        <w:rPr>
          <w:rFonts w:hint="eastAsia"/>
          <w:color w:val="auto"/>
          <w:lang w:val="en-US" w:eastAsia="zh-CN"/>
        </w:rPr>
        <w:t>值班室</w:t>
      </w:r>
      <w:r>
        <w:rPr>
          <w:rFonts w:hint="eastAsia"/>
          <w:color w:val="auto"/>
        </w:rPr>
        <w:t>等）、卸油区</w:t>
      </w:r>
      <w:r>
        <w:rPr>
          <w:rFonts w:hint="eastAsia"/>
          <w:color w:val="auto"/>
          <w:lang w:eastAsia="zh-CN"/>
        </w:rPr>
        <w:t>、</w:t>
      </w:r>
      <w:r>
        <w:rPr>
          <w:rFonts w:hint="eastAsia"/>
          <w:color w:val="auto"/>
          <w:lang w:val="en-US" w:eastAsia="zh-CN"/>
        </w:rPr>
        <w:t>油水池等</w:t>
      </w:r>
      <w:r>
        <w:rPr>
          <w:rFonts w:hint="eastAsia"/>
          <w:color w:val="auto"/>
        </w:rPr>
        <w:t>。站房布置在站内</w:t>
      </w:r>
      <w:r>
        <w:rPr>
          <w:rFonts w:hint="eastAsia"/>
          <w:color w:val="auto"/>
          <w:lang w:val="en-US" w:eastAsia="zh-CN"/>
        </w:rPr>
        <w:t>南部</w:t>
      </w:r>
      <w:r>
        <w:rPr>
          <w:rFonts w:hint="eastAsia"/>
          <w:color w:val="auto"/>
        </w:rPr>
        <w:t>区域，加油区设置在</w:t>
      </w:r>
      <w:r>
        <w:rPr>
          <w:rFonts w:hint="eastAsia"/>
          <w:color w:val="auto"/>
          <w:lang w:val="en-US" w:eastAsia="zh-CN"/>
        </w:rPr>
        <w:t>站房北侧</w:t>
      </w:r>
      <w:r>
        <w:rPr>
          <w:rFonts w:hint="eastAsia"/>
          <w:color w:val="auto"/>
        </w:rPr>
        <w:t>，油罐区设置在</w:t>
      </w:r>
      <w:r>
        <w:rPr>
          <w:rFonts w:hint="eastAsia"/>
          <w:color w:val="auto"/>
          <w:lang w:val="en-US" w:eastAsia="zh-CN"/>
        </w:rPr>
        <w:t>罩棚地底下，卸油区设置在站房南侧</w:t>
      </w:r>
      <w:r>
        <w:rPr>
          <w:rFonts w:hint="eastAsia"/>
          <w:color w:val="auto"/>
        </w:rPr>
        <w:t>，</w:t>
      </w:r>
      <w:r>
        <w:rPr>
          <w:rFonts w:hint="eastAsia"/>
          <w:color w:val="auto"/>
          <w:lang w:val="en-US" w:eastAsia="zh-CN"/>
        </w:rPr>
        <w:t>油水</w:t>
      </w:r>
      <w:r>
        <w:rPr>
          <w:rFonts w:hint="eastAsia"/>
          <w:color w:val="auto"/>
        </w:rPr>
        <w:t>池布置在</w:t>
      </w:r>
      <w:r>
        <w:rPr>
          <w:rFonts w:hint="eastAsia"/>
          <w:color w:val="auto"/>
          <w:lang w:val="en-US" w:eastAsia="zh-CN"/>
        </w:rPr>
        <w:t>站区西侧</w:t>
      </w:r>
      <w:r>
        <w:rPr>
          <w:rFonts w:hint="eastAsia"/>
          <w:color w:val="auto"/>
        </w:rPr>
        <w:t>。具体布局详见总平面布置图。</w:t>
      </w:r>
    </w:p>
    <w:p w14:paraId="3F34DA3F">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eastAsia="宋体"/>
          <w:color w:val="auto"/>
          <w:lang w:eastAsia="zh-CN"/>
        </w:rPr>
      </w:pPr>
      <w:r>
        <w:rPr>
          <w:rFonts w:hint="eastAsia"/>
          <w:color w:val="auto"/>
        </w:rPr>
        <w:t>本项目加油区提供汽车加油服务，根据道路的车流量、大小及站区地形，加油区设置了</w:t>
      </w:r>
      <w:r>
        <w:rPr>
          <w:rFonts w:hint="eastAsia"/>
          <w:color w:val="auto"/>
          <w:lang w:val="en-US" w:eastAsia="zh-CN"/>
        </w:rPr>
        <w:t>4</w:t>
      </w:r>
      <w:r>
        <w:rPr>
          <w:rFonts w:hint="eastAsia"/>
          <w:color w:val="auto"/>
        </w:rPr>
        <w:t>个加油岛及</w:t>
      </w:r>
      <w:r>
        <w:rPr>
          <w:rFonts w:hint="eastAsia"/>
          <w:color w:val="auto"/>
          <w:lang w:val="en-US" w:eastAsia="zh-CN"/>
        </w:rPr>
        <w:t>4</w:t>
      </w:r>
      <w:r>
        <w:rPr>
          <w:rFonts w:hint="eastAsia"/>
          <w:color w:val="auto"/>
        </w:rPr>
        <w:t>台</w:t>
      </w:r>
      <w:r>
        <w:rPr>
          <w:rFonts w:hint="eastAsia"/>
          <w:color w:val="auto"/>
          <w:lang w:val="en-US" w:eastAsia="zh-CN"/>
        </w:rPr>
        <w:t>四枪</w:t>
      </w:r>
      <w:r>
        <w:rPr>
          <w:rFonts w:hint="eastAsia"/>
          <w:color w:val="auto"/>
        </w:rPr>
        <w:t>加油机</w:t>
      </w:r>
      <w:r>
        <w:rPr>
          <w:rFonts w:hint="eastAsia"/>
          <w:color w:val="auto"/>
          <w:lang w:eastAsia="zh-CN"/>
        </w:rPr>
        <w:t>；</w:t>
      </w:r>
      <w:r>
        <w:rPr>
          <w:rFonts w:hint="eastAsia"/>
          <w:color w:val="auto"/>
        </w:rPr>
        <w:t>油罐区提供油品贮存，油品通过潜油泵将油品从油罐内吸出，然后通过加油机给汽车进行加油服务；站房靠近加油区设置，方便加油站的管理、经营；</w:t>
      </w:r>
      <w:r>
        <w:rPr>
          <w:rFonts w:hint="eastAsia"/>
          <w:color w:val="auto"/>
          <w:lang w:val="en-US" w:eastAsia="zh-CN"/>
        </w:rPr>
        <w:t>油水</w:t>
      </w:r>
      <w:r>
        <w:rPr>
          <w:rFonts w:hint="eastAsia"/>
          <w:color w:val="auto"/>
        </w:rPr>
        <w:t>池收集加油及卸油过程中可能产生油污，整个站区布置紧密、合理</w:t>
      </w:r>
      <w:r>
        <w:rPr>
          <w:rFonts w:hint="eastAsia"/>
          <w:color w:val="auto"/>
          <w:lang w:eastAsia="zh-CN"/>
        </w:rPr>
        <w:t>。</w:t>
      </w:r>
    </w:p>
    <w:bookmarkEnd w:id="146"/>
    <w:p w14:paraId="4371252F">
      <w:pPr>
        <w:pStyle w:val="4"/>
        <w:spacing w:line="360" w:lineRule="auto"/>
        <w:jc w:val="both"/>
        <w:rPr>
          <w:rFonts w:hint="default" w:ascii="Times New Roman" w:hAnsi="Times New Roman" w:cs="Times New Roman"/>
          <w:color w:val="auto"/>
        </w:rPr>
      </w:pPr>
      <w:bookmarkStart w:id="147" w:name="_Toc14133"/>
      <w:bookmarkStart w:id="148" w:name="_Toc3146"/>
      <w:bookmarkStart w:id="149" w:name="_Toc32516"/>
      <w:bookmarkStart w:id="150" w:name="_Toc32191"/>
      <w:bookmarkStart w:id="151" w:name="_Toc298920850"/>
      <w:bookmarkStart w:id="152" w:name="_Toc9591"/>
      <w:bookmarkStart w:id="153" w:name="_Toc8117"/>
      <w:bookmarkStart w:id="154" w:name="_Toc11168"/>
      <w:bookmarkStart w:id="155" w:name="_Toc31254"/>
      <w:bookmarkStart w:id="156" w:name="_Toc17696"/>
      <w:bookmarkStart w:id="157" w:name="_Toc6033"/>
      <w:r>
        <w:rPr>
          <w:rFonts w:hint="default" w:ascii="Times New Roman" w:hAnsi="Times New Roman" w:cs="Times New Roman"/>
          <w:color w:val="auto"/>
        </w:rPr>
        <w:t>2.8公用工程及辅助设施</w:t>
      </w:r>
      <w:bookmarkEnd w:id="147"/>
      <w:bookmarkEnd w:id="148"/>
      <w:bookmarkEnd w:id="149"/>
      <w:bookmarkEnd w:id="150"/>
      <w:bookmarkEnd w:id="151"/>
      <w:bookmarkEnd w:id="152"/>
      <w:bookmarkEnd w:id="153"/>
      <w:bookmarkEnd w:id="154"/>
      <w:bookmarkEnd w:id="155"/>
      <w:bookmarkEnd w:id="156"/>
      <w:bookmarkEnd w:id="157"/>
    </w:p>
    <w:p w14:paraId="34E97219">
      <w:pPr>
        <w:pStyle w:val="5"/>
        <w:spacing w:line="360" w:lineRule="auto"/>
        <w:ind w:left="0" w:leftChars="0" w:firstLine="0" w:firstLineChars="0"/>
        <w:rPr>
          <w:rFonts w:hint="default" w:ascii="Times New Roman" w:hAnsi="Times New Roman" w:cs="Times New Roman"/>
          <w:color w:val="auto"/>
        </w:rPr>
      </w:pPr>
      <w:bookmarkStart w:id="158" w:name="_Toc4208"/>
      <w:bookmarkStart w:id="159" w:name="_Toc2530"/>
      <w:r>
        <w:rPr>
          <w:rFonts w:hint="default" w:ascii="Times New Roman" w:hAnsi="Times New Roman" w:cs="Times New Roman"/>
          <w:color w:val="auto"/>
        </w:rPr>
        <w:t>2.8.1供水、排水</w:t>
      </w:r>
      <w:bookmarkEnd w:id="158"/>
      <w:r>
        <w:rPr>
          <w:rFonts w:hint="default" w:ascii="Times New Roman" w:hAnsi="Times New Roman" w:cs="Times New Roman"/>
          <w:color w:val="auto"/>
        </w:rPr>
        <w:t>系统</w:t>
      </w:r>
      <w:bookmarkEnd w:id="159"/>
    </w:p>
    <w:p w14:paraId="5708C82F">
      <w:pPr>
        <w:spacing w:line="360" w:lineRule="auto"/>
        <w:ind w:firstLine="560"/>
        <w:rPr>
          <w:color w:val="auto"/>
        </w:rPr>
      </w:pPr>
      <w:r>
        <w:rPr>
          <w:rFonts w:hint="eastAsia" w:ascii="Times New Roman" w:hAnsi="Times New Roman"/>
          <w:color w:val="auto"/>
        </w:rPr>
        <w:t>1</w:t>
      </w:r>
      <w:r>
        <w:rPr>
          <w:rFonts w:hint="eastAsia"/>
          <w:color w:val="auto"/>
        </w:rPr>
        <w:t>）给水</w:t>
      </w:r>
    </w:p>
    <w:p w14:paraId="0BAD3F78">
      <w:pPr>
        <w:spacing w:line="360" w:lineRule="auto"/>
        <w:ind w:firstLine="560"/>
        <w:rPr>
          <w:color w:val="auto"/>
        </w:rPr>
      </w:pPr>
      <w:r>
        <w:rPr>
          <w:rFonts w:hint="eastAsia"/>
          <w:color w:val="auto"/>
        </w:rPr>
        <w:t>该站生活用水来源</w:t>
      </w:r>
      <w:r>
        <w:rPr>
          <w:rFonts w:hint="eastAsia"/>
          <w:color w:val="auto"/>
          <w:lang w:val="en-US" w:eastAsia="zh-CN"/>
        </w:rPr>
        <w:t>采用</w:t>
      </w:r>
      <w:r>
        <w:rPr>
          <w:rFonts w:hint="eastAsia"/>
          <w:color w:val="auto"/>
        </w:rPr>
        <w:t>自来水供给。</w:t>
      </w:r>
    </w:p>
    <w:p w14:paraId="6F594FA1">
      <w:pPr>
        <w:spacing w:line="360" w:lineRule="auto"/>
        <w:ind w:firstLine="560"/>
        <w:rPr>
          <w:color w:val="auto"/>
        </w:rPr>
      </w:pPr>
      <w:r>
        <w:rPr>
          <w:rFonts w:hint="eastAsia"/>
          <w:color w:val="auto"/>
        </w:rPr>
        <w:t>该站在经营过程中用水量较小，主要是清洁卫生、生活用水。</w:t>
      </w:r>
      <w:r>
        <w:rPr>
          <w:rFonts w:hint="eastAsia"/>
          <w:color w:val="auto"/>
          <w:lang w:val="en-US" w:eastAsia="zh-CN"/>
        </w:rPr>
        <w:t>站内</w:t>
      </w:r>
      <w:r>
        <w:rPr>
          <w:rFonts w:hint="eastAsia"/>
          <w:color w:val="auto"/>
        </w:rPr>
        <w:t>清洁卫生、生活用水均来源于</w:t>
      </w:r>
      <w:r>
        <w:rPr>
          <w:rFonts w:hint="eastAsia"/>
          <w:color w:val="auto"/>
          <w:lang w:eastAsia="zh-CN"/>
        </w:rPr>
        <w:t>服务区给水管网</w:t>
      </w:r>
      <w:r>
        <w:rPr>
          <w:rFonts w:hint="eastAsia"/>
          <w:color w:val="auto"/>
        </w:rPr>
        <w:t>，可以满足项目用水的要求。</w:t>
      </w:r>
    </w:p>
    <w:p w14:paraId="04E08DED">
      <w:pPr>
        <w:spacing w:line="360" w:lineRule="auto"/>
        <w:ind w:firstLine="560"/>
        <w:rPr>
          <w:color w:val="auto"/>
        </w:rPr>
      </w:pPr>
      <w:r>
        <w:rPr>
          <w:rFonts w:hint="eastAsia" w:ascii="Times New Roman" w:hAnsi="Times New Roman"/>
          <w:color w:val="auto"/>
        </w:rPr>
        <w:t>2</w:t>
      </w:r>
      <w:r>
        <w:rPr>
          <w:rFonts w:hint="eastAsia"/>
          <w:color w:val="auto"/>
        </w:rPr>
        <w:t>）排水</w:t>
      </w:r>
    </w:p>
    <w:p w14:paraId="3C1FCAB5">
      <w:pPr>
        <w:spacing w:line="360" w:lineRule="auto"/>
        <w:ind w:firstLine="560"/>
        <w:rPr>
          <w:rFonts w:hint="eastAsia" w:ascii="Times New Roman" w:hAnsi="Times New Roman" w:eastAsia="宋体" w:cs="Times New Roman"/>
          <w:color w:val="auto"/>
        </w:rPr>
      </w:pPr>
      <w:bookmarkStart w:id="160" w:name="_Toc21977"/>
      <w:bookmarkStart w:id="161" w:name="_Toc19082"/>
      <w:r>
        <w:rPr>
          <w:rFonts w:hint="eastAsia" w:ascii="Times New Roman" w:hAnsi="Times New Roman" w:eastAsia="宋体" w:cs="Times New Roman"/>
          <w:color w:val="auto"/>
        </w:rPr>
        <w:t>该站设</w:t>
      </w:r>
      <w:r>
        <w:rPr>
          <w:rFonts w:hint="eastAsia" w:ascii="Times New Roman" w:hAnsi="Times New Roman" w:eastAsia="宋体" w:cs="Times New Roman"/>
          <w:color w:val="auto"/>
          <w:lang w:val="en-US" w:eastAsia="zh-CN"/>
        </w:rPr>
        <w:t>油水</w:t>
      </w:r>
      <w:r>
        <w:rPr>
          <w:rFonts w:hint="eastAsia" w:ascii="Times New Roman" w:hAnsi="Times New Roman" w:eastAsia="宋体" w:cs="Times New Roman"/>
          <w:color w:val="auto"/>
        </w:rPr>
        <w:t>池，污水先排入</w:t>
      </w:r>
      <w:r>
        <w:rPr>
          <w:rFonts w:hint="eastAsia" w:ascii="Times New Roman" w:hAnsi="Times New Roman" w:eastAsia="宋体" w:cs="Times New Roman"/>
          <w:color w:val="auto"/>
          <w:lang w:val="en-US" w:eastAsia="zh-CN"/>
        </w:rPr>
        <w:t>油水</w:t>
      </w:r>
      <w:r>
        <w:rPr>
          <w:rFonts w:hint="eastAsia" w:ascii="Times New Roman" w:hAnsi="Times New Roman" w:eastAsia="宋体" w:cs="Times New Roman"/>
          <w:color w:val="auto"/>
        </w:rPr>
        <w:t>池中，然后再向外排放。</w:t>
      </w:r>
      <w:r>
        <w:rPr>
          <w:rFonts w:hint="eastAsia" w:ascii="Times New Roman" w:hAnsi="Times New Roman" w:eastAsia="宋体" w:cs="Times New Roman"/>
          <w:color w:val="auto"/>
          <w:lang w:val="en-US" w:eastAsia="zh-CN"/>
        </w:rPr>
        <w:t>油水</w:t>
      </w:r>
      <w:r>
        <w:rPr>
          <w:rFonts w:hint="eastAsia" w:ascii="Times New Roman" w:hAnsi="Times New Roman" w:eastAsia="宋体" w:cs="Times New Roman"/>
          <w:color w:val="auto"/>
        </w:rPr>
        <w:t>池每月定期清理一次。</w:t>
      </w:r>
    </w:p>
    <w:p w14:paraId="42A41472">
      <w:pPr>
        <w:spacing w:line="360" w:lineRule="auto"/>
        <w:ind w:firstLine="560"/>
        <w:rPr>
          <w:rFonts w:hint="eastAsia" w:ascii="Times New Roman" w:hAnsi="Times New Roman" w:eastAsia="宋体" w:cs="Times New Roman"/>
          <w:color w:val="auto"/>
        </w:rPr>
      </w:pPr>
      <w:r>
        <w:rPr>
          <w:rFonts w:hint="eastAsia" w:ascii="Times New Roman" w:hAnsi="Times New Roman" w:eastAsia="宋体" w:cs="Times New Roman"/>
          <w:color w:val="auto"/>
        </w:rPr>
        <w:t>生活污水经化粪池处理后排入站外自然体系。</w:t>
      </w:r>
    </w:p>
    <w:p w14:paraId="30557642">
      <w:pPr>
        <w:spacing w:line="360" w:lineRule="auto"/>
        <w:ind w:firstLine="560"/>
        <w:rPr>
          <w:rFonts w:hint="eastAsia" w:ascii="Times New Roman" w:hAnsi="Times New Roman" w:eastAsia="宋体" w:cs="Times New Roman"/>
          <w:color w:val="auto"/>
        </w:rPr>
      </w:pPr>
      <w:r>
        <w:rPr>
          <w:rFonts w:hint="eastAsia" w:ascii="Times New Roman" w:hAnsi="Times New Roman" w:eastAsia="宋体" w:cs="Times New Roman"/>
          <w:color w:val="auto"/>
        </w:rPr>
        <w:t>油罐清洗由专业队伍进行，严禁私自清洗油罐，清洗油罐的污水，集中收集送至有关处理机构进行处理。</w:t>
      </w:r>
    </w:p>
    <w:p w14:paraId="22259CC1">
      <w:pPr>
        <w:pStyle w:val="5"/>
        <w:spacing w:line="360" w:lineRule="auto"/>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2.8.2供电</w:t>
      </w:r>
      <w:bookmarkEnd w:id="160"/>
      <w:bookmarkEnd w:id="161"/>
    </w:p>
    <w:p w14:paraId="110EE752">
      <w:pPr>
        <w:shd w:val="clear" w:color="auto" w:fill="auto"/>
        <w:spacing w:line="360" w:lineRule="auto"/>
        <w:ind w:firstLine="560" w:firstLineChars="200"/>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外接电源380V</w:t>
      </w:r>
      <w:r>
        <w:rPr>
          <w:rFonts w:hint="eastAsia" w:cs="Times New Roman"/>
          <w:color w:val="auto"/>
          <w:sz w:val="28"/>
          <w:szCs w:val="28"/>
          <w:lang w:val="en-US" w:eastAsia="zh-CN"/>
        </w:rPr>
        <w:t>/</w:t>
      </w:r>
      <w:r>
        <w:rPr>
          <w:rFonts w:hint="eastAsia" w:ascii="Times New Roman" w:hAnsi="Times New Roman" w:eastAsia="宋体" w:cs="Times New Roman"/>
          <w:color w:val="auto"/>
          <w:sz w:val="28"/>
          <w:szCs w:val="28"/>
        </w:rPr>
        <w:t>220V采用铠装电缆引至位于配电间的配电箱，设独立的计量装置。低压配电接地型式采用TN-S系统。工控设备、信息系统设置UPS电源。</w:t>
      </w:r>
    </w:p>
    <w:p w14:paraId="36075BF5">
      <w:pPr>
        <w:tabs>
          <w:tab w:val="left" w:pos="3465"/>
        </w:tabs>
        <w:spacing w:line="360" w:lineRule="auto"/>
        <w:ind w:firstLine="560" w:firstLineChars="200"/>
        <w:rPr>
          <w:rFonts w:ascii="Times New Roman" w:hAnsi="Times New Roman" w:cs="Times New Roman"/>
          <w:color w:val="auto"/>
          <w:sz w:val="28"/>
          <w:szCs w:val="28"/>
        </w:rPr>
      </w:pPr>
      <w:r>
        <w:rPr>
          <w:rFonts w:hint="eastAsia" w:ascii="Times New Roman" w:hAnsi="Times New Roman" w:eastAsia="宋体" w:cs="Times New Roman"/>
          <w:color w:val="auto"/>
          <w:sz w:val="28"/>
          <w:szCs w:val="28"/>
        </w:rPr>
        <w:t>照明采用高效节能灯具，罩棚下处于非爆炸危险区域的灯具选用防护等级不低于IP44级的照明灯具；加油站消防泵房、罩棚、营业室等处设应急照明，通气管爆炸区域内照明采用防爆型。应急照明灯均自带蓄电池。</w:t>
      </w:r>
    </w:p>
    <w:p w14:paraId="17036D20">
      <w:pPr>
        <w:tabs>
          <w:tab w:val="left" w:pos="3465"/>
        </w:tabs>
        <w:spacing w:line="360" w:lineRule="auto"/>
        <w:ind w:firstLine="560" w:firstLineChars="200"/>
        <w:rPr>
          <w:rFonts w:hint="eastAsia" w:ascii="Times New Roman" w:hAnsi="Times New Roman" w:cs="Times New Roman"/>
          <w:color w:val="auto"/>
          <w:sz w:val="28"/>
          <w:szCs w:val="28"/>
        </w:rPr>
      </w:pPr>
      <w:r>
        <w:rPr>
          <w:rFonts w:hint="eastAsia" w:ascii="Times New Roman" w:hAnsi="Times New Roman" w:cs="Times New Roman"/>
          <w:color w:val="auto"/>
          <w:sz w:val="28"/>
          <w:szCs w:val="28"/>
        </w:rPr>
        <w:t>本加油站用电负荷等级为三级，本次改造增加负荷较小，原有配电系统可以满足改造后用电需求。</w:t>
      </w:r>
    </w:p>
    <w:p w14:paraId="06CB922D">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color w:val="auto"/>
          <w:spacing w:val="0"/>
          <w:position w:val="0"/>
          <w:sz w:val="28"/>
        </w:rPr>
      </w:pPr>
      <w:r>
        <w:t>本站</w:t>
      </w:r>
      <w:r>
        <w:rPr>
          <w:rFonts w:hint="eastAsia"/>
          <w:lang w:val="en-US" w:eastAsia="zh-CN"/>
        </w:rPr>
        <w:t>设有</w:t>
      </w:r>
      <w:r>
        <w:t>紧急切断系统，站房内收银台及站房外墙分别设紧急断电按钮，共设置2个。加油机自带紧急切断按钮。在事故状态下时，工作人员可迅速按下按钮，切断加油机电源，停止潜油泵运转，避免事故的进一步扩大。事故紧急切断系统带失效保护功能，只能手动复位</w:t>
      </w:r>
      <w:r>
        <w:rPr>
          <w:rFonts w:hint="eastAsia"/>
          <w:color w:val="auto"/>
          <w:spacing w:val="0"/>
          <w:position w:val="0"/>
          <w:sz w:val="28"/>
        </w:rPr>
        <w:t>。</w:t>
      </w:r>
    </w:p>
    <w:p w14:paraId="2ACDE3BC">
      <w:pPr>
        <w:pStyle w:val="5"/>
        <w:snapToGrid w:val="0"/>
        <w:spacing w:line="360" w:lineRule="auto"/>
        <w:ind w:left="0" w:leftChars="0" w:firstLine="0" w:firstLineChars="0"/>
        <w:rPr>
          <w:rFonts w:hint="default" w:ascii="Times New Roman" w:hAnsi="Times New Roman" w:cs="Times New Roman"/>
          <w:color w:val="auto"/>
          <w:spacing w:val="0"/>
          <w:position w:val="0"/>
          <w:sz w:val="28"/>
        </w:rPr>
      </w:pPr>
      <w:bookmarkStart w:id="162" w:name="_Toc22554"/>
      <w:bookmarkStart w:id="163" w:name="_Toc32430"/>
      <w:r>
        <w:rPr>
          <w:rFonts w:hint="default" w:ascii="Times New Roman" w:hAnsi="Times New Roman" w:cs="Times New Roman"/>
          <w:color w:val="auto"/>
          <w:spacing w:val="0"/>
          <w:position w:val="0"/>
          <w:sz w:val="28"/>
        </w:rPr>
        <w:t>2.8.3消防</w:t>
      </w:r>
      <w:bookmarkEnd w:id="162"/>
      <w:r>
        <w:rPr>
          <w:rFonts w:hint="default" w:ascii="Times New Roman" w:hAnsi="Times New Roman" w:cs="Times New Roman"/>
          <w:color w:val="auto"/>
          <w:spacing w:val="0"/>
          <w:position w:val="0"/>
          <w:sz w:val="28"/>
        </w:rPr>
        <w:t>设施</w:t>
      </w:r>
      <w:bookmarkEnd w:id="163"/>
    </w:p>
    <w:p w14:paraId="1BF167F7">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spacing w:val="0"/>
          <w:kern w:val="0"/>
          <w:position w:val="0"/>
          <w:sz w:val="28"/>
          <w:szCs w:val="28"/>
          <w:lang w:bidi="ar"/>
        </w:rPr>
      </w:pPr>
      <w:r>
        <w:rPr>
          <w:color w:val="auto"/>
          <w:spacing w:val="0"/>
          <w:position w:val="0"/>
          <w:sz w:val="28"/>
        </w:rPr>
        <w:t>依据</w:t>
      </w:r>
      <w:r>
        <w:rPr>
          <w:color w:val="auto"/>
          <w:spacing w:val="0"/>
          <w:kern w:val="0"/>
          <w:position w:val="0"/>
          <w:sz w:val="28"/>
          <w:szCs w:val="28"/>
          <w:lang w:bidi="ar"/>
        </w:rPr>
        <w:t>《汽车加油加气加氢站技术标准》要求：</w:t>
      </w:r>
    </w:p>
    <w:p w14:paraId="310AD279">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firstLine="532"/>
        <w:textAlignment w:val="auto"/>
        <w:rPr>
          <w:color w:val="auto"/>
          <w:spacing w:val="0"/>
          <w:position w:val="0"/>
          <w:sz w:val="28"/>
        </w:rPr>
      </w:pPr>
      <w:r>
        <w:rPr>
          <w:color w:val="auto"/>
          <w:spacing w:val="0"/>
          <w:kern w:val="0"/>
          <w:position w:val="0"/>
          <w:sz w:val="28"/>
          <w:szCs w:val="28"/>
          <w:lang w:bidi="ar"/>
        </w:rPr>
        <w:t>加油站可不设消防给水系统，所以该加油站未设置消防给水系统。</w:t>
      </w:r>
    </w:p>
    <w:p w14:paraId="1E048503">
      <w:pPr>
        <w:keepNext w:val="0"/>
        <w:keepLines w:val="0"/>
        <w:pageBreakBefore w:val="0"/>
        <w:widowControl w:val="0"/>
        <w:numPr>
          <w:ilvl w:val="0"/>
          <w:numId w:val="9"/>
        </w:numPr>
        <w:kinsoku/>
        <w:wordWrap/>
        <w:overflowPunct/>
        <w:topLinePunct w:val="0"/>
        <w:autoSpaceDE/>
        <w:autoSpaceDN/>
        <w:bidi w:val="0"/>
        <w:adjustRightInd w:val="0"/>
        <w:snapToGrid w:val="0"/>
        <w:spacing w:line="360" w:lineRule="auto"/>
        <w:ind w:firstLine="532"/>
        <w:textAlignment w:val="auto"/>
        <w:rPr>
          <w:color w:val="auto"/>
          <w:spacing w:val="0"/>
          <w:kern w:val="0"/>
          <w:position w:val="0"/>
          <w:sz w:val="28"/>
          <w:szCs w:val="28"/>
          <w:lang w:bidi="ar"/>
        </w:rPr>
      </w:pPr>
      <w:r>
        <w:rPr>
          <w:color w:val="auto"/>
          <w:spacing w:val="0"/>
          <w:kern w:val="0"/>
          <w:position w:val="0"/>
          <w:sz w:val="28"/>
          <w:szCs w:val="28"/>
          <w:lang w:bidi="ar"/>
        </w:rPr>
        <w:t>在站内配置了相应的消防器材。</w:t>
      </w:r>
    </w:p>
    <w:p w14:paraId="30F36D29">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color w:val="auto"/>
          <w:spacing w:val="0"/>
          <w:position w:val="0"/>
          <w:sz w:val="28"/>
        </w:rPr>
      </w:pPr>
      <w:r>
        <w:rPr>
          <w:rFonts w:hint="eastAsia"/>
          <w:color w:val="auto"/>
          <w:spacing w:val="0"/>
          <w:position w:val="0"/>
          <w:sz w:val="28"/>
          <w:szCs w:val="28"/>
          <w:lang w:val="en-US" w:eastAsia="zh-CN"/>
        </w:rPr>
        <w:t>依据</w:t>
      </w:r>
      <w:r>
        <w:rPr>
          <w:rFonts w:hint="eastAsia"/>
          <w:color w:val="auto"/>
          <w:spacing w:val="0"/>
          <w:position w:val="0"/>
          <w:sz w:val="28"/>
          <w:szCs w:val="28"/>
        </w:rPr>
        <w:t>《汽车加油加气加氢站技术标准》</w:t>
      </w:r>
      <w:r>
        <w:rPr>
          <w:rFonts w:hint="eastAsia"/>
          <w:color w:val="auto"/>
          <w:spacing w:val="0"/>
          <w:position w:val="0"/>
          <w:sz w:val="28"/>
          <w:szCs w:val="28"/>
          <w:lang w:eastAsia="zh-CN"/>
        </w:rPr>
        <w:t>（</w:t>
      </w:r>
      <w:r>
        <w:rPr>
          <w:rFonts w:hint="eastAsia"/>
          <w:color w:val="auto"/>
          <w:spacing w:val="0"/>
          <w:position w:val="0"/>
          <w:sz w:val="28"/>
          <w:szCs w:val="28"/>
        </w:rPr>
        <w:t>GB50156-2021</w:t>
      </w:r>
      <w:r>
        <w:rPr>
          <w:rFonts w:hint="eastAsia"/>
          <w:color w:val="auto"/>
          <w:spacing w:val="0"/>
          <w:position w:val="0"/>
          <w:sz w:val="28"/>
          <w:szCs w:val="28"/>
          <w:lang w:eastAsia="zh-CN"/>
        </w:rPr>
        <w:t>）</w:t>
      </w:r>
      <w:r>
        <w:rPr>
          <w:rFonts w:hint="eastAsia"/>
          <w:color w:val="auto"/>
          <w:spacing w:val="0"/>
          <w:position w:val="0"/>
          <w:sz w:val="28"/>
          <w:szCs w:val="28"/>
        </w:rPr>
        <w:t>及《建筑灭火器配置设计规范》</w:t>
      </w:r>
      <w:r>
        <w:rPr>
          <w:rFonts w:hint="eastAsia"/>
          <w:color w:val="auto"/>
          <w:spacing w:val="0"/>
          <w:position w:val="0"/>
          <w:sz w:val="28"/>
          <w:szCs w:val="28"/>
          <w:lang w:eastAsia="zh-CN"/>
        </w:rPr>
        <w:t>（</w:t>
      </w:r>
      <w:r>
        <w:rPr>
          <w:rFonts w:hint="eastAsia"/>
          <w:color w:val="auto"/>
          <w:spacing w:val="0"/>
          <w:position w:val="0"/>
          <w:sz w:val="28"/>
          <w:szCs w:val="28"/>
        </w:rPr>
        <w:t>GB50140-2005</w:t>
      </w:r>
      <w:r>
        <w:rPr>
          <w:rFonts w:hint="eastAsia"/>
          <w:color w:val="auto"/>
          <w:spacing w:val="0"/>
          <w:position w:val="0"/>
          <w:sz w:val="28"/>
          <w:szCs w:val="28"/>
          <w:lang w:eastAsia="zh-CN"/>
        </w:rPr>
        <w:t>）</w:t>
      </w:r>
      <w:r>
        <w:rPr>
          <w:rFonts w:hint="eastAsia"/>
          <w:color w:val="auto"/>
          <w:spacing w:val="0"/>
          <w:position w:val="0"/>
          <w:sz w:val="28"/>
          <w:szCs w:val="28"/>
        </w:rPr>
        <w:t>，本项目灭火器材配置如下：</w:t>
      </w:r>
    </w:p>
    <w:p w14:paraId="6492FBA7">
      <w:pPr>
        <w:pStyle w:val="5"/>
        <w:shd w:val="clear"/>
        <w:spacing w:line="360" w:lineRule="auto"/>
        <w:ind w:left="0" w:leftChars="0" w:firstLine="560" w:firstLineChars="200"/>
        <w:rPr>
          <w:rFonts w:hint="default" w:ascii="Times New Roman" w:hAnsi="Times New Roman" w:eastAsia="宋体" w:cs="Times New Roman"/>
          <w:b w:val="0"/>
          <w:bCs w:val="0"/>
          <w:color w:val="auto"/>
          <w:spacing w:val="0"/>
          <w:kern w:val="2"/>
          <w:position w:val="0"/>
          <w:sz w:val="28"/>
          <w:szCs w:val="28"/>
          <w:lang w:val="en-US" w:eastAsia="zh-CN" w:bidi="ar-SA"/>
        </w:rPr>
      </w:pPr>
      <w:bookmarkStart w:id="164" w:name="_Toc6517"/>
      <w:bookmarkStart w:id="165" w:name="_Toc13571"/>
      <w:r>
        <w:rPr>
          <w:rFonts w:hint="default" w:ascii="Times New Roman" w:hAnsi="Times New Roman" w:eastAsia="宋体" w:cs="Times New Roman"/>
          <w:b w:val="0"/>
          <w:bCs w:val="0"/>
          <w:color w:val="auto"/>
          <w:spacing w:val="0"/>
          <w:kern w:val="2"/>
          <w:position w:val="0"/>
          <w:sz w:val="28"/>
          <w:szCs w:val="28"/>
          <w:lang w:val="en-US" w:eastAsia="zh-CN" w:bidi="ar-SA"/>
        </w:rPr>
        <w:t>35 kg推车式干粉灭火器1台；5kg手提式干粉灭火器8具；10kg手提式二氧化碳灭火器4具；灭火毯6块，2m</w:t>
      </w:r>
      <w:r>
        <w:rPr>
          <w:rFonts w:hint="default" w:ascii="Times New Roman" w:hAnsi="Times New Roman" w:eastAsia="宋体" w:cs="Times New Roman"/>
          <w:b w:val="0"/>
          <w:bCs w:val="0"/>
          <w:color w:val="auto"/>
          <w:spacing w:val="0"/>
          <w:kern w:val="2"/>
          <w:position w:val="0"/>
          <w:sz w:val="28"/>
          <w:szCs w:val="28"/>
          <w:vertAlign w:val="superscript"/>
          <w:lang w:val="en-US" w:eastAsia="zh-CN" w:bidi="ar-SA"/>
        </w:rPr>
        <w:t>3</w:t>
      </w:r>
      <w:r>
        <w:rPr>
          <w:rFonts w:hint="default" w:ascii="Times New Roman" w:hAnsi="Times New Roman" w:eastAsia="宋体" w:cs="Times New Roman"/>
          <w:b w:val="0"/>
          <w:bCs w:val="0"/>
          <w:color w:val="auto"/>
          <w:spacing w:val="0"/>
          <w:kern w:val="2"/>
          <w:position w:val="0"/>
          <w:sz w:val="28"/>
          <w:szCs w:val="28"/>
          <w:lang w:val="en-US" w:eastAsia="zh-CN" w:bidi="ar-SA"/>
        </w:rPr>
        <w:t>沙池一座（配套消防铲、消防桶）。</w:t>
      </w:r>
    </w:p>
    <w:p w14:paraId="2FEF467D">
      <w:pPr>
        <w:pStyle w:val="5"/>
        <w:shd w:val="clear"/>
        <w:spacing w:line="360" w:lineRule="auto"/>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2.8.4防雷、防静电概况</w:t>
      </w:r>
      <w:bookmarkEnd w:id="164"/>
      <w:bookmarkEnd w:id="165"/>
    </w:p>
    <w:p w14:paraId="2755DB38">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firstLine="560"/>
        <w:textAlignment w:val="auto"/>
        <w:rPr>
          <w:color w:val="auto"/>
        </w:rPr>
      </w:pPr>
      <w:bookmarkStart w:id="166" w:name="_Toc8682"/>
      <w:r>
        <w:rPr>
          <w:rFonts w:hint="default" w:ascii="Times New Roman" w:hAnsi="Times New Roman" w:cs="Times New Roman"/>
          <w:color w:val="auto"/>
        </w:rPr>
        <w:t>罩棚为二类防雷，罩棚采用</w:t>
      </w:r>
      <w:r>
        <w:rPr>
          <w:rFonts w:hint="default" w:ascii="Times New Roman" w:hAnsi="Times New Roman" w:cs="Times New Roman"/>
          <w:color w:val="auto"/>
          <w:lang w:val="en-US" w:eastAsia="zh-CN"/>
        </w:rPr>
        <w:t>接闪带</w:t>
      </w:r>
      <w:r>
        <w:rPr>
          <w:rFonts w:hint="default" w:ascii="Times New Roman" w:hAnsi="Times New Roman" w:cs="Times New Roman"/>
          <w:color w:val="auto"/>
        </w:rPr>
        <w:t>，接闪带采用热镀锌圆钢，与引下线焊</w:t>
      </w:r>
      <w:r>
        <w:rPr>
          <w:rFonts w:hint="eastAsia"/>
          <w:color w:val="auto"/>
        </w:rPr>
        <w:t>接；</w:t>
      </w:r>
      <w:r>
        <w:rPr>
          <w:rFonts w:hint="eastAsia"/>
          <w:color w:val="auto"/>
          <w:lang w:val="en-US" w:eastAsia="zh-CN"/>
        </w:rPr>
        <w:t>利用罩棚钢柱</w:t>
      </w:r>
      <w:r>
        <w:rPr>
          <w:rFonts w:hint="eastAsia"/>
          <w:color w:val="auto"/>
        </w:rPr>
        <w:t>做引下线，与接地网作可靠电气连接。</w:t>
      </w:r>
    </w:p>
    <w:p w14:paraId="6F0056BC">
      <w:pPr>
        <w:keepNext w:val="0"/>
        <w:keepLines w:val="0"/>
        <w:pageBreakBefore w:val="0"/>
        <w:widowControl w:val="0"/>
        <w:numPr>
          <w:ilvl w:val="0"/>
          <w:numId w:val="10"/>
        </w:numPr>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站房为</w:t>
      </w:r>
      <w:r>
        <w:rPr>
          <w:rFonts w:hint="eastAsia"/>
          <w:color w:val="auto"/>
          <w:lang w:val="en-US" w:eastAsia="zh-CN"/>
        </w:rPr>
        <w:t>二</w:t>
      </w:r>
      <w:r>
        <w:rPr>
          <w:rFonts w:hint="eastAsia"/>
          <w:color w:val="auto"/>
        </w:rPr>
        <w:t>类防雷，用热镀锌圆钢做接闪带，与钢筋混凝土立柱焊接，钢筋混凝土立柱内主钢筋做引下线（引下线采用绑</w:t>
      </w:r>
      <w:r>
        <w:rPr>
          <w:rFonts w:hint="eastAsia"/>
          <w:color w:val="auto"/>
          <w:lang w:eastAsia="zh-CN"/>
        </w:rPr>
        <w:t>接连</w:t>
      </w:r>
      <w:r>
        <w:rPr>
          <w:rFonts w:hint="eastAsia"/>
          <w:color w:val="auto"/>
        </w:rPr>
        <w:t>接），与接地网作可靠电气连接。</w:t>
      </w:r>
    </w:p>
    <w:p w14:paraId="6B028C5A">
      <w:pPr>
        <w:keepNext w:val="0"/>
        <w:keepLines w:val="0"/>
        <w:pageBreakBefore w:val="0"/>
        <w:widowControl w:val="0"/>
        <w:numPr>
          <w:ilvl w:val="0"/>
          <w:numId w:val="10"/>
        </w:numPr>
        <w:shd w:val="clear" w:fill="FFFFFF" w:themeFill="background1"/>
        <w:kinsoku/>
        <w:wordWrap/>
        <w:overflowPunct/>
        <w:topLinePunct w:val="0"/>
        <w:autoSpaceDE/>
        <w:autoSpaceDN/>
        <w:bidi w:val="0"/>
        <w:adjustRightInd/>
        <w:snapToGrid w:val="0"/>
        <w:spacing w:line="360" w:lineRule="auto"/>
        <w:ind w:firstLine="560"/>
        <w:textAlignment w:val="auto"/>
        <w:rPr>
          <w:rFonts w:hint="eastAsia"/>
          <w:color w:val="auto"/>
        </w:rPr>
      </w:pPr>
      <w:r>
        <w:rPr>
          <w:rFonts w:hint="eastAsia"/>
          <w:color w:val="auto"/>
        </w:rPr>
        <w:t>加油机、金属构架、地上或管沟敷设的油品管道的始端、末端、分支处及管道直线段每隔80</w:t>
      </w:r>
      <w:r>
        <w:rPr>
          <w:rFonts w:hint="eastAsia"/>
          <w:color w:val="auto"/>
          <w:lang w:val="en-US" w:eastAsia="zh-CN"/>
        </w:rPr>
        <w:t>~</w:t>
      </w:r>
      <w:r>
        <w:rPr>
          <w:rFonts w:hint="eastAsia"/>
          <w:color w:val="auto"/>
        </w:rPr>
        <w:t>100m等位置均接地。</w:t>
      </w:r>
    </w:p>
    <w:p w14:paraId="19FFDFCB">
      <w:pPr>
        <w:keepNext w:val="0"/>
        <w:keepLines w:val="0"/>
        <w:pageBreakBefore w:val="0"/>
        <w:widowControl w:val="0"/>
        <w:numPr>
          <w:ilvl w:val="0"/>
          <w:numId w:val="10"/>
        </w:numPr>
        <w:shd w:val="clear" w:fill="FFFFFF" w:themeFill="background1"/>
        <w:kinsoku/>
        <w:wordWrap/>
        <w:overflowPunct/>
        <w:topLinePunct w:val="0"/>
        <w:autoSpaceDE/>
        <w:autoSpaceDN/>
        <w:bidi w:val="0"/>
        <w:adjustRightInd/>
        <w:snapToGrid w:val="0"/>
        <w:spacing w:line="360" w:lineRule="auto"/>
        <w:ind w:firstLine="560"/>
        <w:textAlignment w:val="auto"/>
        <w:rPr>
          <w:rFonts w:hint="eastAsia"/>
          <w:color w:val="auto"/>
        </w:rPr>
      </w:pPr>
      <w:r>
        <w:rPr>
          <w:rFonts w:hint="eastAsia"/>
          <w:color w:val="auto"/>
        </w:rPr>
        <w:t>每个油罐至少两点与主接地干线连接，罐进油管始端接地，把接地支线引至操作井内（与油管、电缆保护管做电气连接）。油管与法兰、管道与管道之间的连接法兰均采用了铜片跨接。</w:t>
      </w:r>
    </w:p>
    <w:p w14:paraId="13EF30E1">
      <w:pPr>
        <w:keepNext w:val="0"/>
        <w:keepLines w:val="0"/>
        <w:pageBreakBefore w:val="0"/>
        <w:widowControl w:val="0"/>
        <w:numPr>
          <w:ilvl w:val="0"/>
          <w:numId w:val="10"/>
        </w:numPr>
        <w:shd w:val="clear" w:fill="FFFFFF" w:themeFill="background1"/>
        <w:kinsoku/>
        <w:wordWrap/>
        <w:overflowPunct/>
        <w:topLinePunct w:val="0"/>
        <w:autoSpaceDE/>
        <w:autoSpaceDN/>
        <w:bidi w:val="0"/>
        <w:adjustRightInd/>
        <w:snapToGrid w:val="0"/>
        <w:spacing w:line="360" w:lineRule="auto"/>
        <w:ind w:firstLine="560"/>
        <w:textAlignment w:val="auto"/>
        <w:rPr>
          <w:rFonts w:hint="eastAsia"/>
          <w:color w:val="auto"/>
        </w:rPr>
      </w:pPr>
      <w:r>
        <w:rPr>
          <w:rFonts w:hint="eastAsia"/>
          <w:color w:val="auto"/>
        </w:rPr>
        <w:t>通气管接入全站共用接地装置，不单独做防雷接地。</w:t>
      </w:r>
    </w:p>
    <w:p w14:paraId="09FAE3AE">
      <w:pPr>
        <w:keepNext w:val="0"/>
        <w:keepLines w:val="0"/>
        <w:pageBreakBefore w:val="0"/>
        <w:widowControl w:val="0"/>
        <w:numPr>
          <w:ilvl w:val="0"/>
          <w:numId w:val="10"/>
        </w:numPr>
        <w:shd w:val="clear" w:fill="FFFFFF" w:themeFill="background1"/>
        <w:kinsoku/>
        <w:wordWrap/>
        <w:overflowPunct/>
        <w:topLinePunct w:val="0"/>
        <w:autoSpaceDE/>
        <w:autoSpaceDN/>
        <w:bidi w:val="0"/>
        <w:adjustRightInd/>
        <w:snapToGrid w:val="0"/>
        <w:spacing w:line="360" w:lineRule="auto"/>
        <w:ind w:firstLine="560"/>
        <w:textAlignment w:val="auto"/>
        <w:rPr>
          <w:rFonts w:hint="eastAsia"/>
          <w:color w:val="auto"/>
        </w:rPr>
      </w:pPr>
      <w:r>
        <w:rPr>
          <w:rFonts w:hint="eastAsia"/>
          <w:color w:val="auto"/>
        </w:rPr>
        <w:t>高出罩棚或屋面的所有金属突出物均与接闪带可靠连接。</w:t>
      </w:r>
    </w:p>
    <w:p w14:paraId="66353CAE">
      <w:pPr>
        <w:keepNext w:val="0"/>
        <w:keepLines w:val="0"/>
        <w:pageBreakBefore w:val="0"/>
        <w:widowControl w:val="0"/>
        <w:numPr>
          <w:ilvl w:val="0"/>
          <w:numId w:val="10"/>
        </w:numPr>
        <w:shd w:val="clear"/>
        <w:kinsoku/>
        <w:wordWrap/>
        <w:overflowPunct/>
        <w:topLinePunct w:val="0"/>
        <w:autoSpaceDE/>
        <w:autoSpaceDN/>
        <w:bidi w:val="0"/>
        <w:adjustRightInd/>
        <w:snapToGrid w:val="0"/>
        <w:spacing w:line="360" w:lineRule="auto"/>
        <w:ind w:firstLine="560"/>
        <w:textAlignment w:val="auto"/>
        <w:rPr>
          <w:rFonts w:hint="eastAsia"/>
          <w:color w:val="auto"/>
        </w:rPr>
      </w:pPr>
      <w:r>
        <w:rPr>
          <w:rFonts w:hint="eastAsia"/>
          <w:color w:val="auto"/>
        </w:rPr>
        <w:t>加油站的油罐车卸车场地，设有卸车时用的防静电接地装置，并设置能检测跨接线及监视接地装置状态的静电接地仪。</w:t>
      </w:r>
    </w:p>
    <w:p w14:paraId="15A7CAAC">
      <w:pPr>
        <w:keepNext w:val="0"/>
        <w:keepLines w:val="0"/>
        <w:pageBreakBefore w:val="0"/>
        <w:widowControl w:val="0"/>
        <w:numPr>
          <w:ilvl w:val="0"/>
          <w:numId w:val="10"/>
        </w:numPr>
        <w:shd w:val="clear"/>
        <w:kinsoku/>
        <w:wordWrap/>
        <w:overflowPunct/>
        <w:topLinePunct w:val="0"/>
        <w:autoSpaceDE/>
        <w:autoSpaceDN/>
        <w:bidi w:val="0"/>
        <w:adjustRightInd/>
        <w:snapToGrid w:val="0"/>
        <w:spacing w:line="360" w:lineRule="auto"/>
        <w:ind w:firstLine="560"/>
        <w:textAlignment w:val="auto"/>
        <w:rPr>
          <w:rFonts w:ascii="Times New Roman" w:hAnsi="Times New Roman" w:cs="Times New Roman"/>
          <w:color w:val="auto"/>
          <w:sz w:val="28"/>
          <w:szCs w:val="28"/>
          <w:highlight w:val="yellow"/>
        </w:rPr>
      </w:pPr>
      <w:r>
        <w:rPr>
          <w:rFonts w:hint="eastAsia"/>
          <w:color w:val="auto"/>
        </w:rPr>
        <w:t>202</w:t>
      </w:r>
      <w:r>
        <w:rPr>
          <w:rFonts w:hint="eastAsia"/>
          <w:color w:val="auto"/>
          <w:lang w:val="en-US" w:eastAsia="zh-CN"/>
        </w:rPr>
        <w:t>5</w:t>
      </w:r>
      <w:r>
        <w:rPr>
          <w:rFonts w:hint="eastAsia"/>
          <w:color w:val="auto"/>
        </w:rPr>
        <w:t>年0</w:t>
      </w:r>
      <w:r>
        <w:rPr>
          <w:rFonts w:hint="eastAsia"/>
          <w:color w:val="auto"/>
          <w:lang w:val="en-US" w:eastAsia="zh-CN"/>
        </w:rPr>
        <w:t>4</w:t>
      </w:r>
      <w:r>
        <w:rPr>
          <w:rFonts w:hint="eastAsia"/>
          <w:color w:val="auto"/>
        </w:rPr>
        <w:t>月</w:t>
      </w:r>
      <w:r>
        <w:rPr>
          <w:rFonts w:hint="eastAsia"/>
          <w:color w:val="auto"/>
          <w:lang w:val="en-US" w:eastAsia="zh-CN"/>
        </w:rPr>
        <w:t>09</w:t>
      </w:r>
      <w:r>
        <w:rPr>
          <w:rFonts w:hint="eastAsia"/>
          <w:color w:val="auto"/>
        </w:rPr>
        <w:t>日</w:t>
      </w:r>
      <w:r>
        <w:rPr>
          <w:rFonts w:hint="eastAsia"/>
          <w:color w:val="auto"/>
          <w:lang w:eastAsia="zh-CN"/>
        </w:rPr>
        <w:t>，</w:t>
      </w:r>
      <w:r>
        <w:rPr>
          <w:rFonts w:hint="eastAsia"/>
          <w:color w:val="auto"/>
        </w:rPr>
        <w:t>该项目雷电防护装置</w:t>
      </w:r>
      <w:r>
        <w:rPr>
          <w:rFonts w:hint="eastAsia"/>
          <w:color w:val="auto"/>
          <w:lang w:val="en-US" w:eastAsia="zh-CN"/>
        </w:rPr>
        <w:t>经</w:t>
      </w:r>
      <w:r>
        <w:rPr>
          <w:rFonts w:hint="eastAsia"/>
          <w:color w:val="auto"/>
        </w:rPr>
        <w:t>江西赣象防雷检测中心有限公司</w:t>
      </w:r>
      <w:r>
        <w:rPr>
          <w:rFonts w:hint="eastAsia"/>
          <w:color w:val="auto"/>
          <w:lang w:val="en-US" w:eastAsia="zh-CN"/>
        </w:rPr>
        <w:t>宜春分公司</w:t>
      </w:r>
      <w:r>
        <w:rPr>
          <w:rFonts w:hint="eastAsia"/>
          <w:color w:val="auto"/>
        </w:rPr>
        <w:t>检测合格，并出具了江西省雷电防护装置检测报告，报告编号：11520170</w:t>
      </w:r>
      <w:r>
        <w:rPr>
          <w:rFonts w:hint="eastAsia" w:ascii="Times New Roman" w:hAnsi="Times New Roman" w:cs="Times New Roman"/>
          <w:color w:val="auto"/>
          <w:sz w:val="28"/>
          <w:szCs w:val="28"/>
          <w:highlight w:val="none"/>
        </w:rPr>
        <w:t>05雷检字[202</w:t>
      </w:r>
      <w:r>
        <w:rPr>
          <w:rFonts w:hint="eastAsia" w:ascii="Times New Roman" w:hAnsi="Times New Roman" w:cs="Times New Roman"/>
          <w:color w:val="auto"/>
          <w:sz w:val="28"/>
          <w:szCs w:val="28"/>
          <w:highlight w:val="none"/>
          <w:lang w:val="en-US" w:eastAsia="zh-CN"/>
        </w:rPr>
        <w:t>5</w:t>
      </w:r>
      <w:r>
        <w:rPr>
          <w:rFonts w:hint="eastAsia" w:ascii="Times New Roman" w:hAnsi="Times New Roman" w:cs="Times New Roman"/>
          <w:color w:val="auto"/>
          <w:sz w:val="28"/>
          <w:szCs w:val="28"/>
          <w:highlight w:val="none"/>
        </w:rPr>
        <w:t>]</w:t>
      </w:r>
      <w:r>
        <w:rPr>
          <w:rFonts w:hint="eastAsia" w:ascii="Times New Roman" w:hAnsi="Times New Roman" w:cs="Times New Roman"/>
          <w:color w:val="auto"/>
          <w:sz w:val="28"/>
          <w:szCs w:val="28"/>
          <w:highlight w:val="none"/>
          <w:lang w:val="en-US" w:eastAsia="zh-CN"/>
        </w:rPr>
        <w:t>30010019</w:t>
      </w:r>
      <w:r>
        <w:rPr>
          <w:rFonts w:hint="eastAsia" w:ascii="Times New Roman" w:hAnsi="Times New Roman" w:cs="Times New Roman"/>
          <w:color w:val="auto"/>
          <w:sz w:val="28"/>
          <w:szCs w:val="28"/>
          <w:highlight w:val="none"/>
          <w:lang w:eastAsia="zh-CN"/>
        </w:rPr>
        <w:t>，</w:t>
      </w:r>
      <w:r>
        <w:rPr>
          <w:rFonts w:ascii="Times New Roman" w:hAnsi="Times New Roman" w:cs="Times New Roman"/>
          <w:color w:val="auto"/>
          <w:sz w:val="28"/>
          <w:szCs w:val="28"/>
          <w:highlight w:val="none"/>
        </w:rPr>
        <w:t>报告有效期至202</w:t>
      </w:r>
      <w:r>
        <w:rPr>
          <w:rFonts w:hint="eastAsia" w:ascii="Times New Roman" w:hAnsi="Times New Roman" w:cs="Times New Roman"/>
          <w:color w:val="auto"/>
          <w:sz w:val="28"/>
          <w:szCs w:val="28"/>
          <w:highlight w:val="none"/>
          <w:lang w:val="en-US" w:eastAsia="zh-CN"/>
        </w:rPr>
        <w:t>5</w:t>
      </w:r>
      <w:r>
        <w:rPr>
          <w:rFonts w:ascii="Times New Roman" w:hAnsi="Times New Roman" w:cs="Times New Roman"/>
          <w:color w:val="auto"/>
          <w:sz w:val="28"/>
          <w:szCs w:val="28"/>
          <w:highlight w:val="none"/>
        </w:rPr>
        <w:t>年</w:t>
      </w:r>
      <w:r>
        <w:rPr>
          <w:rFonts w:hint="eastAsia" w:ascii="Times New Roman" w:hAnsi="Times New Roman" w:cs="Times New Roman"/>
          <w:color w:val="auto"/>
          <w:sz w:val="28"/>
          <w:szCs w:val="28"/>
          <w:highlight w:val="none"/>
          <w:lang w:val="en-US" w:eastAsia="zh-CN"/>
        </w:rPr>
        <w:t>10</w:t>
      </w:r>
      <w:r>
        <w:rPr>
          <w:rFonts w:ascii="Times New Roman" w:hAnsi="Times New Roman" w:cs="Times New Roman"/>
          <w:color w:val="auto"/>
          <w:sz w:val="28"/>
          <w:szCs w:val="28"/>
          <w:highlight w:val="none"/>
        </w:rPr>
        <w:t>月</w:t>
      </w:r>
      <w:r>
        <w:rPr>
          <w:rFonts w:hint="eastAsia" w:ascii="Times New Roman" w:hAnsi="Times New Roman" w:cs="Times New Roman"/>
          <w:color w:val="auto"/>
          <w:sz w:val="28"/>
          <w:szCs w:val="28"/>
          <w:highlight w:val="none"/>
          <w:lang w:val="en-US" w:eastAsia="zh-CN"/>
        </w:rPr>
        <w:t>9</w:t>
      </w:r>
      <w:r>
        <w:rPr>
          <w:rFonts w:ascii="Times New Roman" w:hAnsi="Times New Roman" w:cs="Times New Roman"/>
          <w:color w:val="auto"/>
          <w:sz w:val="28"/>
          <w:szCs w:val="28"/>
          <w:highlight w:val="none"/>
        </w:rPr>
        <w:t>日</w:t>
      </w:r>
      <w:r>
        <w:rPr>
          <w:rFonts w:hint="eastAsia" w:ascii="Times New Roman" w:hAnsi="Times New Roman" w:cs="Times New Roman"/>
          <w:color w:val="auto"/>
          <w:sz w:val="28"/>
          <w:szCs w:val="28"/>
          <w:highlight w:val="none"/>
          <w:lang w:eastAsia="zh-CN"/>
        </w:rPr>
        <w:t>，</w:t>
      </w:r>
      <w:r>
        <w:rPr>
          <w:rFonts w:hint="eastAsia" w:ascii="Times New Roman" w:hAnsi="Times New Roman" w:cs="Times New Roman"/>
          <w:color w:val="auto"/>
          <w:sz w:val="28"/>
          <w:szCs w:val="28"/>
          <w:highlight w:val="none"/>
          <w:lang w:val="en-US" w:eastAsia="zh-CN"/>
        </w:rPr>
        <w:t>详见附件</w:t>
      </w:r>
      <w:r>
        <w:rPr>
          <w:rFonts w:ascii="Times New Roman" w:hAnsi="Times New Roman" w:cs="Times New Roman"/>
          <w:color w:val="auto"/>
          <w:sz w:val="28"/>
          <w:szCs w:val="28"/>
          <w:highlight w:val="none"/>
        </w:rPr>
        <w:t>。</w:t>
      </w:r>
    </w:p>
    <w:p w14:paraId="34B8C664">
      <w:pPr>
        <w:pStyle w:val="5"/>
        <w:widowControl/>
        <w:spacing w:line="360" w:lineRule="auto"/>
        <w:ind w:left="0" w:leftChars="0" w:firstLine="0" w:firstLineChars="0"/>
        <w:rPr>
          <w:rFonts w:hint="default" w:ascii="Times New Roman" w:hAnsi="Times New Roman" w:eastAsia="黑体" w:cs="Times New Roman"/>
          <w:b/>
          <w:bCs/>
          <w:color w:val="auto"/>
          <w:kern w:val="2"/>
          <w:sz w:val="28"/>
          <w:szCs w:val="28"/>
        </w:rPr>
      </w:pPr>
      <w:r>
        <w:rPr>
          <w:rFonts w:hint="default" w:ascii="Times New Roman" w:hAnsi="Times New Roman" w:eastAsia="黑体" w:cs="Times New Roman"/>
          <w:b/>
          <w:bCs/>
          <w:color w:val="auto"/>
          <w:kern w:val="2"/>
          <w:sz w:val="28"/>
          <w:szCs w:val="28"/>
        </w:rPr>
        <w:t>2.8.</w:t>
      </w:r>
      <w:r>
        <w:rPr>
          <w:rFonts w:hint="default" w:ascii="Times New Roman" w:hAnsi="Times New Roman" w:cs="Times New Roman"/>
          <w:b/>
          <w:bCs/>
          <w:color w:val="auto"/>
          <w:kern w:val="2"/>
          <w:sz w:val="28"/>
          <w:szCs w:val="28"/>
          <w:lang w:val="en-US" w:eastAsia="zh-CN"/>
        </w:rPr>
        <w:t>5</w:t>
      </w:r>
      <w:r>
        <w:rPr>
          <w:rFonts w:hint="default" w:ascii="Times New Roman" w:hAnsi="Times New Roman" w:eastAsia="黑体" w:cs="Times New Roman"/>
          <w:b/>
          <w:bCs/>
          <w:color w:val="auto"/>
          <w:kern w:val="2"/>
          <w:sz w:val="28"/>
          <w:szCs w:val="28"/>
        </w:rPr>
        <w:t>应急照明</w:t>
      </w:r>
    </w:p>
    <w:p w14:paraId="5197380F">
      <w:pPr>
        <w:keepNext w:val="0"/>
        <w:keepLines w:val="0"/>
        <w:pageBreakBefore w:val="0"/>
        <w:widowControl w:val="0"/>
        <w:numPr>
          <w:ilvl w:val="0"/>
          <w:numId w:val="0"/>
        </w:numPr>
        <w:shd w:val="clear"/>
        <w:kinsoku/>
        <w:wordWrap/>
        <w:overflowPunct/>
        <w:topLinePunct w:val="0"/>
        <w:autoSpaceDE/>
        <w:autoSpaceDN/>
        <w:bidi w:val="0"/>
        <w:adjustRightInd/>
        <w:snapToGrid w:val="0"/>
        <w:spacing w:line="360" w:lineRule="auto"/>
        <w:ind w:firstLine="56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本项目已在加油站罩棚、配电间、便利店等处设应急照明。该站内所有的应急照明灯采用LED型节能灯，采用集中电源非集中控制系统。</w:t>
      </w:r>
    </w:p>
    <w:bookmarkEnd w:id="166"/>
    <w:p w14:paraId="0558AF44">
      <w:pPr>
        <w:pStyle w:val="5"/>
        <w:pageBreakBefore w:val="0"/>
        <w:kinsoku/>
        <w:wordWrap/>
        <w:overflowPunct/>
        <w:topLinePunct w:val="0"/>
        <w:bidi w:val="0"/>
        <w:snapToGrid/>
        <w:spacing w:line="560" w:lineRule="exact"/>
        <w:ind w:left="0" w:leftChars="0" w:firstLine="0" w:firstLineChars="0"/>
        <w:textAlignment w:val="auto"/>
        <w:rPr>
          <w:rFonts w:hint="default" w:ascii="Times New Roman" w:hAnsi="Times New Roman" w:cs="Times New Roman"/>
          <w:color w:val="auto"/>
        </w:rPr>
      </w:pPr>
      <w:bookmarkStart w:id="167" w:name="_Toc516218870"/>
      <w:bookmarkStart w:id="168" w:name="_Toc5880"/>
      <w:r>
        <w:rPr>
          <w:rFonts w:hint="default" w:ascii="Times New Roman" w:hAnsi="Times New Roman" w:cs="Times New Roman"/>
          <w:color w:val="auto"/>
        </w:rPr>
        <w:t>2.8.</w:t>
      </w:r>
      <w:bookmarkEnd w:id="167"/>
      <w:bookmarkEnd w:id="168"/>
      <w:r>
        <w:rPr>
          <w:rFonts w:hint="default" w:ascii="Times New Roman" w:hAnsi="Times New Roman" w:cs="Times New Roman"/>
          <w:color w:val="auto"/>
          <w:lang w:val="en-US" w:eastAsia="zh-CN"/>
        </w:rPr>
        <w:t>6</w:t>
      </w:r>
      <w:r>
        <w:rPr>
          <w:rFonts w:hint="default" w:ascii="Times New Roman" w:hAnsi="Times New Roman" w:cs="Times New Roman"/>
          <w:color w:val="auto"/>
        </w:rPr>
        <w:t>自控及安全设施</w:t>
      </w:r>
    </w:p>
    <w:p w14:paraId="41B25CDF">
      <w:pPr>
        <w:pStyle w:val="155"/>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Times New Roman" w:cs="Times New Roman"/>
          <w:color w:val="auto"/>
          <w:kern w:val="2"/>
          <w:sz w:val="28"/>
          <w:szCs w:val="28"/>
        </w:rPr>
      </w:pPr>
      <w:r>
        <w:rPr>
          <w:rFonts w:hint="default" w:ascii="Times New Roman" w:hAnsi="Times New Roman" w:cs="Times New Roman"/>
          <w:color w:val="auto"/>
          <w:kern w:val="2"/>
          <w:sz w:val="28"/>
          <w:szCs w:val="28"/>
        </w:rPr>
        <w:t>该加油站设有带有高液位报警功能的液位监测系统，当卸油时油料达到油罐容量90%时，能触动高液位报警装置报警，油料达到油罐容量95%，能自动停止油料继续进罐。另该站站房外墙上和站内收银台旁各设有1个紧急切断按钮，加油机上设有急停按钮，能确保在事故状态下迅速切断加油泵。</w:t>
      </w:r>
      <w:r>
        <w:rPr>
          <w:rFonts w:hint="eastAsia" w:ascii="Times New Roman" w:cs="Times New Roman"/>
          <w:color w:val="auto"/>
          <w:kern w:val="2"/>
          <w:sz w:val="28"/>
          <w:szCs w:val="28"/>
        </w:rPr>
        <w:t>该站摄像头全面覆盖无死角，视频监控终端设置在办公室内。24小时有人值守。</w:t>
      </w:r>
    </w:p>
    <w:p w14:paraId="0955912C">
      <w:pPr>
        <w:pStyle w:val="155"/>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Times New Roman" w:hAnsi="Times New Roman" w:cs="Times New Roman"/>
          <w:color w:val="auto"/>
          <w:kern w:val="2"/>
          <w:sz w:val="28"/>
          <w:szCs w:val="28"/>
        </w:rPr>
      </w:pPr>
      <w:r>
        <w:rPr>
          <w:rFonts w:hint="eastAsia" w:ascii="Times New Roman" w:hAnsi="Times New Roman" w:cs="Times New Roman"/>
          <w:color w:val="auto"/>
          <w:kern w:val="2"/>
          <w:sz w:val="28"/>
          <w:szCs w:val="28"/>
        </w:rPr>
        <w:t>每座油罐设一个防渗漏检测传感器，渗漏检测传感器信号线引至值班室内渗漏检测报警主机，油罐发生渗漏时发出声光报警。</w:t>
      </w:r>
    </w:p>
    <w:p w14:paraId="66085269">
      <w:pPr>
        <w:pStyle w:val="155"/>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Times New Roman" w:hAnsi="Times New Roman" w:cs="Times New Roman"/>
          <w:color w:val="auto"/>
          <w:kern w:val="2"/>
          <w:sz w:val="28"/>
          <w:szCs w:val="28"/>
          <w:lang w:eastAsia="zh-CN"/>
        </w:rPr>
      </w:pPr>
      <w:r>
        <w:rPr>
          <w:rFonts w:hint="eastAsia" w:ascii="Times New Roman" w:hAnsi="Times New Roman" w:cs="Times New Roman"/>
          <w:color w:val="auto"/>
          <w:kern w:val="2"/>
          <w:sz w:val="28"/>
          <w:szCs w:val="28"/>
        </w:rPr>
        <w:t>卸油油气回收管道的接口采用</w:t>
      </w:r>
      <w:r>
        <w:rPr>
          <w:rFonts w:hint="eastAsia" w:ascii="Times New Roman" w:hAnsi="Times New Roman" w:cs="Times New Roman"/>
          <w:color w:val="auto"/>
          <w:kern w:val="2"/>
          <w:sz w:val="28"/>
          <w:szCs w:val="28"/>
          <w:lang w:eastAsia="zh-CN"/>
        </w:rPr>
        <w:t>了</w:t>
      </w:r>
      <w:r>
        <w:rPr>
          <w:rFonts w:hint="eastAsia" w:ascii="Times New Roman" w:hAnsi="Times New Roman" w:cs="Times New Roman"/>
          <w:color w:val="auto"/>
          <w:kern w:val="2"/>
          <w:sz w:val="28"/>
          <w:szCs w:val="28"/>
        </w:rPr>
        <w:t>自闭式快速接头</w:t>
      </w:r>
      <w:r>
        <w:rPr>
          <w:rFonts w:hint="eastAsia" w:ascii="Times New Roman" w:hAnsi="Times New Roman" w:cs="Times New Roman"/>
          <w:color w:val="auto"/>
          <w:kern w:val="2"/>
          <w:sz w:val="28"/>
          <w:szCs w:val="28"/>
          <w:lang w:eastAsia="zh-CN"/>
        </w:rPr>
        <w:t>。</w:t>
      </w:r>
      <w:r>
        <w:rPr>
          <w:rFonts w:hint="eastAsia" w:ascii="Times New Roman" w:hAnsi="Times New Roman" w:cs="Times New Roman"/>
          <w:color w:val="auto"/>
          <w:kern w:val="2"/>
          <w:sz w:val="28"/>
          <w:szCs w:val="28"/>
          <w:lang w:val="en-US" w:eastAsia="zh-CN"/>
        </w:rPr>
        <w:t>油罐槽车密闭卸车点设静电接地报警器及人体静电释放器。</w:t>
      </w:r>
    </w:p>
    <w:p w14:paraId="1B528DAD">
      <w:pPr>
        <w:pStyle w:val="155"/>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Times New Roman" w:hAnsi="Times New Roman" w:cs="Times New Roman"/>
          <w:color w:val="auto"/>
          <w:kern w:val="2"/>
          <w:sz w:val="28"/>
          <w:szCs w:val="28"/>
        </w:rPr>
      </w:pPr>
      <w:r>
        <w:rPr>
          <w:rFonts w:hint="eastAsia" w:ascii="Times New Roman" w:hAnsi="Times New Roman" w:cs="Times New Roman"/>
          <w:color w:val="auto"/>
          <w:kern w:val="2"/>
          <w:sz w:val="28"/>
          <w:szCs w:val="28"/>
        </w:rPr>
        <w:t>该加油站为1、2区爆炸危险区域，所选仪表均符合</w:t>
      </w:r>
      <w:r>
        <w:rPr>
          <w:rFonts w:hint="eastAsia" w:ascii="Times New Roman" w:hAnsi="Times New Roman" w:eastAsia="宋体" w:cs="Times New Roman"/>
          <w:color w:val="auto"/>
          <w:kern w:val="2"/>
          <w:sz w:val="28"/>
          <w:szCs w:val="28"/>
        </w:rPr>
        <w:t>相应的防爆标准，并</w:t>
      </w:r>
      <w:r>
        <w:rPr>
          <w:rFonts w:hint="eastAsia" w:ascii="Times New Roman" w:hAnsi="Times New Roman" w:cs="Times New Roman"/>
          <w:color w:val="auto"/>
          <w:kern w:val="2"/>
          <w:sz w:val="28"/>
          <w:szCs w:val="28"/>
        </w:rPr>
        <w:t>取得国家有关防爆检验机构的相应防爆等级的防爆许可证。</w:t>
      </w:r>
    </w:p>
    <w:p w14:paraId="4E4B5760">
      <w:pPr>
        <w:pStyle w:val="155"/>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Times New Roman" w:hAnsi="Times New Roman" w:cs="Times New Roman"/>
          <w:color w:val="auto"/>
          <w:kern w:val="2"/>
          <w:sz w:val="28"/>
          <w:szCs w:val="28"/>
        </w:rPr>
      </w:pPr>
      <w:r>
        <w:rPr>
          <w:rFonts w:hint="eastAsia" w:ascii="Times New Roman" w:hAnsi="Times New Roman" w:cs="Times New Roman"/>
          <w:color w:val="auto"/>
          <w:kern w:val="2"/>
          <w:sz w:val="28"/>
          <w:szCs w:val="28"/>
        </w:rPr>
        <w:t>该加油机底部管道上设置了安全剪切阀，加油软管上设置了安全拉断阀。</w:t>
      </w:r>
    </w:p>
    <w:p w14:paraId="086EDE49">
      <w:pPr>
        <w:pStyle w:val="155"/>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textAlignment w:val="auto"/>
        <w:rPr>
          <w:rFonts w:hint="eastAsia" w:ascii="Times New Roman" w:hAnsi="Times New Roman" w:cs="Times New Roman"/>
          <w:color w:val="auto"/>
          <w:kern w:val="2"/>
          <w:sz w:val="28"/>
          <w:szCs w:val="28"/>
        </w:rPr>
      </w:pPr>
      <w:r>
        <w:rPr>
          <w:rFonts w:hint="eastAsia" w:ascii="Times New Roman" w:hAnsi="Times New Roman" w:cs="Times New Roman"/>
          <w:color w:val="auto"/>
          <w:kern w:val="2"/>
          <w:sz w:val="28"/>
          <w:szCs w:val="28"/>
          <w:lang w:val="en-US" w:eastAsia="zh-CN"/>
        </w:rPr>
        <w:t>在</w:t>
      </w:r>
      <w:r>
        <w:rPr>
          <w:rFonts w:hint="eastAsia" w:ascii="Times New Roman" w:hAnsi="Times New Roman" w:cs="Times New Roman"/>
          <w:color w:val="auto"/>
          <w:kern w:val="2"/>
          <w:sz w:val="28"/>
          <w:szCs w:val="28"/>
        </w:rPr>
        <w:t>站房内收银台及站房外墙分别设紧急断电按钮，共设置2个。加油机自带紧急切断按钮。在事故状态下时，工作人员可迅速按下按钮，切断加油机电源，停止潜油泵运转，避免事故的进一步扩大。事故紧急切断系统带失效保护功能，只能手动复位。</w:t>
      </w:r>
    </w:p>
    <w:p w14:paraId="0A51EFD1">
      <w:pPr>
        <w:pStyle w:val="155"/>
        <w:keepNext w:val="0"/>
        <w:keepLines w:val="0"/>
        <w:pageBreakBefore w:val="0"/>
        <w:widowControl w:val="0"/>
        <w:kinsoku/>
        <w:wordWrap/>
        <w:overflowPunct/>
        <w:topLinePunct w:val="0"/>
        <w:autoSpaceDE w:val="0"/>
        <w:autoSpaceDN w:val="0"/>
        <w:bidi w:val="0"/>
        <w:adjustRightInd/>
        <w:snapToGrid/>
        <w:spacing w:line="520" w:lineRule="exact"/>
        <w:ind w:firstLine="560" w:firstLineChars="200"/>
        <w:textAlignment w:val="auto"/>
        <w:rPr>
          <w:rFonts w:hint="eastAsia" w:ascii="Times New Roman" w:hAnsi="Times New Roman" w:cs="Times New Roman"/>
          <w:color w:val="auto"/>
          <w:kern w:val="2"/>
          <w:sz w:val="28"/>
          <w:szCs w:val="28"/>
        </w:rPr>
      </w:pPr>
      <w:r>
        <w:rPr>
          <w:rFonts w:hint="eastAsia" w:ascii="Times New Roman" w:hAnsi="Times New Roman" w:cs="Times New Roman"/>
          <w:color w:val="auto"/>
          <w:kern w:val="2"/>
          <w:sz w:val="28"/>
          <w:szCs w:val="28"/>
        </w:rPr>
        <w:t>加油岛前后两端均设有防撞柱，防止汽车对加油机破坏，防撞柱高度0.</w:t>
      </w:r>
      <w:r>
        <w:rPr>
          <w:rFonts w:hint="eastAsia" w:ascii="Times New Roman" w:hAnsi="Times New Roman" w:cs="Times New Roman"/>
          <w:color w:val="auto"/>
          <w:kern w:val="2"/>
          <w:sz w:val="28"/>
          <w:szCs w:val="28"/>
          <w:lang w:val="en-US" w:eastAsia="zh-CN"/>
        </w:rPr>
        <w:t>6</w:t>
      </w:r>
      <w:r>
        <w:rPr>
          <w:rFonts w:hint="eastAsia" w:ascii="Times New Roman" w:hAnsi="Times New Roman" w:cs="Times New Roman"/>
          <w:color w:val="auto"/>
          <w:kern w:val="2"/>
          <w:sz w:val="28"/>
          <w:szCs w:val="28"/>
        </w:rPr>
        <w:t>m。</w:t>
      </w:r>
    </w:p>
    <w:p w14:paraId="4B8E684A">
      <w:pPr>
        <w:keepNext w:val="0"/>
        <w:keepLines w:val="0"/>
        <w:pageBreakBefore w:val="0"/>
        <w:kinsoku/>
        <w:wordWrap/>
        <w:overflowPunct/>
        <w:topLinePunct w:val="0"/>
        <w:bidi w:val="0"/>
        <w:adjustRightInd/>
        <w:snapToGrid/>
        <w:spacing w:line="520" w:lineRule="exact"/>
        <w:ind w:left="0" w:leftChars="0" w:firstLine="0" w:firstLineChars="0"/>
        <w:textAlignment w:val="auto"/>
        <w:outlineLvl w:val="2"/>
        <w:rPr>
          <w:rFonts w:hint="default" w:ascii="Times New Roman" w:hAnsi="Times New Roman" w:eastAsia="黑体" w:cs="Times New Roman"/>
          <w:bCs/>
          <w:color w:val="auto"/>
          <w:szCs w:val="28"/>
        </w:rPr>
      </w:pPr>
      <w:r>
        <w:rPr>
          <w:rFonts w:hint="default" w:ascii="Times New Roman" w:hAnsi="Times New Roman" w:eastAsia="黑体" w:cs="Times New Roman"/>
          <w:b/>
          <w:color w:val="auto"/>
          <w:kern w:val="0"/>
          <w:position w:val="-5"/>
          <w:szCs w:val="28"/>
          <w:lang w:bidi="ar"/>
        </w:rPr>
        <w:t>2.8.</w:t>
      </w:r>
      <w:r>
        <w:rPr>
          <w:rFonts w:hint="default" w:ascii="Times New Roman" w:hAnsi="Times New Roman" w:eastAsia="黑体" w:cs="Times New Roman"/>
          <w:b/>
          <w:color w:val="auto"/>
          <w:kern w:val="0"/>
          <w:position w:val="-5"/>
          <w:szCs w:val="28"/>
          <w:lang w:val="en-US" w:eastAsia="zh-CN" w:bidi="ar"/>
        </w:rPr>
        <w:t>7</w:t>
      </w:r>
      <w:r>
        <w:rPr>
          <w:rFonts w:hint="default" w:ascii="Times New Roman" w:hAnsi="Times New Roman" w:eastAsia="黑体" w:cs="Times New Roman"/>
          <w:b/>
          <w:color w:val="auto"/>
          <w:kern w:val="0"/>
          <w:position w:val="-5"/>
          <w:szCs w:val="28"/>
          <w:lang w:bidi="ar"/>
        </w:rPr>
        <w:t>采暖通风</w:t>
      </w:r>
    </w:p>
    <w:p w14:paraId="2E8556D3">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1）采暖：站房机房选用分体壁挂式空调机。以保证室内温、湿度满足设备正常工作的需求。</w:t>
      </w:r>
    </w:p>
    <w:p w14:paraId="24337306">
      <w:pPr>
        <w:keepNext w:val="0"/>
        <w:keepLines w:val="0"/>
        <w:pageBreakBefore w:val="0"/>
        <w:widowControl w:val="0"/>
        <w:kinsoku/>
        <w:wordWrap/>
        <w:overflowPunct/>
        <w:topLinePunct w:val="0"/>
        <w:autoSpaceDE/>
        <w:autoSpaceDN/>
        <w:bidi w:val="0"/>
        <w:adjustRightInd/>
        <w:snapToGrid/>
        <w:spacing w:line="520" w:lineRule="exact"/>
        <w:ind w:firstLine="560"/>
        <w:textAlignment w:val="auto"/>
        <w:rPr>
          <w:rFonts w:hint="default" w:ascii="Times New Roman" w:hAnsi="Times New Roman" w:eastAsia="宋体" w:cs="Times New Roman"/>
          <w:color w:val="auto"/>
          <w:kern w:val="2"/>
          <w:sz w:val="28"/>
          <w:szCs w:val="28"/>
          <w:lang w:val="en-US" w:eastAsia="zh-CN" w:bidi="ar-SA"/>
        </w:rPr>
      </w:pPr>
      <w:r>
        <w:rPr>
          <w:rFonts w:hint="eastAsia" w:ascii="Times New Roman" w:hAnsi="Times New Roman" w:eastAsia="宋体" w:cs="Times New Roman"/>
          <w:color w:val="auto"/>
          <w:kern w:val="2"/>
          <w:sz w:val="28"/>
          <w:szCs w:val="28"/>
          <w:lang w:val="en-US" w:eastAsia="zh-CN" w:bidi="ar-SA"/>
        </w:rPr>
        <w:t>2）通风：本项目储油罐均埋地布置，加油机布置在罩棚底下，加油区设备罩棚下室外布置，同时该站采用密闭卸油系统，汽油蒸汽的散发量小，</w:t>
      </w:r>
      <w:r>
        <w:rPr>
          <w:rFonts w:hint="default" w:ascii="Times New Roman" w:hAnsi="Times New Roman" w:eastAsia="宋体" w:cs="Times New Roman"/>
          <w:color w:val="auto"/>
          <w:kern w:val="2"/>
          <w:sz w:val="28"/>
          <w:szCs w:val="28"/>
          <w:lang w:val="en-US" w:eastAsia="zh-CN" w:bidi="ar-SA"/>
        </w:rPr>
        <w:t>采用自然通风方式，可满足要求。</w:t>
      </w:r>
    </w:p>
    <w:p w14:paraId="6334A1C1">
      <w:pPr>
        <w:pStyle w:val="4"/>
        <w:spacing w:line="360" w:lineRule="auto"/>
        <w:jc w:val="both"/>
        <w:rPr>
          <w:rFonts w:hint="default" w:ascii="Times New Roman" w:hAnsi="Times New Roman" w:cs="Times New Roman"/>
          <w:color w:val="auto"/>
        </w:rPr>
      </w:pPr>
      <w:bookmarkStart w:id="169" w:name="_Toc17355"/>
      <w:bookmarkStart w:id="170" w:name="_Toc19412"/>
      <w:bookmarkStart w:id="171" w:name="_Toc15626"/>
      <w:r>
        <w:rPr>
          <w:rFonts w:hint="default" w:ascii="Times New Roman" w:hAnsi="Times New Roman" w:cs="Times New Roman"/>
          <w:color w:val="auto"/>
        </w:rPr>
        <w:t>2.9安全管理情况</w:t>
      </w:r>
      <w:bookmarkEnd w:id="169"/>
      <w:bookmarkEnd w:id="170"/>
      <w:bookmarkEnd w:id="171"/>
    </w:p>
    <w:p w14:paraId="6F6EAF3A">
      <w:pPr>
        <w:pStyle w:val="5"/>
        <w:spacing w:line="360" w:lineRule="auto"/>
        <w:ind w:left="0" w:leftChars="0" w:firstLine="0" w:firstLineChars="0"/>
        <w:rPr>
          <w:rFonts w:hint="default" w:ascii="Times New Roman" w:hAnsi="Times New Roman" w:cs="Times New Roman"/>
          <w:color w:val="auto"/>
        </w:rPr>
      </w:pPr>
      <w:bookmarkStart w:id="172" w:name="_Toc8258"/>
      <w:bookmarkStart w:id="173" w:name="_Toc31464"/>
      <w:bookmarkStart w:id="174" w:name="_Toc24380"/>
      <w:bookmarkStart w:id="175" w:name="_Toc688"/>
      <w:bookmarkStart w:id="176" w:name="_Toc22471"/>
      <w:bookmarkStart w:id="177" w:name="_Toc4160"/>
      <w:r>
        <w:rPr>
          <w:rFonts w:hint="default" w:ascii="Times New Roman" w:hAnsi="Times New Roman" w:cs="Times New Roman"/>
          <w:color w:val="auto"/>
        </w:rPr>
        <w:t>2.9.1安全管理机构</w:t>
      </w:r>
      <w:bookmarkEnd w:id="172"/>
    </w:p>
    <w:p w14:paraId="005206C0">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cs="宋体"/>
          <w:bCs/>
          <w:color w:val="auto"/>
          <w:kern w:val="0"/>
          <w:position w:val="-5"/>
          <w:szCs w:val="28"/>
          <w:lang w:val="en-US" w:eastAsia="zh-CN" w:bidi="ar"/>
        </w:rPr>
      </w:pPr>
      <w:r>
        <w:rPr>
          <w:rFonts w:hint="default" w:cs="宋体"/>
          <w:bCs/>
          <w:color w:val="auto"/>
          <w:kern w:val="0"/>
          <w:position w:val="-5"/>
          <w:szCs w:val="28"/>
          <w:lang w:val="en-US" w:eastAsia="zh-CN" w:bidi="ar"/>
        </w:rPr>
        <w:t>该加油站设置了安全生产规章制度和岗位操作规程，并明确规定各部门各岗位安全责任。主要负责人全面负责加油站的安全管理工作。加油站配备有安全管理人员，负责加油站日常安全管理工作。</w:t>
      </w:r>
    </w:p>
    <w:p w14:paraId="5E85E09A">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cs="宋体"/>
          <w:bCs/>
          <w:color w:val="auto"/>
          <w:kern w:val="0"/>
          <w:position w:val="-5"/>
          <w:szCs w:val="28"/>
          <w:lang w:val="en-US" w:eastAsia="zh-CN" w:bidi="ar"/>
        </w:rPr>
      </w:pPr>
      <w:r>
        <w:rPr>
          <w:rFonts w:hint="default" w:cs="宋体"/>
          <w:bCs/>
          <w:color w:val="auto"/>
          <w:kern w:val="0"/>
          <w:position w:val="-5"/>
          <w:szCs w:val="28"/>
          <w:lang w:val="en-US" w:eastAsia="zh-CN" w:bidi="ar"/>
        </w:rPr>
        <w:t>该加油站建立了以站长为第一责任人的安全生产责任制，并配备有专职安全生产管理人员1人。</w:t>
      </w:r>
    </w:p>
    <w:p w14:paraId="018D4425">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Times New Roman" w:hAnsi="Times New Roman" w:cs="Times New Roman"/>
          <w:color w:val="auto"/>
          <w:szCs w:val="21"/>
        </w:rPr>
      </w:pPr>
      <w:r>
        <w:rPr>
          <w:rFonts w:hint="default" w:ascii="Times New Roman" w:hAnsi="Times New Roman" w:cs="Times New Roman"/>
          <w:color w:val="auto"/>
        </w:rPr>
        <w:t>加油站的主要负责人、安全管理人员已经取得了安全生产知识和管理能力考核合格证。</w:t>
      </w:r>
      <w:r>
        <w:rPr>
          <w:rFonts w:hint="default" w:ascii="Times New Roman" w:hAnsi="Times New Roman" w:cs="Times New Roman"/>
          <w:b w:val="0"/>
          <w:bCs w:val="0"/>
          <w:color w:val="auto"/>
        </w:rPr>
        <w:t>其他从业人员依照相关规定经安全生产教育和专业技术培训合格</w:t>
      </w:r>
      <w:r>
        <w:rPr>
          <w:rFonts w:hint="default" w:ascii="Times New Roman" w:hAnsi="Times New Roman" w:cs="Times New Roman"/>
          <w:b w:val="0"/>
          <w:bCs w:val="0"/>
          <w:color w:val="auto"/>
          <w:lang w:eastAsia="zh-CN"/>
        </w:rPr>
        <w:t>，</w:t>
      </w:r>
      <w:r>
        <w:rPr>
          <w:rFonts w:hint="default" w:ascii="Times New Roman" w:hAnsi="Times New Roman" w:cs="Times New Roman"/>
          <w:b w:val="0"/>
          <w:bCs w:val="0"/>
          <w:color w:val="auto"/>
          <w:lang w:val="en-US" w:eastAsia="zh-CN"/>
        </w:rPr>
        <w:t>详见附件</w:t>
      </w:r>
      <w:r>
        <w:rPr>
          <w:rFonts w:hint="default" w:ascii="Times New Roman" w:hAnsi="Times New Roman" w:cs="Times New Roman"/>
          <w:b w:val="0"/>
          <w:bCs w:val="0"/>
          <w:color w:val="auto"/>
        </w:rPr>
        <w:t>。</w:t>
      </w:r>
      <w:r>
        <w:rPr>
          <w:rFonts w:hint="default" w:ascii="Times New Roman" w:hAnsi="Times New Roman" w:cs="Times New Roman"/>
          <w:color w:val="auto"/>
        </w:rPr>
        <w:t>安全生产教育培训的持证情况见表2.9-1。</w:t>
      </w:r>
    </w:p>
    <w:p w14:paraId="18F25B68">
      <w:pPr>
        <w:pStyle w:val="21"/>
        <w:shd w:val="clear"/>
        <w:rPr>
          <w:rFonts w:hint="default" w:ascii="Times New Roman" w:hAnsi="Times New Roman" w:cs="Times New Roman"/>
          <w:color w:val="auto"/>
          <w:szCs w:val="21"/>
        </w:rPr>
      </w:pPr>
      <w:r>
        <w:rPr>
          <w:rFonts w:hint="default" w:ascii="Times New Roman" w:hAnsi="Times New Roman" w:cs="Times New Roman"/>
          <w:color w:val="auto"/>
          <w:szCs w:val="21"/>
        </w:rPr>
        <w:t>表2.9-1 主要负责人、安全管理人员取得证书一览表</w:t>
      </w:r>
    </w:p>
    <w:tbl>
      <w:tblPr>
        <w:tblStyle w:val="48"/>
        <w:tblW w:w="89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8"/>
        <w:gridCol w:w="971"/>
        <w:gridCol w:w="1934"/>
        <w:gridCol w:w="2234"/>
        <w:gridCol w:w="1200"/>
        <w:gridCol w:w="1919"/>
      </w:tblGrid>
      <w:tr w14:paraId="728025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668" w:type="dxa"/>
            <w:noWrap w:val="0"/>
            <w:vAlign w:val="top"/>
          </w:tcPr>
          <w:p w14:paraId="38497344">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bookmarkStart w:id="178" w:name="_Toc6246"/>
            <w:r>
              <w:rPr>
                <w:rFonts w:hint="default" w:ascii="Times New Roman" w:hAnsi="Times New Roman" w:eastAsia="宋体" w:cs="Times New Roman"/>
                <w:b/>
                <w:bCs/>
                <w:color w:val="auto"/>
                <w:kern w:val="0"/>
                <w:sz w:val="21"/>
                <w:szCs w:val="21"/>
              </w:rPr>
              <w:t>序号</w:t>
            </w:r>
          </w:p>
        </w:tc>
        <w:tc>
          <w:tcPr>
            <w:tcW w:w="971" w:type="dxa"/>
            <w:noWrap w:val="0"/>
            <w:vAlign w:val="center"/>
          </w:tcPr>
          <w:p w14:paraId="6836AAF0">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姓名</w:t>
            </w:r>
          </w:p>
        </w:tc>
        <w:tc>
          <w:tcPr>
            <w:tcW w:w="1934" w:type="dxa"/>
            <w:noWrap w:val="0"/>
            <w:vAlign w:val="center"/>
          </w:tcPr>
          <w:p w14:paraId="668919DD">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职务</w:t>
            </w:r>
          </w:p>
        </w:tc>
        <w:tc>
          <w:tcPr>
            <w:tcW w:w="2234" w:type="dxa"/>
            <w:noWrap w:val="0"/>
            <w:vAlign w:val="center"/>
          </w:tcPr>
          <w:p w14:paraId="4CD87542">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证书编号</w:t>
            </w:r>
          </w:p>
        </w:tc>
        <w:tc>
          <w:tcPr>
            <w:tcW w:w="1200" w:type="dxa"/>
            <w:noWrap w:val="0"/>
            <w:vAlign w:val="center"/>
          </w:tcPr>
          <w:p w14:paraId="316D796B">
            <w:pPr>
              <w:keepNext w:val="0"/>
              <w:keepLines w:val="0"/>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有效期</w:t>
            </w:r>
            <w:r>
              <w:rPr>
                <w:rFonts w:hint="eastAsia" w:ascii="Times New Roman" w:hAnsi="Times New Roman" w:eastAsia="宋体" w:cs="Times New Roman"/>
                <w:b/>
                <w:bCs/>
                <w:color w:val="auto"/>
                <w:kern w:val="0"/>
                <w:sz w:val="21"/>
                <w:szCs w:val="21"/>
              </w:rPr>
              <w:t>至</w:t>
            </w:r>
          </w:p>
        </w:tc>
        <w:tc>
          <w:tcPr>
            <w:tcW w:w="1919" w:type="dxa"/>
            <w:noWrap w:val="0"/>
            <w:vAlign w:val="top"/>
          </w:tcPr>
          <w:p w14:paraId="184AB690">
            <w:pPr>
              <w:keepNext w:val="0"/>
              <w:keepLines w:val="0"/>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lang w:eastAsia="zh-CN"/>
              </w:rPr>
            </w:pPr>
            <w:r>
              <w:rPr>
                <w:rFonts w:hint="eastAsia" w:ascii="Times New Roman" w:hAnsi="Times New Roman" w:eastAsia="宋体" w:cs="Times New Roman"/>
                <w:b/>
                <w:bCs/>
                <w:color w:val="auto"/>
                <w:kern w:val="0"/>
                <w:sz w:val="21"/>
                <w:szCs w:val="21"/>
                <w:lang w:val="en-US" w:eastAsia="zh-CN"/>
              </w:rPr>
              <w:t>发证机关</w:t>
            </w:r>
          </w:p>
        </w:tc>
      </w:tr>
      <w:tr w14:paraId="799F6C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68" w:type="dxa"/>
            <w:noWrap w:val="0"/>
            <w:vAlign w:val="center"/>
          </w:tcPr>
          <w:p w14:paraId="6CC25F85">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1</w:t>
            </w:r>
          </w:p>
        </w:tc>
        <w:tc>
          <w:tcPr>
            <w:tcW w:w="971" w:type="dxa"/>
            <w:noWrap w:val="0"/>
            <w:vAlign w:val="center"/>
          </w:tcPr>
          <w:p w14:paraId="66F6DD72">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文名志</w:t>
            </w:r>
          </w:p>
        </w:tc>
        <w:tc>
          <w:tcPr>
            <w:tcW w:w="1934" w:type="dxa"/>
            <w:noWrap w:val="0"/>
            <w:vAlign w:val="center"/>
          </w:tcPr>
          <w:p w14:paraId="2145B58A">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危险化学品经营单位主要负责人</w:t>
            </w:r>
          </w:p>
        </w:tc>
        <w:tc>
          <w:tcPr>
            <w:tcW w:w="2234" w:type="dxa"/>
            <w:noWrap w:val="0"/>
            <w:vAlign w:val="center"/>
          </w:tcPr>
          <w:p w14:paraId="2D245AC9">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362233196905260018</w:t>
            </w:r>
          </w:p>
        </w:tc>
        <w:tc>
          <w:tcPr>
            <w:tcW w:w="1200" w:type="dxa"/>
            <w:noWrap w:val="0"/>
            <w:vAlign w:val="center"/>
          </w:tcPr>
          <w:p w14:paraId="62B911C9">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202</w:t>
            </w:r>
            <w:r>
              <w:rPr>
                <w:rFonts w:hint="eastAsia" w:ascii="Times New Roman" w:hAnsi="Times New Roman" w:eastAsia="宋体" w:cs="Times New Roman"/>
                <w:b w:val="0"/>
                <w:bCs/>
                <w:color w:val="auto"/>
                <w:kern w:val="0"/>
                <w:sz w:val="21"/>
                <w:szCs w:val="21"/>
                <w:lang w:val="en-US" w:eastAsia="zh-CN"/>
              </w:rPr>
              <w:t>5</w:t>
            </w:r>
            <w:r>
              <w:rPr>
                <w:rFonts w:hint="default" w:ascii="Times New Roman" w:hAnsi="Times New Roman" w:eastAsia="宋体" w:cs="Times New Roman"/>
                <w:b w:val="0"/>
                <w:bCs/>
                <w:color w:val="auto"/>
                <w:kern w:val="0"/>
                <w:sz w:val="21"/>
                <w:szCs w:val="21"/>
                <w:lang w:val="en-US" w:eastAsia="zh-CN"/>
              </w:rPr>
              <w:t>-</w:t>
            </w:r>
            <w:r>
              <w:rPr>
                <w:rFonts w:hint="eastAsia" w:ascii="Times New Roman" w:hAnsi="Times New Roman" w:eastAsia="宋体" w:cs="Times New Roman"/>
                <w:b w:val="0"/>
                <w:bCs/>
                <w:color w:val="auto"/>
                <w:kern w:val="0"/>
                <w:sz w:val="21"/>
                <w:szCs w:val="21"/>
                <w:lang w:val="en-US" w:eastAsia="zh-CN"/>
              </w:rPr>
              <w:t>10-</w:t>
            </w:r>
            <w:r>
              <w:rPr>
                <w:rFonts w:hint="default" w:ascii="Times New Roman" w:hAnsi="Times New Roman" w:eastAsia="宋体" w:cs="Times New Roman"/>
                <w:b w:val="0"/>
                <w:bCs/>
                <w:color w:val="auto"/>
                <w:kern w:val="0"/>
                <w:sz w:val="21"/>
                <w:szCs w:val="21"/>
                <w:lang w:val="en-US" w:eastAsia="zh-CN"/>
              </w:rPr>
              <w:t>1</w:t>
            </w:r>
            <w:r>
              <w:rPr>
                <w:rFonts w:hint="eastAsia" w:ascii="Times New Roman" w:hAnsi="Times New Roman" w:eastAsia="宋体" w:cs="Times New Roman"/>
                <w:b w:val="0"/>
                <w:bCs/>
                <w:color w:val="auto"/>
                <w:kern w:val="0"/>
                <w:sz w:val="21"/>
                <w:szCs w:val="21"/>
                <w:lang w:val="en-US" w:eastAsia="zh-CN"/>
              </w:rPr>
              <w:t>2</w:t>
            </w:r>
          </w:p>
        </w:tc>
        <w:tc>
          <w:tcPr>
            <w:tcW w:w="1919" w:type="dxa"/>
            <w:noWrap w:val="0"/>
            <w:vAlign w:val="center"/>
          </w:tcPr>
          <w:p w14:paraId="4E2B9830">
            <w:pPr>
              <w:pStyle w:val="156"/>
              <w:keepNext w:val="0"/>
              <w:keepLines w:val="0"/>
              <w:widowControl w:val="0"/>
              <w:spacing w:before="0" w:beforeLines="0" w:beforeAutospacing="0" w:after="0" w:afterAutospacing="0" w:line="240" w:lineRule="auto"/>
              <w:ind w:left="0" w:right="0" w:firstLine="0" w:firstLineChars="0"/>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宜春市应急管理局</w:t>
            </w:r>
          </w:p>
        </w:tc>
      </w:tr>
      <w:tr w14:paraId="580013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668" w:type="dxa"/>
            <w:noWrap w:val="0"/>
            <w:vAlign w:val="center"/>
          </w:tcPr>
          <w:p w14:paraId="132E0F70">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2</w:t>
            </w:r>
          </w:p>
        </w:tc>
        <w:tc>
          <w:tcPr>
            <w:tcW w:w="971" w:type="dxa"/>
            <w:noWrap w:val="0"/>
            <w:vAlign w:val="center"/>
          </w:tcPr>
          <w:p w14:paraId="169CAC5C">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黄昌兰</w:t>
            </w:r>
          </w:p>
        </w:tc>
        <w:tc>
          <w:tcPr>
            <w:tcW w:w="1934" w:type="dxa"/>
            <w:noWrap w:val="0"/>
            <w:vAlign w:val="center"/>
          </w:tcPr>
          <w:p w14:paraId="6E9FADA7">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危险化学品经营单位安全管理人员</w:t>
            </w:r>
          </w:p>
        </w:tc>
        <w:tc>
          <w:tcPr>
            <w:tcW w:w="2234" w:type="dxa"/>
            <w:noWrap w:val="0"/>
            <w:vAlign w:val="center"/>
          </w:tcPr>
          <w:p w14:paraId="3C6F237B">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513021197910295124</w:t>
            </w:r>
          </w:p>
        </w:tc>
        <w:tc>
          <w:tcPr>
            <w:tcW w:w="1200" w:type="dxa"/>
            <w:noWrap w:val="0"/>
            <w:vAlign w:val="center"/>
          </w:tcPr>
          <w:p w14:paraId="677EDB14">
            <w:pPr>
              <w:pStyle w:val="156"/>
              <w:keepNext w:val="0"/>
              <w:keepLines w:val="0"/>
              <w:widowControl w:val="0"/>
              <w:spacing w:before="0" w:beforeLines="0" w:beforeAutospacing="0" w:after="0" w:afterAutospacing="0" w:line="240" w:lineRule="auto"/>
              <w:ind w:left="0" w:right="0" w:firstLine="0" w:firstLineChars="0"/>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2025-09-04</w:t>
            </w:r>
          </w:p>
        </w:tc>
        <w:tc>
          <w:tcPr>
            <w:tcW w:w="1919" w:type="dxa"/>
            <w:noWrap w:val="0"/>
            <w:vAlign w:val="center"/>
          </w:tcPr>
          <w:p w14:paraId="12EEB1FA">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宜春市应急管理局</w:t>
            </w:r>
          </w:p>
        </w:tc>
      </w:tr>
    </w:tbl>
    <w:p w14:paraId="64EA8A3E">
      <w:pPr>
        <w:pStyle w:val="5"/>
        <w:pageBreakBefore w:val="0"/>
        <w:widowControl/>
        <w:kinsoku/>
        <w:wordWrap/>
        <w:overflowPunct/>
        <w:topLinePunct w:val="0"/>
        <w:autoSpaceDE/>
        <w:autoSpaceDN/>
        <w:bidi w:val="0"/>
        <w:adjustRightInd/>
        <w:snapToGrid/>
        <w:spacing w:line="560" w:lineRule="exact"/>
        <w:ind w:left="0" w:leftChars="0" w:firstLine="0" w:firstLineChars="0"/>
        <w:textAlignment w:val="auto"/>
        <w:rPr>
          <w:rFonts w:hint="default" w:ascii="Times New Roman" w:hAnsi="Times New Roman" w:cs="Times New Roman"/>
          <w:color w:val="auto"/>
        </w:rPr>
      </w:pPr>
      <w:r>
        <w:rPr>
          <w:rFonts w:hint="default" w:ascii="Times New Roman" w:hAnsi="Times New Roman" w:cs="Times New Roman"/>
          <w:color w:val="auto"/>
        </w:rPr>
        <w:t>2.9.2安全生产规章制度</w:t>
      </w:r>
      <w:r>
        <w:rPr>
          <w:rFonts w:hint="default" w:ascii="Times New Roman" w:hAnsi="Times New Roman" w:cs="Times New Roman"/>
          <w:color w:val="auto"/>
          <w:szCs w:val="28"/>
        </w:rPr>
        <w:t>和安全技术操作规程</w:t>
      </w:r>
      <w:bookmarkEnd w:id="178"/>
    </w:p>
    <w:p w14:paraId="4EB80DF1">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该加油站制定了相关人员工作职责，包括加油站站长安全职责、加油站加油员安全职责、加油站计量</w:t>
      </w:r>
      <w:r>
        <w:rPr>
          <w:rFonts w:hint="eastAsia" w:ascii="Times New Roman" w:hAnsi="Times New Roman" w:eastAsia="宋体" w:cs="Times New Roman"/>
          <w:color w:val="auto"/>
          <w:sz w:val="28"/>
          <w:szCs w:val="28"/>
          <w:lang w:eastAsia="zh-CN"/>
        </w:rPr>
        <w:t>保管员</w:t>
      </w:r>
      <w:r>
        <w:rPr>
          <w:rFonts w:hint="eastAsia" w:ascii="Times New Roman" w:hAnsi="Times New Roman" w:eastAsia="宋体" w:cs="Times New Roman"/>
          <w:color w:val="auto"/>
          <w:sz w:val="28"/>
          <w:szCs w:val="28"/>
        </w:rPr>
        <w:t>安全职责等，详见报告附件资料。</w:t>
      </w:r>
    </w:p>
    <w:p w14:paraId="66069ABB">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hint="eastAsia"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rPr>
        <w:t>该加油站制定了相关操作规程，包括加油站加油操作规程、卸油操作规程、</w:t>
      </w:r>
      <w:r>
        <w:rPr>
          <w:rFonts w:hint="eastAsia" w:ascii="Times New Roman" w:hAnsi="Times New Roman" w:eastAsia="宋体" w:cs="Times New Roman"/>
          <w:color w:val="auto"/>
          <w:sz w:val="28"/>
          <w:szCs w:val="28"/>
          <w:lang w:val="en-US" w:eastAsia="zh-CN"/>
        </w:rPr>
        <w:t>油罐计量作业</w:t>
      </w:r>
      <w:r>
        <w:rPr>
          <w:rFonts w:hint="eastAsia" w:ascii="Times New Roman" w:hAnsi="Times New Roman" w:eastAsia="宋体" w:cs="Times New Roman"/>
          <w:color w:val="auto"/>
          <w:sz w:val="28"/>
          <w:szCs w:val="28"/>
        </w:rPr>
        <w:t>操作规程、</w:t>
      </w:r>
      <w:r>
        <w:rPr>
          <w:rFonts w:hint="eastAsia" w:ascii="Times New Roman" w:hAnsi="Times New Roman" w:eastAsia="宋体" w:cs="Times New Roman"/>
          <w:color w:val="auto"/>
          <w:sz w:val="28"/>
          <w:szCs w:val="28"/>
          <w:lang w:val="en-US" w:eastAsia="zh-CN"/>
        </w:rPr>
        <w:t>抽样作业</w:t>
      </w:r>
      <w:r>
        <w:rPr>
          <w:rFonts w:hint="eastAsia" w:ascii="Times New Roman" w:hAnsi="Times New Roman" w:eastAsia="宋体" w:cs="Times New Roman"/>
          <w:color w:val="auto"/>
          <w:sz w:val="28"/>
          <w:szCs w:val="28"/>
        </w:rPr>
        <w:t>操作规程等，详见报告附件资料。</w:t>
      </w:r>
    </w:p>
    <w:p w14:paraId="5D4C838E">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ascii="Times New Roman" w:hAnsi="Times New Roman" w:cs="Times New Roman"/>
          <w:color w:val="auto"/>
          <w:sz w:val="28"/>
          <w:szCs w:val="28"/>
        </w:rPr>
      </w:pPr>
      <w:r>
        <w:rPr>
          <w:rFonts w:hint="eastAsia" w:ascii="Times New Roman" w:hAnsi="Times New Roman" w:eastAsia="宋体" w:cs="Times New Roman"/>
          <w:color w:val="auto"/>
          <w:sz w:val="28"/>
          <w:szCs w:val="28"/>
        </w:rPr>
        <w:t>该加油站制定了相关的安全管理制度，包括加能站HSE管理要求、 加能站HSE组织制度、加能站HSE巡回检查制度、加能站HSE安全风险分级</w:t>
      </w:r>
      <w:r>
        <w:rPr>
          <w:rFonts w:hint="eastAsia" w:ascii="Times New Roman" w:hAnsi="Times New Roman" w:cs="Times New Roman"/>
          <w:color w:val="auto"/>
          <w:sz w:val="28"/>
          <w:szCs w:val="28"/>
        </w:rPr>
        <w:t>管控制度、加能站HSE教育培训制度、加能站HSE隐患排查治理制度、加能站日常安全交接班HSE管理制度、危险作业管理制度、加能站事故报告和处理规定等制度</w:t>
      </w:r>
      <w:r>
        <w:rPr>
          <w:rFonts w:ascii="Times New Roman" w:hAnsi="Times New Roman" w:cs="Times New Roman"/>
          <w:color w:val="auto"/>
          <w:sz w:val="28"/>
          <w:szCs w:val="28"/>
        </w:rPr>
        <w:t>，详见报告附件资料。</w:t>
      </w:r>
    </w:p>
    <w:p w14:paraId="0D65B0FA">
      <w:pPr>
        <w:pStyle w:val="5"/>
        <w:spacing w:before="120" w:beforeLines="50" w:line="360" w:lineRule="auto"/>
        <w:ind w:left="0" w:leftChars="0" w:firstLine="0" w:firstLineChars="0"/>
        <w:rPr>
          <w:rFonts w:hint="default" w:ascii="Times New Roman" w:hAnsi="Times New Roman" w:cs="Times New Roman"/>
          <w:color w:val="auto"/>
        </w:rPr>
      </w:pPr>
      <w:bookmarkStart w:id="179" w:name="_Toc9313"/>
      <w:r>
        <w:rPr>
          <w:rFonts w:hint="default" w:ascii="Times New Roman" w:hAnsi="Times New Roman" w:cs="Times New Roman"/>
          <w:color w:val="auto"/>
        </w:rPr>
        <w:t>2.9.3应急预案和应急管理体系</w:t>
      </w:r>
      <w:bookmarkEnd w:id="179"/>
    </w:p>
    <w:p w14:paraId="07343FFD">
      <w:pPr>
        <w:keepNext w:val="0"/>
        <w:keepLines w:val="0"/>
        <w:pageBreakBefore w:val="0"/>
        <w:widowControl w:val="0"/>
        <w:shd w:val="clear"/>
        <w:kinsoku/>
        <w:wordWrap/>
        <w:overflowPunct/>
        <w:topLinePunct w:val="0"/>
        <w:autoSpaceDE/>
        <w:autoSpaceDN/>
        <w:bidi w:val="0"/>
        <w:adjustRightInd w:val="0"/>
        <w:snapToGrid w:val="0"/>
        <w:spacing w:line="360" w:lineRule="auto"/>
        <w:ind w:firstLine="560"/>
        <w:textAlignment w:val="auto"/>
        <w:rPr>
          <w:color w:val="auto"/>
          <w:szCs w:val="28"/>
        </w:rPr>
      </w:pPr>
      <w:r>
        <w:rPr>
          <w:color w:val="auto"/>
        </w:rPr>
        <w:t>该加油站根据</w:t>
      </w:r>
      <w:r>
        <w:rPr>
          <w:color w:val="auto"/>
          <w:szCs w:val="28"/>
        </w:rPr>
        <w:t>《生产经营单位生产安全事故应急预案编制导则》（</w:t>
      </w:r>
      <w:r>
        <w:rPr>
          <w:rFonts w:ascii="Times New Roman" w:hAnsi="Times New Roman"/>
          <w:color w:val="auto"/>
          <w:szCs w:val="28"/>
        </w:rPr>
        <w:t>GB</w:t>
      </w:r>
      <w:r>
        <w:rPr>
          <w:color w:val="auto"/>
          <w:szCs w:val="28"/>
        </w:rPr>
        <w:t>/</w:t>
      </w:r>
      <w:r>
        <w:rPr>
          <w:rFonts w:ascii="Times New Roman" w:hAnsi="Times New Roman"/>
          <w:color w:val="auto"/>
          <w:szCs w:val="28"/>
        </w:rPr>
        <w:t>T</w:t>
      </w:r>
      <w:r>
        <w:rPr>
          <w:rFonts w:hint="eastAsia"/>
          <w:color w:val="auto"/>
          <w:szCs w:val="28"/>
        </w:rPr>
        <w:t xml:space="preserve"> </w:t>
      </w:r>
      <w:r>
        <w:rPr>
          <w:rFonts w:ascii="Times New Roman" w:hAnsi="Times New Roman"/>
          <w:color w:val="auto"/>
          <w:szCs w:val="28"/>
        </w:rPr>
        <w:t>29639</w:t>
      </w:r>
      <w:r>
        <w:rPr>
          <w:color w:val="auto"/>
          <w:szCs w:val="28"/>
        </w:rPr>
        <w:t>-</w:t>
      </w:r>
      <w:r>
        <w:rPr>
          <w:rFonts w:ascii="Times New Roman" w:hAnsi="Times New Roman"/>
          <w:color w:val="auto"/>
          <w:szCs w:val="28"/>
        </w:rPr>
        <w:t>2020</w:t>
      </w:r>
      <w:r>
        <w:rPr>
          <w:color w:val="auto"/>
          <w:szCs w:val="28"/>
        </w:rPr>
        <w:t>）</w:t>
      </w:r>
      <w:r>
        <w:rPr>
          <w:color w:val="auto"/>
        </w:rPr>
        <w:t>及相关文件规定，针对可能发生的各项生产安全事故、</w:t>
      </w:r>
      <w:r>
        <w:rPr>
          <w:color w:val="auto"/>
          <w:szCs w:val="28"/>
        </w:rPr>
        <w:t>要求，编制了《</w:t>
      </w:r>
      <w:r>
        <w:rPr>
          <w:rFonts w:hint="eastAsia"/>
          <w:color w:val="auto"/>
          <w:szCs w:val="28"/>
          <w:lang w:eastAsia="zh-CN"/>
        </w:rPr>
        <w:t>中国石化销售股份有限公司江西宜春铜鼓县城加油站生产安全事故应急预案</w:t>
      </w:r>
      <w:r>
        <w:rPr>
          <w:color w:val="auto"/>
          <w:szCs w:val="28"/>
        </w:rPr>
        <w:t>》</w:t>
      </w:r>
      <w:r>
        <w:rPr>
          <w:rFonts w:hint="eastAsia"/>
          <w:color w:val="auto"/>
          <w:szCs w:val="28"/>
          <w:lang w:eastAsia="zh-CN"/>
        </w:rPr>
        <w:t>，</w:t>
      </w:r>
      <w:r>
        <w:rPr>
          <w:rFonts w:hint="eastAsia"/>
          <w:color w:val="auto"/>
          <w:szCs w:val="28"/>
          <w:lang w:val="en-US" w:eastAsia="zh-CN"/>
        </w:rPr>
        <w:t>备案编号：3609002022147</w:t>
      </w:r>
      <w:r>
        <w:rPr>
          <w:color w:val="auto"/>
          <w:szCs w:val="28"/>
        </w:rPr>
        <w:t>。</w:t>
      </w:r>
    </w:p>
    <w:p w14:paraId="7785D208">
      <w:pPr>
        <w:keepNext w:val="0"/>
        <w:keepLines w:val="0"/>
        <w:pageBreakBefore w:val="0"/>
        <w:widowControl w:val="0"/>
        <w:shd w:val="clear"/>
        <w:kinsoku/>
        <w:wordWrap/>
        <w:overflowPunct/>
        <w:topLinePunct w:val="0"/>
        <w:autoSpaceDE/>
        <w:autoSpaceDN/>
        <w:bidi w:val="0"/>
        <w:adjustRightInd w:val="0"/>
        <w:snapToGrid w:val="0"/>
        <w:spacing w:line="360" w:lineRule="auto"/>
        <w:ind w:firstLine="560"/>
        <w:textAlignment w:val="auto"/>
        <w:rPr>
          <w:color w:val="auto"/>
        </w:rPr>
      </w:pPr>
      <w:r>
        <w:rPr>
          <w:color w:val="auto"/>
        </w:rPr>
        <w:t>该加油站组建了全员参与的应急救援队伍，配备应急救援器材和药具，有一套较为完善的事故预防和应急救援管理体系。该加油站成立了应急抢险小组，应急抢险人员以加油站员工为主。</w:t>
      </w:r>
    </w:p>
    <w:p w14:paraId="220EBD0B">
      <w:pPr>
        <w:adjustRightInd w:val="0"/>
        <w:snapToGrid w:val="0"/>
        <w:spacing w:line="360" w:lineRule="auto"/>
        <w:ind w:firstLine="560"/>
        <w:rPr>
          <w:color w:val="auto"/>
        </w:rPr>
      </w:pPr>
      <w:r>
        <w:rPr>
          <w:rFonts w:hint="eastAsia"/>
          <w:color w:val="auto"/>
        </w:rPr>
        <w:t>该加油站站内配备了应急救援器材、设备，配备情况见下表：</w:t>
      </w:r>
    </w:p>
    <w:p w14:paraId="33FB4466">
      <w:pPr>
        <w:pStyle w:val="21"/>
        <w:rPr>
          <w:rFonts w:hint="eastAsia" w:ascii="黑体" w:hAnsi="黑体"/>
          <w:color w:val="auto"/>
          <w:szCs w:val="21"/>
        </w:rPr>
      </w:pPr>
      <w:r>
        <w:rPr>
          <w:rFonts w:hint="default" w:ascii="Times New Roman" w:hAnsi="Times New Roman" w:cs="Times New Roman"/>
          <w:color w:val="auto"/>
          <w:szCs w:val="21"/>
        </w:rPr>
        <w:t>表2.9-3 该加油站应</w:t>
      </w:r>
      <w:r>
        <w:rPr>
          <w:rFonts w:hint="eastAsia" w:ascii="黑体" w:hAnsi="黑体"/>
          <w:color w:val="auto"/>
          <w:szCs w:val="21"/>
        </w:rPr>
        <w:t>急救援器材、设备表</w:t>
      </w:r>
    </w:p>
    <w:tbl>
      <w:tblPr>
        <w:tblStyle w:val="48"/>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5"/>
        <w:gridCol w:w="2242"/>
        <w:gridCol w:w="1351"/>
        <w:gridCol w:w="1305"/>
        <w:gridCol w:w="1178"/>
        <w:gridCol w:w="2645"/>
      </w:tblGrid>
      <w:tr w14:paraId="31B74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715" w:type="dxa"/>
            <w:noWrap w:val="0"/>
            <w:vAlign w:val="center"/>
          </w:tcPr>
          <w:p w14:paraId="1CF5576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rPr>
            </w:pPr>
            <w:bookmarkStart w:id="180" w:name="_Toc25896"/>
            <w:r>
              <w:rPr>
                <w:rFonts w:hint="default" w:ascii="Times New Roman" w:hAnsi="Times New Roman" w:eastAsia="宋体" w:cs="Times New Roman"/>
                <w:b w:val="0"/>
                <w:bCs/>
                <w:snapToGrid w:val="0"/>
                <w:color w:val="000000"/>
                <w:sz w:val="21"/>
                <w:szCs w:val="21"/>
              </w:rPr>
              <w:t>序号</w:t>
            </w:r>
          </w:p>
        </w:tc>
        <w:tc>
          <w:tcPr>
            <w:tcW w:w="2242" w:type="dxa"/>
            <w:noWrap w:val="0"/>
            <w:vAlign w:val="top"/>
          </w:tcPr>
          <w:p w14:paraId="480E588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应急设备和物资名称</w:t>
            </w:r>
          </w:p>
        </w:tc>
        <w:tc>
          <w:tcPr>
            <w:tcW w:w="1351" w:type="dxa"/>
            <w:noWrap w:val="0"/>
            <w:vAlign w:val="top"/>
          </w:tcPr>
          <w:p w14:paraId="50D3617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规格型号</w:t>
            </w:r>
          </w:p>
        </w:tc>
        <w:tc>
          <w:tcPr>
            <w:tcW w:w="1305" w:type="dxa"/>
            <w:noWrap w:val="0"/>
            <w:vAlign w:val="top"/>
          </w:tcPr>
          <w:p w14:paraId="0B8D974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单位</w:t>
            </w:r>
          </w:p>
        </w:tc>
        <w:tc>
          <w:tcPr>
            <w:tcW w:w="1178" w:type="dxa"/>
            <w:noWrap w:val="0"/>
            <w:vAlign w:val="top"/>
          </w:tcPr>
          <w:p w14:paraId="4D35FEC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数量</w:t>
            </w:r>
          </w:p>
        </w:tc>
        <w:tc>
          <w:tcPr>
            <w:tcW w:w="2645" w:type="dxa"/>
            <w:noWrap w:val="0"/>
            <w:vAlign w:val="top"/>
          </w:tcPr>
          <w:p w14:paraId="6A84056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存放地点</w:t>
            </w:r>
          </w:p>
        </w:tc>
      </w:tr>
      <w:tr w14:paraId="66BD1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715" w:type="dxa"/>
            <w:shd w:val="clear" w:color="auto" w:fill="FFFFFF"/>
            <w:noWrap w:val="0"/>
            <w:vAlign w:val="center"/>
          </w:tcPr>
          <w:p w14:paraId="5638A74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rPr>
            </w:pPr>
            <w:r>
              <w:rPr>
                <w:rFonts w:hint="default" w:ascii="Times New Roman" w:hAnsi="Times New Roman" w:eastAsia="宋体" w:cs="Times New Roman"/>
                <w:b w:val="0"/>
                <w:bCs/>
                <w:snapToGrid w:val="0"/>
                <w:color w:val="000000"/>
                <w:sz w:val="21"/>
                <w:szCs w:val="21"/>
              </w:rPr>
              <w:t>1</w:t>
            </w:r>
          </w:p>
        </w:tc>
        <w:tc>
          <w:tcPr>
            <w:tcW w:w="2242" w:type="dxa"/>
            <w:shd w:val="clear" w:color="auto" w:fill="FFFFFF"/>
            <w:noWrap w:val="0"/>
            <w:vAlign w:val="center"/>
          </w:tcPr>
          <w:p w14:paraId="2EA37CF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35公斤干粉灭火器</w:t>
            </w:r>
          </w:p>
        </w:tc>
        <w:tc>
          <w:tcPr>
            <w:tcW w:w="1351" w:type="dxa"/>
            <w:shd w:val="clear" w:color="auto" w:fill="FFFFFF"/>
            <w:noWrap w:val="0"/>
            <w:vAlign w:val="center"/>
          </w:tcPr>
          <w:p w14:paraId="7E2315BB">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MFTZ35</w:t>
            </w:r>
          </w:p>
        </w:tc>
        <w:tc>
          <w:tcPr>
            <w:tcW w:w="1305" w:type="dxa"/>
            <w:shd w:val="clear" w:color="auto" w:fill="FFFFFF"/>
            <w:noWrap w:val="0"/>
            <w:vAlign w:val="center"/>
          </w:tcPr>
          <w:p w14:paraId="459AFE9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个</w:t>
            </w:r>
          </w:p>
        </w:tc>
        <w:tc>
          <w:tcPr>
            <w:tcW w:w="1178" w:type="dxa"/>
            <w:shd w:val="clear" w:color="auto" w:fill="FFFFFF"/>
            <w:noWrap w:val="0"/>
            <w:vAlign w:val="center"/>
          </w:tcPr>
          <w:p w14:paraId="442D979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w:t>
            </w:r>
          </w:p>
        </w:tc>
        <w:tc>
          <w:tcPr>
            <w:tcW w:w="2645" w:type="dxa"/>
            <w:shd w:val="clear" w:color="auto" w:fill="FFFFFF"/>
            <w:noWrap w:val="0"/>
            <w:vAlign w:val="center"/>
          </w:tcPr>
          <w:p w14:paraId="5DA8378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卸油区</w:t>
            </w:r>
          </w:p>
        </w:tc>
      </w:tr>
      <w:tr w14:paraId="7409D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7" w:hRule="atLeast"/>
          <w:jc w:val="center"/>
        </w:trPr>
        <w:tc>
          <w:tcPr>
            <w:tcW w:w="715" w:type="dxa"/>
            <w:shd w:val="clear" w:color="auto" w:fill="FFFFFF"/>
            <w:noWrap w:val="0"/>
            <w:vAlign w:val="center"/>
          </w:tcPr>
          <w:p w14:paraId="7C827AA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rPr>
            </w:pPr>
            <w:r>
              <w:rPr>
                <w:rFonts w:hint="default" w:ascii="Times New Roman" w:hAnsi="Times New Roman" w:eastAsia="宋体" w:cs="Times New Roman"/>
                <w:b w:val="0"/>
                <w:bCs/>
                <w:snapToGrid w:val="0"/>
                <w:color w:val="000000"/>
                <w:sz w:val="21"/>
                <w:szCs w:val="21"/>
              </w:rPr>
              <w:t>2</w:t>
            </w:r>
          </w:p>
        </w:tc>
        <w:tc>
          <w:tcPr>
            <w:tcW w:w="2242" w:type="dxa"/>
            <w:shd w:val="clear" w:color="auto" w:fill="FFFFFF"/>
            <w:noWrap w:val="0"/>
            <w:vAlign w:val="center"/>
          </w:tcPr>
          <w:p w14:paraId="2D6C90A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灭火毯</w:t>
            </w:r>
          </w:p>
        </w:tc>
        <w:tc>
          <w:tcPr>
            <w:tcW w:w="1351" w:type="dxa"/>
            <w:shd w:val="clear" w:color="auto" w:fill="FFFFFF"/>
            <w:noWrap w:val="0"/>
            <w:vAlign w:val="center"/>
          </w:tcPr>
          <w:p w14:paraId="33C2341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p>
        </w:tc>
        <w:tc>
          <w:tcPr>
            <w:tcW w:w="1305" w:type="dxa"/>
            <w:shd w:val="clear" w:color="auto" w:fill="FFFFFF"/>
            <w:noWrap w:val="0"/>
            <w:vAlign w:val="center"/>
          </w:tcPr>
          <w:p w14:paraId="3C29FBE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床</w:t>
            </w:r>
          </w:p>
        </w:tc>
        <w:tc>
          <w:tcPr>
            <w:tcW w:w="1178" w:type="dxa"/>
            <w:shd w:val="clear" w:color="auto" w:fill="FFFFFF"/>
            <w:noWrap w:val="0"/>
            <w:vAlign w:val="center"/>
          </w:tcPr>
          <w:p w14:paraId="22AEA3E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6</w:t>
            </w:r>
          </w:p>
        </w:tc>
        <w:tc>
          <w:tcPr>
            <w:tcW w:w="2645" w:type="dxa"/>
            <w:shd w:val="clear" w:color="auto" w:fill="FFFFFF"/>
            <w:noWrap w:val="0"/>
            <w:vAlign w:val="center"/>
          </w:tcPr>
          <w:p w14:paraId="2E1B673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卸油区、加油区</w:t>
            </w:r>
          </w:p>
        </w:tc>
      </w:tr>
      <w:tr w14:paraId="42FE5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7" w:hRule="atLeast"/>
          <w:jc w:val="center"/>
        </w:trPr>
        <w:tc>
          <w:tcPr>
            <w:tcW w:w="715" w:type="dxa"/>
            <w:shd w:val="clear" w:color="auto" w:fill="FFFFFF"/>
            <w:noWrap w:val="0"/>
            <w:vAlign w:val="center"/>
          </w:tcPr>
          <w:p w14:paraId="4A0B53E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3</w:t>
            </w:r>
          </w:p>
        </w:tc>
        <w:tc>
          <w:tcPr>
            <w:tcW w:w="2242" w:type="dxa"/>
            <w:shd w:val="clear" w:color="auto" w:fill="FFFFFF"/>
            <w:noWrap w:val="0"/>
            <w:vAlign w:val="center"/>
          </w:tcPr>
          <w:p w14:paraId="04A1160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干粉灭火器</w:t>
            </w:r>
          </w:p>
        </w:tc>
        <w:tc>
          <w:tcPr>
            <w:tcW w:w="1351" w:type="dxa"/>
            <w:shd w:val="clear" w:color="auto" w:fill="FFFFFF"/>
            <w:noWrap w:val="0"/>
            <w:vAlign w:val="center"/>
          </w:tcPr>
          <w:p w14:paraId="2EAC12F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MFZ</w:t>
            </w:r>
            <w:r>
              <w:rPr>
                <w:rFonts w:hint="eastAsia" w:ascii="Times New Roman" w:hAnsi="Times New Roman" w:eastAsia="宋体" w:cs="Times New Roman"/>
                <w:b w:val="0"/>
                <w:bCs/>
                <w:snapToGrid w:val="0"/>
                <w:color w:val="000000"/>
                <w:sz w:val="21"/>
                <w:szCs w:val="21"/>
                <w:lang w:val="en-US" w:eastAsia="zh-CN"/>
              </w:rPr>
              <w:t>5</w:t>
            </w:r>
            <w:r>
              <w:rPr>
                <w:rFonts w:hint="default" w:ascii="Times New Roman" w:hAnsi="Times New Roman" w:eastAsia="宋体" w:cs="Times New Roman"/>
                <w:b w:val="0"/>
                <w:bCs/>
                <w:snapToGrid w:val="0"/>
                <w:color w:val="000000"/>
                <w:sz w:val="21"/>
                <w:szCs w:val="21"/>
              </w:rPr>
              <w:t>型</w:t>
            </w:r>
          </w:p>
        </w:tc>
        <w:tc>
          <w:tcPr>
            <w:tcW w:w="1305" w:type="dxa"/>
            <w:shd w:val="clear" w:color="auto" w:fill="FFFFFF"/>
            <w:noWrap w:val="0"/>
            <w:vAlign w:val="center"/>
          </w:tcPr>
          <w:p w14:paraId="4508F4C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个</w:t>
            </w:r>
          </w:p>
        </w:tc>
        <w:tc>
          <w:tcPr>
            <w:tcW w:w="1178" w:type="dxa"/>
            <w:shd w:val="clear" w:color="auto" w:fill="FFFFFF"/>
            <w:noWrap w:val="0"/>
            <w:vAlign w:val="center"/>
          </w:tcPr>
          <w:p w14:paraId="26DF46A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cs="Times New Roman"/>
                <w:b w:val="0"/>
                <w:bCs/>
                <w:snapToGrid w:val="0"/>
                <w:color w:val="000000"/>
                <w:sz w:val="21"/>
                <w:szCs w:val="21"/>
                <w:lang w:val="en-US" w:eastAsia="zh-CN"/>
              </w:rPr>
              <w:t>8</w:t>
            </w:r>
          </w:p>
        </w:tc>
        <w:tc>
          <w:tcPr>
            <w:tcW w:w="2645" w:type="dxa"/>
            <w:shd w:val="clear" w:color="auto" w:fill="FFFFFF"/>
            <w:noWrap w:val="0"/>
            <w:vAlign w:val="center"/>
          </w:tcPr>
          <w:p w14:paraId="0BB2F51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加油区、卸油区</w:t>
            </w:r>
            <w:r>
              <w:rPr>
                <w:rFonts w:hint="eastAsia" w:ascii="Times New Roman" w:hAnsi="Times New Roman" w:eastAsia="宋体" w:cs="Times New Roman"/>
                <w:b w:val="0"/>
                <w:bCs/>
                <w:snapToGrid w:val="0"/>
                <w:color w:val="000000"/>
                <w:sz w:val="21"/>
                <w:szCs w:val="21"/>
                <w:lang w:eastAsia="zh-CN"/>
              </w:rPr>
              <w:t>、</w:t>
            </w:r>
            <w:r>
              <w:rPr>
                <w:rFonts w:hint="default" w:ascii="Times New Roman" w:hAnsi="Times New Roman" w:eastAsia="宋体" w:cs="Times New Roman"/>
                <w:b w:val="0"/>
                <w:bCs/>
                <w:snapToGrid w:val="0"/>
                <w:color w:val="000000"/>
                <w:sz w:val="21"/>
                <w:szCs w:val="21"/>
              </w:rPr>
              <w:t>配电间、</w:t>
            </w:r>
            <w:r>
              <w:rPr>
                <w:rFonts w:hint="eastAsia" w:ascii="Times New Roman" w:hAnsi="Times New Roman" w:eastAsia="宋体" w:cs="Times New Roman"/>
                <w:b w:val="0"/>
                <w:bCs/>
                <w:snapToGrid w:val="0"/>
                <w:color w:val="000000"/>
                <w:sz w:val="21"/>
                <w:szCs w:val="21"/>
                <w:lang w:val="en-US" w:eastAsia="zh-CN"/>
              </w:rPr>
              <w:t>站房</w:t>
            </w:r>
          </w:p>
        </w:tc>
      </w:tr>
      <w:tr w14:paraId="70AE1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7" w:hRule="atLeast"/>
          <w:jc w:val="center"/>
        </w:trPr>
        <w:tc>
          <w:tcPr>
            <w:tcW w:w="715" w:type="dxa"/>
            <w:shd w:val="clear" w:color="auto" w:fill="FFFFFF"/>
            <w:noWrap w:val="0"/>
            <w:vAlign w:val="center"/>
          </w:tcPr>
          <w:p w14:paraId="6001AC0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4</w:t>
            </w:r>
          </w:p>
        </w:tc>
        <w:tc>
          <w:tcPr>
            <w:tcW w:w="2242" w:type="dxa"/>
            <w:shd w:val="clear" w:color="auto" w:fill="FFFFFF"/>
            <w:noWrap w:val="0"/>
            <w:vAlign w:val="center"/>
          </w:tcPr>
          <w:p w14:paraId="0F2F84E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rPr>
              <w:t>二氧化碳灭火器</w:t>
            </w:r>
          </w:p>
        </w:tc>
        <w:tc>
          <w:tcPr>
            <w:tcW w:w="1351" w:type="dxa"/>
            <w:shd w:val="clear" w:color="auto" w:fill="FFFFFF"/>
            <w:noWrap w:val="0"/>
            <w:vAlign w:val="center"/>
          </w:tcPr>
          <w:p w14:paraId="07CBB02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10</w:t>
            </w:r>
            <w:r>
              <w:rPr>
                <w:rFonts w:hint="default" w:ascii="Times New Roman" w:hAnsi="Times New Roman" w:eastAsia="宋体" w:cs="Times New Roman"/>
                <w:b w:val="0"/>
                <w:bCs/>
                <w:snapToGrid w:val="0"/>
                <w:color w:val="000000"/>
                <w:sz w:val="21"/>
                <w:szCs w:val="21"/>
              </w:rPr>
              <w:t>kg</w:t>
            </w:r>
          </w:p>
        </w:tc>
        <w:tc>
          <w:tcPr>
            <w:tcW w:w="1305" w:type="dxa"/>
            <w:shd w:val="clear" w:color="auto" w:fill="FFFFFF"/>
            <w:noWrap w:val="0"/>
            <w:vAlign w:val="center"/>
          </w:tcPr>
          <w:p w14:paraId="16ADB54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个</w:t>
            </w:r>
          </w:p>
        </w:tc>
        <w:tc>
          <w:tcPr>
            <w:tcW w:w="1178" w:type="dxa"/>
            <w:shd w:val="clear" w:color="auto" w:fill="FFFFFF"/>
            <w:noWrap w:val="0"/>
            <w:vAlign w:val="center"/>
          </w:tcPr>
          <w:p w14:paraId="283FBE1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4</w:t>
            </w:r>
          </w:p>
        </w:tc>
        <w:tc>
          <w:tcPr>
            <w:tcW w:w="2645" w:type="dxa"/>
            <w:shd w:val="clear" w:color="auto" w:fill="FFFFFF"/>
            <w:noWrap w:val="0"/>
            <w:vAlign w:val="center"/>
          </w:tcPr>
          <w:p w14:paraId="4F85360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配电间、</w:t>
            </w:r>
            <w:r>
              <w:rPr>
                <w:rFonts w:hint="eastAsia" w:ascii="Times New Roman" w:hAnsi="Times New Roman" w:eastAsia="宋体" w:cs="Times New Roman"/>
                <w:b w:val="0"/>
                <w:bCs/>
                <w:snapToGrid w:val="0"/>
                <w:color w:val="000000"/>
                <w:sz w:val="21"/>
                <w:szCs w:val="21"/>
                <w:lang w:val="en-US" w:eastAsia="zh-CN"/>
              </w:rPr>
              <w:t>站房</w:t>
            </w:r>
          </w:p>
        </w:tc>
      </w:tr>
      <w:tr w14:paraId="68CBF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 w:hRule="atLeast"/>
          <w:jc w:val="center"/>
        </w:trPr>
        <w:tc>
          <w:tcPr>
            <w:tcW w:w="715" w:type="dxa"/>
            <w:shd w:val="clear" w:color="auto" w:fill="FFFFFF"/>
            <w:noWrap w:val="0"/>
            <w:vAlign w:val="center"/>
          </w:tcPr>
          <w:p w14:paraId="3686BE7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5</w:t>
            </w:r>
          </w:p>
        </w:tc>
        <w:tc>
          <w:tcPr>
            <w:tcW w:w="2242" w:type="dxa"/>
            <w:shd w:val="clear" w:color="auto" w:fill="FFFFFF"/>
            <w:noWrap w:val="0"/>
            <w:vAlign w:val="center"/>
          </w:tcPr>
          <w:p w14:paraId="4F5C95F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消防沙</w:t>
            </w:r>
          </w:p>
        </w:tc>
        <w:tc>
          <w:tcPr>
            <w:tcW w:w="1351" w:type="dxa"/>
            <w:shd w:val="clear" w:color="auto" w:fill="FFFFFF"/>
            <w:noWrap w:val="0"/>
            <w:vAlign w:val="center"/>
          </w:tcPr>
          <w:p w14:paraId="0345EB7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p>
        </w:tc>
        <w:tc>
          <w:tcPr>
            <w:tcW w:w="1305" w:type="dxa"/>
            <w:shd w:val="clear" w:color="auto" w:fill="FFFFFF"/>
            <w:noWrap w:val="0"/>
            <w:vAlign w:val="center"/>
          </w:tcPr>
          <w:p w14:paraId="4046CCD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m</w:t>
            </w:r>
            <w:r>
              <w:rPr>
                <w:rFonts w:hint="eastAsia" w:ascii="Times New Roman" w:hAnsi="Times New Roman" w:eastAsia="宋体" w:cs="Times New Roman"/>
                <w:b w:val="0"/>
                <w:bCs/>
                <w:snapToGrid w:val="0"/>
                <w:color w:val="000000"/>
                <w:sz w:val="21"/>
                <w:szCs w:val="21"/>
                <w:vertAlign w:val="superscript"/>
                <w:lang w:val="en-US" w:eastAsia="zh-CN"/>
              </w:rPr>
              <w:t>3</w:t>
            </w:r>
          </w:p>
        </w:tc>
        <w:tc>
          <w:tcPr>
            <w:tcW w:w="1178" w:type="dxa"/>
            <w:shd w:val="clear" w:color="auto" w:fill="FFFFFF"/>
            <w:noWrap w:val="0"/>
            <w:vAlign w:val="center"/>
          </w:tcPr>
          <w:p w14:paraId="254248B4">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2</w:t>
            </w:r>
          </w:p>
        </w:tc>
        <w:tc>
          <w:tcPr>
            <w:tcW w:w="2645" w:type="dxa"/>
            <w:shd w:val="clear" w:color="auto" w:fill="FFFFFF"/>
            <w:noWrap w:val="0"/>
            <w:vAlign w:val="center"/>
          </w:tcPr>
          <w:p w14:paraId="6E83C54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rPr>
              <w:t>卸油区</w:t>
            </w:r>
          </w:p>
        </w:tc>
      </w:tr>
      <w:tr w14:paraId="3F5CB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 w:hRule="atLeast"/>
          <w:jc w:val="center"/>
        </w:trPr>
        <w:tc>
          <w:tcPr>
            <w:tcW w:w="715" w:type="dxa"/>
            <w:shd w:val="clear" w:color="auto" w:fill="FFFFFF"/>
            <w:noWrap w:val="0"/>
            <w:vAlign w:val="center"/>
          </w:tcPr>
          <w:p w14:paraId="09B4F14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6</w:t>
            </w:r>
          </w:p>
        </w:tc>
        <w:tc>
          <w:tcPr>
            <w:tcW w:w="2242" w:type="dxa"/>
            <w:shd w:val="clear" w:color="auto" w:fill="auto"/>
            <w:noWrap w:val="0"/>
            <w:vAlign w:val="center"/>
          </w:tcPr>
          <w:p w14:paraId="5E0792D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铝桶</w:t>
            </w:r>
          </w:p>
        </w:tc>
        <w:tc>
          <w:tcPr>
            <w:tcW w:w="1351" w:type="dxa"/>
            <w:shd w:val="clear" w:color="auto" w:fill="FFFFFF"/>
            <w:noWrap w:val="0"/>
            <w:vAlign w:val="center"/>
          </w:tcPr>
          <w:p w14:paraId="018D85F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p>
        </w:tc>
        <w:tc>
          <w:tcPr>
            <w:tcW w:w="1305" w:type="dxa"/>
            <w:shd w:val="clear" w:color="auto" w:fill="auto"/>
            <w:noWrap w:val="0"/>
            <w:vAlign w:val="center"/>
          </w:tcPr>
          <w:p w14:paraId="44207D4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495A535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cs="Times New Roman"/>
                <w:b w:val="0"/>
                <w:bCs/>
                <w:snapToGrid w:val="0"/>
                <w:color w:val="000000"/>
                <w:sz w:val="21"/>
                <w:szCs w:val="21"/>
                <w:lang w:val="en-US" w:eastAsia="zh-CN"/>
              </w:rPr>
              <w:t>2</w:t>
            </w:r>
          </w:p>
        </w:tc>
        <w:tc>
          <w:tcPr>
            <w:tcW w:w="2645" w:type="dxa"/>
            <w:noWrap w:val="0"/>
            <w:vAlign w:val="center"/>
          </w:tcPr>
          <w:p w14:paraId="6DAE640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卸油区</w:t>
            </w:r>
          </w:p>
        </w:tc>
      </w:tr>
      <w:tr w14:paraId="51B1A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8" w:hRule="atLeast"/>
          <w:jc w:val="center"/>
        </w:trPr>
        <w:tc>
          <w:tcPr>
            <w:tcW w:w="715" w:type="dxa"/>
            <w:shd w:val="clear" w:color="auto" w:fill="FFFFFF"/>
            <w:noWrap w:val="0"/>
            <w:vAlign w:val="center"/>
          </w:tcPr>
          <w:p w14:paraId="4392151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7</w:t>
            </w:r>
          </w:p>
        </w:tc>
        <w:tc>
          <w:tcPr>
            <w:tcW w:w="2242" w:type="dxa"/>
            <w:shd w:val="clear" w:color="auto" w:fill="auto"/>
            <w:noWrap w:val="0"/>
            <w:vAlign w:val="center"/>
          </w:tcPr>
          <w:p w14:paraId="6531F431">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铝勺</w:t>
            </w:r>
          </w:p>
        </w:tc>
        <w:tc>
          <w:tcPr>
            <w:tcW w:w="1351" w:type="dxa"/>
            <w:shd w:val="clear" w:color="auto" w:fill="FFFFFF"/>
            <w:noWrap w:val="0"/>
            <w:vAlign w:val="center"/>
          </w:tcPr>
          <w:p w14:paraId="1348B5F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2C45F29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112D402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cs="Times New Roman"/>
                <w:b w:val="0"/>
                <w:bCs/>
                <w:snapToGrid w:val="0"/>
                <w:color w:val="000000"/>
                <w:sz w:val="21"/>
                <w:szCs w:val="21"/>
                <w:lang w:val="en-US" w:eastAsia="zh-CN"/>
              </w:rPr>
              <w:t>2</w:t>
            </w:r>
          </w:p>
        </w:tc>
        <w:tc>
          <w:tcPr>
            <w:tcW w:w="2645" w:type="dxa"/>
            <w:noWrap w:val="0"/>
            <w:vAlign w:val="center"/>
          </w:tcPr>
          <w:p w14:paraId="51724C4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卸油区</w:t>
            </w:r>
          </w:p>
        </w:tc>
      </w:tr>
      <w:tr w14:paraId="5632C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 w:hRule="atLeast"/>
          <w:jc w:val="center"/>
        </w:trPr>
        <w:tc>
          <w:tcPr>
            <w:tcW w:w="715" w:type="dxa"/>
            <w:shd w:val="clear" w:color="auto" w:fill="FFFFFF"/>
            <w:noWrap w:val="0"/>
            <w:vAlign w:val="center"/>
          </w:tcPr>
          <w:p w14:paraId="734586C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8</w:t>
            </w:r>
          </w:p>
        </w:tc>
        <w:tc>
          <w:tcPr>
            <w:tcW w:w="2242" w:type="dxa"/>
            <w:shd w:val="clear" w:color="auto" w:fill="auto"/>
            <w:noWrap w:val="0"/>
            <w:vAlign w:val="center"/>
          </w:tcPr>
          <w:p w14:paraId="552F271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雨衣</w:t>
            </w:r>
          </w:p>
        </w:tc>
        <w:tc>
          <w:tcPr>
            <w:tcW w:w="1351" w:type="dxa"/>
            <w:shd w:val="clear" w:color="auto" w:fill="FFFFFF"/>
            <w:noWrap w:val="0"/>
            <w:vAlign w:val="center"/>
          </w:tcPr>
          <w:p w14:paraId="159A8C4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p>
        </w:tc>
        <w:tc>
          <w:tcPr>
            <w:tcW w:w="1305" w:type="dxa"/>
            <w:shd w:val="clear" w:color="auto" w:fill="auto"/>
            <w:noWrap w:val="0"/>
            <w:vAlign w:val="center"/>
          </w:tcPr>
          <w:p w14:paraId="7FE9313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件</w:t>
            </w:r>
          </w:p>
        </w:tc>
        <w:tc>
          <w:tcPr>
            <w:tcW w:w="1178" w:type="dxa"/>
            <w:noWrap w:val="0"/>
            <w:vAlign w:val="center"/>
          </w:tcPr>
          <w:p w14:paraId="1C857B1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1</w:t>
            </w:r>
          </w:p>
        </w:tc>
        <w:tc>
          <w:tcPr>
            <w:tcW w:w="2645" w:type="dxa"/>
            <w:noWrap w:val="0"/>
            <w:vAlign w:val="center"/>
          </w:tcPr>
          <w:p w14:paraId="37CBD68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026F7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9" w:hRule="atLeast"/>
          <w:jc w:val="center"/>
        </w:trPr>
        <w:tc>
          <w:tcPr>
            <w:tcW w:w="715" w:type="dxa"/>
            <w:shd w:val="clear" w:color="auto" w:fill="FFFFFF"/>
            <w:noWrap w:val="0"/>
            <w:vAlign w:val="center"/>
          </w:tcPr>
          <w:p w14:paraId="6D3286C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9</w:t>
            </w:r>
          </w:p>
        </w:tc>
        <w:tc>
          <w:tcPr>
            <w:tcW w:w="2242" w:type="dxa"/>
            <w:shd w:val="clear" w:color="auto" w:fill="auto"/>
            <w:noWrap w:val="0"/>
            <w:vAlign w:val="center"/>
          </w:tcPr>
          <w:p w14:paraId="209E3B2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雨鞋</w:t>
            </w:r>
          </w:p>
        </w:tc>
        <w:tc>
          <w:tcPr>
            <w:tcW w:w="1351" w:type="dxa"/>
            <w:shd w:val="clear" w:color="auto" w:fill="FFFFFF"/>
            <w:noWrap w:val="0"/>
            <w:vAlign w:val="center"/>
          </w:tcPr>
          <w:p w14:paraId="5C12DBB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6B4D470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双</w:t>
            </w:r>
          </w:p>
        </w:tc>
        <w:tc>
          <w:tcPr>
            <w:tcW w:w="1178" w:type="dxa"/>
            <w:noWrap w:val="0"/>
            <w:vAlign w:val="center"/>
          </w:tcPr>
          <w:p w14:paraId="6887A63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1</w:t>
            </w:r>
          </w:p>
        </w:tc>
        <w:tc>
          <w:tcPr>
            <w:tcW w:w="2645" w:type="dxa"/>
            <w:noWrap w:val="0"/>
            <w:vAlign w:val="center"/>
          </w:tcPr>
          <w:p w14:paraId="1AFB6871">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620C8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715" w:type="dxa"/>
            <w:shd w:val="clear" w:color="auto" w:fill="FFFFFF"/>
            <w:noWrap w:val="0"/>
            <w:vAlign w:val="center"/>
          </w:tcPr>
          <w:p w14:paraId="1F02F62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10</w:t>
            </w:r>
          </w:p>
        </w:tc>
        <w:tc>
          <w:tcPr>
            <w:tcW w:w="2242" w:type="dxa"/>
            <w:shd w:val="clear" w:color="auto" w:fill="auto"/>
            <w:noWrap w:val="0"/>
            <w:vAlign w:val="center"/>
          </w:tcPr>
          <w:p w14:paraId="0BF81BB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编织袋</w:t>
            </w:r>
          </w:p>
        </w:tc>
        <w:tc>
          <w:tcPr>
            <w:tcW w:w="1351" w:type="dxa"/>
            <w:shd w:val="clear" w:color="auto" w:fill="FFFFFF"/>
            <w:noWrap w:val="0"/>
            <w:vAlign w:val="center"/>
          </w:tcPr>
          <w:p w14:paraId="25D3DAE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76108DD4">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1FDEC67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cs="Times New Roman"/>
                <w:b w:val="0"/>
                <w:bCs/>
                <w:snapToGrid w:val="0"/>
                <w:color w:val="000000"/>
                <w:sz w:val="21"/>
                <w:szCs w:val="21"/>
                <w:lang w:val="en-US" w:eastAsia="zh-CN"/>
              </w:rPr>
              <w:t>2</w:t>
            </w:r>
          </w:p>
        </w:tc>
        <w:tc>
          <w:tcPr>
            <w:tcW w:w="2645" w:type="dxa"/>
            <w:noWrap w:val="0"/>
            <w:vAlign w:val="center"/>
          </w:tcPr>
          <w:p w14:paraId="7367138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4634F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7" w:hRule="atLeast"/>
          <w:jc w:val="center"/>
        </w:trPr>
        <w:tc>
          <w:tcPr>
            <w:tcW w:w="715" w:type="dxa"/>
            <w:shd w:val="clear" w:color="auto" w:fill="FFFFFF"/>
            <w:noWrap w:val="0"/>
            <w:vAlign w:val="center"/>
          </w:tcPr>
          <w:p w14:paraId="45C7297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11</w:t>
            </w:r>
          </w:p>
        </w:tc>
        <w:tc>
          <w:tcPr>
            <w:tcW w:w="2242" w:type="dxa"/>
            <w:shd w:val="clear" w:color="auto" w:fill="auto"/>
            <w:noWrap w:val="0"/>
            <w:vAlign w:val="center"/>
          </w:tcPr>
          <w:p w14:paraId="3798738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防护眼镜</w:t>
            </w:r>
          </w:p>
        </w:tc>
        <w:tc>
          <w:tcPr>
            <w:tcW w:w="1351" w:type="dxa"/>
            <w:shd w:val="clear" w:color="auto" w:fill="FFFFFF"/>
            <w:noWrap w:val="0"/>
            <w:vAlign w:val="center"/>
          </w:tcPr>
          <w:p w14:paraId="3E2F4D5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6023623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副</w:t>
            </w:r>
          </w:p>
        </w:tc>
        <w:tc>
          <w:tcPr>
            <w:tcW w:w="1178" w:type="dxa"/>
            <w:noWrap w:val="0"/>
            <w:vAlign w:val="center"/>
          </w:tcPr>
          <w:p w14:paraId="4090D02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1</w:t>
            </w:r>
          </w:p>
        </w:tc>
        <w:tc>
          <w:tcPr>
            <w:tcW w:w="2645" w:type="dxa"/>
            <w:noWrap w:val="0"/>
            <w:vAlign w:val="center"/>
          </w:tcPr>
          <w:p w14:paraId="29CCBE9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6B2C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715" w:type="dxa"/>
            <w:shd w:val="clear" w:color="auto" w:fill="FFFFFF"/>
            <w:noWrap w:val="0"/>
            <w:vAlign w:val="center"/>
          </w:tcPr>
          <w:p w14:paraId="72BB0D6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12</w:t>
            </w:r>
          </w:p>
        </w:tc>
        <w:tc>
          <w:tcPr>
            <w:tcW w:w="2242" w:type="dxa"/>
            <w:shd w:val="clear" w:color="auto" w:fill="auto"/>
            <w:noWrap w:val="0"/>
            <w:vAlign w:val="center"/>
          </w:tcPr>
          <w:p w14:paraId="3F077B8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安全帽</w:t>
            </w:r>
          </w:p>
        </w:tc>
        <w:tc>
          <w:tcPr>
            <w:tcW w:w="1351" w:type="dxa"/>
            <w:shd w:val="clear" w:color="auto" w:fill="FFFFFF"/>
            <w:noWrap w:val="0"/>
            <w:vAlign w:val="center"/>
          </w:tcPr>
          <w:p w14:paraId="0163AA4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273F253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0A11319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179034B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5934A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0" w:type="auto"/>
            <w:noWrap w:val="0"/>
            <w:vAlign w:val="top"/>
          </w:tcPr>
          <w:p w14:paraId="6DBD4EB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13</w:t>
            </w:r>
          </w:p>
        </w:tc>
        <w:tc>
          <w:tcPr>
            <w:tcW w:w="0" w:type="auto"/>
            <w:shd w:val="clear" w:color="auto" w:fill="auto"/>
            <w:noWrap w:val="0"/>
            <w:vAlign w:val="center"/>
          </w:tcPr>
          <w:p w14:paraId="0180C2E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警棍</w:t>
            </w:r>
          </w:p>
        </w:tc>
        <w:tc>
          <w:tcPr>
            <w:tcW w:w="1351" w:type="dxa"/>
            <w:noWrap w:val="0"/>
            <w:vAlign w:val="top"/>
          </w:tcPr>
          <w:p w14:paraId="48DA8D6B">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6DB1ABBD">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根</w:t>
            </w:r>
          </w:p>
        </w:tc>
        <w:tc>
          <w:tcPr>
            <w:tcW w:w="1178" w:type="dxa"/>
            <w:noWrap w:val="0"/>
            <w:vAlign w:val="center"/>
          </w:tcPr>
          <w:p w14:paraId="2394AB8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1B8D4BA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0DEFD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 w:hRule="atLeast"/>
          <w:jc w:val="center"/>
        </w:trPr>
        <w:tc>
          <w:tcPr>
            <w:tcW w:w="0" w:type="auto"/>
            <w:noWrap w:val="0"/>
            <w:vAlign w:val="top"/>
          </w:tcPr>
          <w:p w14:paraId="20643D6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14</w:t>
            </w:r>
          </w:p>
        </w:tc>
        <w:tc>
          <w:tcPr>
            <w:tcW w:w="0" w:type="auto"/>
            <w:shd w:val="clear" w:color="auto" w:fill="auto"/>
            <w:noWrap w:val="0"/>
            <w:vAlign w:val="center"/>
          </w:tcPr>
          <w:p w14:paraId="1B292B0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齐眉棍</w:t>
            </w:r>
          </w:p>
        </w:tc>
        <w:tc>
          <w:tcPr>
            <w:tcW w:w="1351" w:type="dxa"/>
            <w:noWrap w:val="0"/>
            <w:vAlign w:val="top"/>
          </w:tcPr>
          <w:p w14:paraId="651B08E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1A086A0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根</w:t>
            </w:r>
          </w:p>
        </w:tc>
        <w:tc>
          <w:tcPr>
            <w:tcW w:w="1178" w:type="dxa"/>
            <w:noWrap w:val="0"/>
            <w:vAlign w:val="center"/>
          </w:tcPr>
          <w:p w14:paraId="4D3CC78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1C4595D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186C1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6" w:hRule="atLeast"/>
          <w:jc w:val="center"/>
        </w:trPr>
        <w:tc>
          <w:tcPr>
            <w:tcW w:w="0" w:type="auto"/>
            <w:noWrap w:val="0"/>
            <w:vAlign w:val="top"/>
          </w:tcPr>
          <w:p w14:paraId="1A0B136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15</w:t>
            </w:r>
          </w:p>
        </w:tc>
        <w:tc>
          <w:tcPr>
            <w:tcW w:w="0" w:type="auto"/>
            <w:shd w:val="clear" w:color="auto" w:fill="auto"/>
            <w:noWrap w:val="0"/>
            <w:vAlign w:val="center"/>
          </w:tcPr>
          <w:p w14:paraId="0FEDBC4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防暴盾牌</w:t>
            </w:r>
          </w:p>
        </w:tc>
        <w:tc>
          <w:tcPr>
            <w:tcW w:w="1351" w:type="dxa"/>
            <w:noWrap w:val="0"/>
            <w:vAlign w:val="top"/>
          </w:tcPr>
          <w:p w14:paraId="3783BA9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6016665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1790111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447903E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5F334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6" w:hRule="atLeast"/>
          <w:jc w:val="center"/>
        </w:trPr>
        <w:tc>
          <w:tcPr>
            <w:tcW w:w="0" w:type="auto"/>
            <w:noWrap w:val="0"/>
            <w:vAlign w:val="top"/>
          </w:tcPr>
          <w:p w14:paraId="602214A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16</w:t>
            </w:r>
          </w:p>
        </w:tc>
        <w:tc>
          <w:tcPr>
            <w:tcW w:w="0" w:type="auto"/>
            <w:shd w:val="clear" w:color="auto" w:fill="auto"/>
            <w:noWrap w:val="0"/>
            <w:vAlign w:val="center"/>
          </w:tcPr>
          <w:p w14:paraId="053D5B6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防暴头盔</w:t>
            </w:r>
          </w:p>
        </w:tc>
        <w:tc>
          <w:tcPr>
            <w:tcW w:w="1351" w:type="dxa"/>
            <w:noWrap w:val="0"/>
            <w:vAlign w:val="top"/>
          </w:tcPr>
          <w:p w14:paraId="206A2CB4">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074C48F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3E5D4DD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2105607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r w14:paraId="07C7A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 w:hRule="atLeast"/>
          <w:jc w:val="center"/>
        </w:trPr>
        <w:tc>
          <w:tcPr>
            <w:tcW w:w="0" w:type="auto"/>
            <w:noWrap w:val="0"/>
            <w:vAlign w:val="top"/>
          </w:tcPr>
          <w:p w14:paraId="0847704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17</w:t>
            </w:r>
          </w:p>
        </w:tc>
        <w:tc>
          <w:tcPr>
            <w:tcW w:w="0" w:type="auto"/>
            <w:shd w:val="clear" w:color="auto" w:fill="auto"/>
            <w:noWrap w:val="0"/>
            <w:vAlign w:val="center"/>
          </w:tcPr>
          <w:p w14:paraId="1071F99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警用喷雾</w:t>
            </w:r>
          </w:p>
        </w:tc>
        <w:tc>
          <w:tcPr>
            <w:tcW w:w="1351" w:type="dxa"/>
            <w:noWrap w:val="0"/>
            <w:vAlign w:val="top"/>
          </w:tcPr>
          <w:p w14:paraId="46443BF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p>
        </w:tc>
        <w:tc>
          <w:tcPr>
            <w:tcW w:w="1305" w:type="dxa"/>
            <w:shd w:val="clear" w:color="auto" w:fill="auto"/>
            <w:noWrap w:val="0"/>
            <w:vAlign w:val="center"/>
          </w:tcPr>
          <w:p w14:paraId="09DE8E9F">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eastAsia" w:ascii="Times New Roman" w:hAnsi="Times New Roman" w:eastAsia="宋体" w:cs="Times New Roman"/>
                <w:b w:val="0"/>
                <w:bCs/>
                <w:snapToGrid w:val="0"/>
                <w:color w:val="000000"/>
                <w:sz w:val="21"/>
                <w:szCs w:val="21"/>
                <w:lang w:val="en-US" w:eastAsia="zh-CN"/>
              </w:rPr>
              <w:t>个</w:t>
            </w:r>
          </w:p>
        </w:tc>
        <w:tc>
          <w:tcPr>
            <w:tcW w:w="1178" w:type="dxa"/>
            <w:noWrap w:val="0"/>
            <w:vAlign w:val="center"/>
          </w:tcPr>
          <w:p w14:paraId="6A56B33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2</w:t>
            </w:r>
          </w:p>
        </w:tc>
        <w:tc>
          <w:tcPr>
            <w:tcW w:w="2645" w:type="dxa"/>
            <w:noWrap w:val="0"/>
            <w:vAlign w:val="center"/>
          </w:tcPr>
          <w:p w14:paraId="5FE4E22B">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b w:val="0"/>
                <w:bCs/>
                <w:snapToGrid w:val="0"/>
                <w:color w:val="000000"/>
                <w:sz w:val="21"/>
                <w:szCs w:val="21"/>
                <w:lang w:val="en-US" w:eastAsia="en-US"/>
              </w:rPr>
            </w:pPr>
            <w:r>
              <w:rPr>
                <w:rFonts w:hint="default" w:ascii="Times New Roman" w:hAnsi="Times New Roman" w:eastAsia="宋体" w:cs="Times New Roman"/>
                <w:b w:val="0"/>
                <w:bCs/>
                <w:snapToGrid w:val="0"/>
                <w:color w:val="000000"/>
                <w:sz w:val="21"/>
                <w:szCs w:val="21"/>
                <w:lang w:val="en-US" w:eastAsia="zh-CN"/>
              </w:rPr>
              <w:t>站房</w:t>
            </w:r>
          </w:p>
        </w:tc>
      </w:tr>
    </w:tbl>
    <w:p w14:paraId="31BCB2AC">
      <w:pPr>
        <w:keepNext w:val="0"/>
        <w:keepLines w:val="0"/>
        <w:pageBreakBefore w:val="0"/>
        <w:widowControl/>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cs="Times New Roman"/>
          <w:color w:val="auto"/>
        </w:rPr>
      </w:pPr>
      <w:r>
        <w:rPr>
          <w:rFonts w:hint="eastAsia"/>
          <w:color w:val="auto"/>
          <w:lang w:val="en-US" w:eastAsia="zh-CN"/>
        </w:rPr>
        <w:t>该加油站</w:t>
      </w:r>
      <w:r>
        <w:rPr>
          <w:rFonts w:hint="eastAsia"/>
          <w:color w:val="auto"/>
        </w:rPr>
        <w:t>建立应急救援小组，配备了灭火器、</w:t>
      </w:r>
      <w:r>
        <w:rPr>
          <w:rFonts w:hint="eastAsia"/>
          <w:color w:val="auto"/>
          <w:lang w:val="en-US" w:eastAsia="zh-CN"/>
        </w:rPr>
        <w:t>灭火毯、铝桶等</w:t>
      </w:r>
      <w:r>
        <w:rPr>
          <w:rFonts w:hint="eastAsia"/>
          <w:color w:val="auto"/>
        </w:rPr>
        <w:t>。对应急预案进行了一次灭火演练，由于对员工进行了预案的培训教育，演练前组织</w:t>
      </w:r>
      <w:r>
        <w:rPr>
          <w:rFonts w:hint="default" w:ascii="Times New Roman" w:hAnsi="Times New Roman" w:cs="Times New Roman"/>
          <w:color w:val="auto"/>
        </w:rPr>
        <w:t>员工观摩，演练基本达到预期效果，参演人员能按各自职责进行灭火、救援、疏散、保障和抢险。</w:t>
      </w:r>
    </w:p>
    <w:p w14:paraId="6B6FCE33">
      <w:pPr>
        <w:pStyle w:val="5"/>
        <w:spacing w:before="120" w:beforeLines="50" w:line="360" w:lineRule="auto"/>
        <w:ind w:left="0" w:leftChars="0" w:firstLine="0" w:firstLineChars="0"/>
        <w:rPr>
          <w:rFonts w:hint="default" w:ascii="Times New Roman" w:hAnsi="Times New Roman" w:cs="Times New Roman"/>
          <w:color w:val="auto"/>
        </w:rPr>
      </w:pPr>
      <w:r>
        <w:rPr>
          <w:rFonts w:hint="default" w:ascii="Times New Roman" w:hAnsi="Times New Roman" w:cs="Times New Roman"/>
          <w:color w:val="auto"/>
          <w:lang w:val="en-US" w:eastAsia="zh-CN"/>
        </w:rPr>
        <w:t>2.9.4</w:t>
      </w:r>
      <w:r>
        <w:rPr>
          <w:rFonts w:hint="default" w:ascii="Times New Roman" w:hAnsi="Times New Roman" w:cs="Times New Roman"/>
          <w:color w:val="auto"/>
        </w:rPr>
        <w:t>风险管控情况</w:t>
      </w:r>
    </w:p>
    <w:p w14:paraId="2889B58B">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color w:val="auto"/>
          <w:lang w:val="en-US" w:eastAsia="zh-CN"/>
        </w:rPr>
      </w:pPr>
      <w:r>
        <w:rPr>
          <w:rFonts w:hint="default" w:ascii="Times New Roman" w:hAnsi="Times New Roman" w:cs="Times New Roman"/>
          <w:color w:val="auto"/>
          <w:lang w:val="en-US" w:eastAsia="zh-CN"/>
        </w:rPr>
        <w:t>该加油站建立了安全生产风险分级管控体系，辨识了各作业场所及岗位</w:t>
      </w:r>
      <w:r>
        <w:rPr>
          <w:rFonts w:hint="eastAsia"/>
          <w:color w:val="auto"/>
          <w:lang w:val="en-US" w:eastAsia="zh-CN"/>
        </w:rPr>
        <w:t>的危险、有害因素，并划分了“红、橙、黄、蓝”四级，并根据划分的风险等级，制定了安全生产“一图一牌三清单”，“一图”即企业“红橙黄蓝”四色安全风险空间分布图；“一牌”即风险告知牌；“三个清单”即风险管控责任清单、措施清单、应急处置清单。</w:t>
      </w:r>
    </w:p>
    <w:p w14:paraId="798EB53A">
      <w:pPr>
        <w:keepNext w:val="0"/>
        <w:keepLines w:val="0"/>
        <w:pageBreakBefore w:val="0"/>
        <w:widowControl/>
        <w:kinsoku/>
        <w:wordWrap/>
        <w:overflowPunct/>
        <w:topLinePunct w:val="0"/>
        <w:autoSpaceDE/>
        <w:autoSpaceDN/>
        <w:bidi w:val="0"/>
        <w:adjustRightInd/>
        <w:snapToGrid/>
        <w:spacing w:line="560" w:lineRule="exact"/>
        <w:ind w:firstLine="560"/>
        <w:textAlignment w:val="auto"/>
        <w:rPr>
          <w:rFonts w:hint="eastAsia"/>
          <w:color w:val="auto"/>
          <w:lang w:val="en-US" w:eastAsia="zh-CN"/>
        </w:rPr>
      </w:pPr>
      <w:r>
        <w:rPr>
          <w:rFonts w:hint="eastAsia"/>
          <w:color w:val="auto"/>
          <w:lang w:val="en-US" w:eastAsia="zh-CN"/>
        </w:rPr>
        <w:t>公司从组织、制度、技术、应急等方面对安全风险实施管控，建立了风险管控责任清单、管控措施清单、应急处置清单。</w:t>
      </w:r>
    </w:p>
    <w:bookmarkEnd w:id="180"/>
    <w:p w14:paraId="4F31AAFB">
      <w:pPr>
        <w:pStyle w:val="3"/>
        <w:spacing w:line="360" w:lineRule="auto"/>
        <w:rPr>
          <w:color w:val="auto"/>
        </w:rPr>
      </w:pPr>
      <w:bookmarkStart w:id="181" w:name="_Toc28378"/>
      <w:bookmarkStart w:id="182" w:name="_Toc5874"/>
      <w:bookmarkStart w:id="183" w:name="_Toc24803"/>
      <w:r>
        <w:rPr>
          <w:rFonts w:hint="eastAsia"/>
          <w:color w:val="auto"/>
        </w:rPr>
        <w:t xml:space="preserve">第三章 </w:t>
      </w:r>
      <w:bookmarkEnd w:id="173"/>
      <w:bookmarkEnd w:id="174"/>
      <w:bookmarkEnd w:id="175"/>
      <w:bookmarkEnd w:id="176"/>
      <w:bookmarkEnd w:id="177"/>
      <w:r>
        <w:rPr>
          <w:rFonts w:hint="eastAsia"/>
          <w:color w:val="auto"/>
        </w:rPr>
        <w:t>危险、有害因素的辨识结果及依据说明</w:t>
      </w:r>
      <w:bookmarkEnd w:id="181"/>
      <w:bookmarkEnd w:id="182"/>
      <w:bookmarkEnd w:id="183"/>
    </w:p>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14:paraId="02E4C4BF">
      <w:pPr>
        <w:pStyle w:val="4"/>
        <w:spacing w:line="360" w:lineRule="auto"/>
        <w:jc w:val="both"/>
        <w:rPr>
          <w:rFonts w:hint="default" w:ascii="Times New Roman" w:hAnsi="Times New Roman" w:eastAsia="楷体" w:cs="Times New Roman"/>
          <w:color w:val="auto"/>
        </w:rPr>
      </w:pPr>
      <w:bookmarkStart w:id="184" w:name="_Toc162883260"/>
      <w:bookmarkStart w:id="185" w:name="_Toc213658045"/>
      <w:bookmarkStart w:id="186" w:name="_Toc9646"/>
      <w:bookmarkStart w:id="187" w:name="_Toc3531"/>
      <w:bookmarkStart w:id="188" w:name="_Toc32544"/>
      <w:bookmarkStart w:id="189" w:name="_Toc14609"/>
      <w:bookmarkStart w:id="190" w:name="_Toc12738"/>
      <w:bookmarkStart w:id="191" w:name="_Toc14865"/>
      <w:bookmarkStart w:id="192" w:name="_Toc15876"/>
      <w:bookmarkStart w:id="193" w:name="_Toc16164"/>
      <w:r>
        <w:rPr>
          <w:rFonts w:hint="default" w:ascii="Times New Roman" w:hAnsi="Times New Roman" w:eastAsia="楷体" w:cs="Times New Roman"/>
          <w:color w:val="auto"/>
        </w:rPr>
        <w:t>3.1物料危险有害因素辨识与分析</w:t>
      </w:r>
      <w:bookmarkEnd w:id="184"/>
      <w:bookmarkEnd w:id="185"/>
      <w:r>
        <w:rPr>
          <w:rFonts w:hint="default" w:ascii="Times New Roman" w:hAnsi="Times New Roman" w:eastAsia="楷体" w:cs="Times New Roman"/>
          <w:color w:val="auto"/>
        </w:rPr>
        <w:t>结果</w:t>
      </w:r>
      <w:bookmarkEnd w:id="186"/>
      <w:bookmarkEnd w:id="187"/>
      <w:bookmarkEnd w:id="188"/>
      <w:bookmarkEnd w:id="189"/>
      <w:bookmarkEnd w:id="190"/>
      <w:r>
        <w:rPr>
          <w:rFonts w:hint="default" w:ascii="Times New Roman" w:hAnsi="Times New Roman" w:eastAsia="楷体" w:cs="Times New Roman"/>
          <w:color w:val="auto"/>
        </w:rPr>
        <w:t>及依据</w:t>
      </w:r>
      <w:bookmarkEnd w:id="191"/>
      <w:bookmarkEnd w:id="192"/>
      <w:bookmarkEnd w:id="193"/>
    </w:p>
    <w:p w14:paraId="00F14B6C">
      <w:pPr>
        <w:pStyle w:val="5"/>
        <w:spacing w:line="360" w:lineRule="auto"/>
        <w:ind w:left="0" w:leftChars="0" w:firstLine="0" w:firstLineChars="0"/>
        <w:rPr>
          <w:rFonts w:hint="default" w:ascii="Times New Roman" w:hAnsi="Times New Roman" w:cs="Times New Roman"/>
          <w:color w:val="auto"/>
        </w:rPr>
      </w:pPr>
      <w:bookmarkStart w:id="194" w:name="_Toc20951"/>
      <w:bookmarkStart w:id="195" w:name="_Toc223419392"/>
      <w:bookmarkStart w:id="196" w:name="_Toc74377460"/>
      <w:bookmarkStart w:id="197" w:name="_Toc117654377"/>
      <w:bookmarkStart w:id="198" w:name="_Toc130802782"/>
      <w:bookmarkStart w:id="199" w:name="_Toc124659894"/>
      <w:bookmarkStart w:id="200" w:name="_Toc135006417"/>
      <w:bookmarkStart w:id="201" w:name="_Toc75275423"/>
      <w:bookmarkStart w:id="202" w:name="_Toc74818764"/>
      <w:bookmarkStart w:id="203" w:name="_Toc75274897"/>
      <w:bookmarkStart w:id="204" w:name="_Toc213658047"/>
      <w:bookmarkStart w:id="205" w:name="_Toc73606656"/>
      <w:bookmarkStart w:id="206" w:name="_Toc73504482"/>
      <w:bookmarkStart w:id="207" w:name="_Toc130802598"/>
      <w:bookmarkStart w:id="208" w:name="_Toc116954325"/>
      <w:bookmarkStart w:id="209" w:name="_Toc162883261"/>
      <w:bookmarkStart w:id="210" w:name="_Toc73341114"/>
      <w:bookmarkStart w:id="211" w:name="_Toc116851956"/>
      <w:bookmarkStart w:id="212" w:name="_Toc73341211"/>
      <w:bookmarkStart w:id="213" w:name="_Toc81577418"/>
      <w:bookmarkStart w:id="214" w:name="_Toc121999331"/>
      <w:bookmarkStart w:id="215" w:name="_Toc109174416"/>
      <w:bookmarkStart w:id="216" w:name="_Toc121998988"/>
      <w:bookmarkStart w:id="217" w:name="_Toc110337019"/>
      <w:bookmarkStart w:id="218" w:name="_Toc135006270"/>
      <w:bookmarkStart w:id="219" w:name="_Toc124483149"/>
      <w:bookmarkStart w:id="220" w:name="_Toc75274984"/>
      <w:bookmarkStart w:id="221" w:name="_Toc121999111"/>
      <w:bookmarkStart w:id="222" w:name="_Toc75764388"/>
      <w:bookmarkStart w:id="223" w:name="_Toc117655109"/>
      <w:bookmarkStart w:id="224" w:name="_Toc81577538"/>
      <w:bookmarkStart w:id="225" w:name="_Toc88863084"/>
      <w:bookmarkStart w:id="226" w:name="_Toc130802516"/>
      <w:bookmarkStart w:id="227" w:name="_Toc162883259"/>
      <w:r>
        <w:rPr>
          <w:rFonts w:hint="default" w:ascii="Times New Roman" w:hAnsi="Times New Roman" w:cs="Times New Roman"/>
          <w:color w:val="auto"/>
        </w:rPr>
        <w:t>3.1.1危险化学品的辨识</w:t>
      </w:r>
      <w:bookmarkEnd w:id="194"/>
      <w:bookmarkEnd w:id="195"/>
    </w:p>
    <w:p w14:paraId="04D837BA">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该加油站经营的车用汽油，按照</w:t>
      </w:r>
      <w:r>
        <w:rPr>
          <w:rFonts w:hint="default" w:ascii="Times New Roman" w:hAnsi="Times New Roman" w:cs="Times New Roman"/>
          <w:color w:val="auto"/>
          <w:lang w:eastAsia="zh-CN"/>
        </w:rPr>
        <w:t>《危险化学品目录》</w:t>
      </w:r>
      <w:r>
        <w:rPr>
          <w:rFonts w:hint="default" w:ascii="Times New Roman" w:hAnsi="Times New Roman" w:cs="Times New Roman"/>
          <w:color w:val="auto"/>
          <w:lang w:val="en-US" w:eastAsia="zh-CN"/>
        </w:rPr>
        <w:t>（应急管理部等10部门公告，2015年第5号，2022年第8号）</w:t>
      </w:r>
      <w:r>
        <w:rPr>
          <w:rFonts w:hint="default" w:ascii="Times New Roman" w:hAnsi="Times New Roman" w:cs="Times New Roman"/>
          <w:color w:val="auto"/>
        </w:rPr>
        <w:t>和《化学品分类和危险性公示通则》（GB</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13690-2009）的分类标准，该加油站经营的车用汽油属于危险</w:t>
      </w:r>
      <w:r>
        <w:rPr>
          <w:color w:val="auto"/>
        </w:rPr>
        <w:t>化学品。</w:t>
      </w:r>
      <w:r>
        <w:rPr>
          <w:rFonts w:hint="eastAsia"/>
          <w:color w:val="auto"/>
        </w:rPr>
        <w:t>按《化学品分类和标签规范 第</w:t>
      </w:r>
      <w:r>
        <w:rPr>
          <w:rFonts w:hint="eastAsia" w:ascii="Times New Roman" w:hAnsi="Times New Roman"/>
          <w:color w:val="auto"/>
        </w:rPr>
        <w:t>7</w:t>
      </w:r>
      <w:r>
        <w:rPr>
          <w:rFonts w:hint="eastAsia"/>
          <w:color w:val="auto"/>
        </w:rPr>
        <w:t>部分：易燃液体》</w:t>
      </w:r>
      <w:r>
        <w:rPr>
          <w:rFonts w:hint="eastAsia"/>
          <w:color w:val="auto"/>
          <w:lang w:eastAsia="zh-CN"/>
        </w:rPr>
        <w:t>（</w:t>
      </w:r>
      <w:r>
        <w:rPr>
          <w:rFonts w:hint="eastAsia" w:ascii="Times New Roman" w:hAnsi="Times New Roman"/>
          <w:color w:val="auto"/>
          <w:lang w:eastAsia="zh-CN"/>
        </w:rPr>
        <w:t>GB30000</w:t>
      </w:r>
      <w:r>
        <w:rPr>
          <w:rFonts w:hint="eastAsia"/>
          <w:color w:val="auto"/>
          <w:lang w:eastAsia="zh-CN"/>
        </w:rPr>
        <w:t>.</w:t>
      </w:r>
      <w:r>
        <w:rPr>
          <w:rFonts w:hint="eastAsia" w:ascii="Times New Roman" w:hAnsi="Times New Roman"/>
          <w:color w:val="auto"/>
          <w:lang w:eastAsia="zh-CN"/>
        </w:rPr>
        <w:t>7</w:t>
      </w:r>
      <w:r>
        <w:rPr>
          <w:rFonts w:hint="eastAsia"/>
          <w:color w:val="auto"/>
          <w:lang w:eastAsia="zh-CN"/>
        </w:rPr>
        <w:t>-</w:t>
      </w:r>
      <w:r>
        <w:rPr>
          <w:rFonts w:hint="eastAsia" w:ascii="Times New Roman" w:hAnsi="Times New Roman"/>
          <w:color w:val="auto"/>
          <w:lang w:eastAsia="zh-CN"/>
        </w:rPr>
        <w:t>2013</w:t>
      </w:r>
      <w:r>
        <w:rPr>
          <w:rFonts w:hint="eastAsia"/>
          <w:color w:val="auto"/>
          <w:lang w:eastAsia="zh-CN"/>
        </w:rPr>
        <w:t>）</w:t>
      </w:r>
      <w:r>
        <w:rPr>
          <w:rFonts w:hint="eastAsia"/>
          <w:color w:val="auto"/>
        </w:rPr>
        <w:t>划分，汽油为易燃液体，类别</w:t>
      </w:r>
      <w:r>
        <w:rPr>
          <w:rFonts w:hint="eastAsia" w:ascii="Times New Roman" w:hAnsi="Times New Roman"/>
          <w:color w:val="auto"/>
        </w:rPr>
        <w:t>2</w:t>
      </w:r>
      <w:r>
        <w:rPr>
          <w:rFonts w:hint="eastAsia"/>
          <w:color w:val="auto"/>
        </w:rPr>
        <w:t>。</w:t>
      </w:r>
      <w:r>
        <w:rPr>
          <w:color w:val="auto"/>
        </w:rPr>
        <w:t>汽油为经营过程中存在的主要危险、有害物质，若处置不当，操作不符合要求，意外泄漏，遇点火源，就可能导致火灾爆炸事故的发生，油品不完全燃烧产生的有毒烟雾（含有一氧化碳等物质）易引起人体中毒，其理化特性、火灾危险性、危规分类及危险特性见</w:t>
      </w:r>
      <w:r>
        <w:rPr>
          <w:rFonts w:hint="eastAsia" w:ascii="Times New Roman" w:hAnsi="Times New Roman"/>
          <w:color w:val="auto"/>
        </w:rPr>
        <w:t>F</w:t>
      </w:r>
      <w:r>
        <w:rPr>
          <w:color w:val="auto"/>
        </w:rPr>
        <w:t>表</w:t>
      </w:r>
      <w:r>
        <w:rPr>
          <w:rFonts w:hint="default" w:ascii="Times New Roman" w:hAnsi="Times New Roman" w:cs="Times New Roman"/>
          <w:color w:val="auto"/>
        </w:rPr>
        <w:t>3.1-1、3.1-2。</w:t>
      </w:r>
    </w:p>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14:paraId="2F715DA1">
      <w:pPr>
        <w:pStyle w:val="5"/>
        <w:spacing w:line="360" w:lineRule="auto"/>
        <w:ind w:left="0" w:leftChars="0" w:firstLine="0" w:firstLineChars="0"/>
        <w:rPr>
          <w:rFonts w:hint="default" w:ascii="Times New Roman" w:hAnsi="Times New Roman" w:cs="Times New Roman"/>
          <w:color w:val="auto"/>
        </w:rPr>
      </w:pPr>
      <w:bookmarkStart w:id="228" w:name="_Toc27638"/>
      <w:bookmarkStart w:id="229" w:name="_Toc223419393"/>
      <w:bookmarkStart w:id="230" w:name="_Toc207511283"/>
      <w:bookmarkStart w:id="231" w:name="_Toc13266"/>
      <w:bookmarkStart w:id="232" w:name="_Toc27837"/>
      <w:bookmarkStart w:id="233" w:name="_Toc6883"/>
      <w:bookmarkStart w:id="234" w:name="_Toc6903"/>
      <w:bookmarkStart w:id="235" w:name="_Toc31020"/>
      <w:r>
        <w:rPr>
          <w:rFonts w:hint="default" w:ascii="Times New Roman" w:hAnsi="Times New Roman" w:cs="Times New Roman"/>
          <w:color w:val="auto"/>
        </w:rPr>
        <w:t>3.1.2剧毒化学品的辨识</w:t>
      </w:r>
      <w:bookmarkEnd w:id="228"/>
      <w:bookmarkEnd w:id="229"/>
    </w:p>
    <w:p w14:paraId="7727ED6B">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w:t>
      </w:r>
      <w:r>
        <w:rPr>
          <w:rFonts w:hint="default" w:ascii="Times New Roman" w:hAnsi="Times New Roman" w:cs="Times New Roman"/>
          <w:color w:val="auto"/>
          <w:lang w:eastAsia="zh-CN"/>
        </w:rPr>
        <w:t>《危险化学品目录》</w:t>
      </w:r>
      <w:r>
        <w:rPr>
          <w:rFonts w:hint="default" w:ascii="Times New Roman" w:hAnsi="Times New Roman" w:cs="Times New Roman"/>
          <w:color w:val="auto"/>
          <w:lang w:val="en-US" w:eastAsia="zh-CN"/>
        </w:rPr>
        <w:t>（应急管理部等10部门公告，2015年第5号，2022年第8号）的</w:t>
      </w:r>
      <w:r>
        <w:rPr>
          <w:rFonts w:hint="default" w:ascii="Times New Roman" w:hAnsi="Times New Roman" w:cs="Times New Roman"/>
          <w:color w:val="auto"/>
        </w:rPr>
        <w:t>规定，对该加油站经营储存的汽油进行辨识可知，汽油不属于剧毒化学品。</w:t>
      </w:r>
    </w:p>
    <w:p w14:paraId="152B44CC">
      <w:pPr>
        <w:pStyle w:val="5"/>
        <w:spacing w:line="360" w:lineRule="auto"/>
        <w:ind w:left="0" w:leftChars="0" w:firstLine="0" w:firstLineChars="0"/>
        <w:rPr>
          <w:rFonts w:hint="default" w:ascii="Times New Roman" w:hAnsi="Times New Roman" w:cs="Times New Roman"/>
          <w:color w:val="auto"/>
        </w:rPr>
      </w:pPr>
      <w:bookmarkStart w:id="236" w:name="_Toc20512"/>
      <w:r>
        <w:rPr>
          <w:rFonts w:hint="default" w:ascii="Times New Roman" w:hAnsi="Times New Roman" w:cs="Times New Roman"/>
          <w:color w:val="auto"/>
        </w:rPr>
        <w:t>3.1.3高毒化学品辨识</w:t>
      </w:r>
      <w:bookmarkEnd w:id="236"/>
    </w:p>
    <w:p w14:paraId="24186D99">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依据卫法监发</w:t>
      </w:r>
      <w:r>
        <w:rPr>
          <w:rFonts w:hint="default" w:ascii="Times New Roman" w:hAnsi="Times New Roman" w:cs="Times New Roman"/>
          <w:color w:val="auto"/>
          <w:lang w:val="en-US" w:eastAsia="zh-CN"/>
        </w:rPr>
        <w:t>〔2003〕</w:t>
      </w:r>
      <w:r>
        <w:rPr>
          <w:rFonts w:hint="default" w:ascii="Times New Roman" w:hAnsi="Times New Roman" w:cs="Times New Roman"/>
          <w:color w:val="auto"/>
        </w:rPr>
        <w:t>142号《高毒物品目录》（2003年版）辨识，该加油站涉及的汽油属于低毒物品，不属于高毒物品。</w:t>
      </w:r>
    </w:p>
    <w:p w14:paraId="42E1B5F3">
      <w:pPr>
        <w:pStyle w:val="5"/>
        <w:spacing w:line="360" w:lineRule="auto"/>
        <w:ind w:left="0" w:leftChars="0" w:firstLine="0" w:firstLineChars="0"/>
        <w:rPr>
          <w:rFonts w:hint="default" w:ascii="Times New Roman" w:hAnsi="Times New Roman" w:cs="Times New Roman"/>
          <w:color w:val="auto"/>
        </w:rPr>
      </w:pPr>
      <w:bookmarkStart w:id="237" w:name="_Toc223419394"/>
      <w:bookmarkStart w:id="238" w:name="_Toc20607"/>
      <w:r>
        <w:rPr>
          <w:rFonts w:hint="default" w:ascii="Times New Roman" w:hAnsi="Times New Roman" w:cs="Times New Roman"/>
          <w:color w:val="auto"/>
        </w:rPr>
        <w:t>3.1.4监控化学品的辨识</w:t>
      </w:r>
      <w:bookmarkEnd w:id="237"/>
      <w:bookmarkEnd w:id="238"/>
    </w:p>
    <w:p w14:paraId="4C63B989">
      <w:pPr>
        <w:spacing w:line="360" w:lineRule="auto"/>
        <w:ind w:firstLine="560"/>
        <w:rPr>
          <w:color w:val="auto"/>
        </w:rPr>
      </w:pPr>
      <w:r>
        <w:rPr>
          <w:rFonts w:hint="default" w:ascii="Times New Roman" w:hAnsi="Times New Roman" w:cs="Times New Roman"/>
          <w:color w:val="auto"/>
        </w:rPr>
        <w:t>按照《各类监控化学品名录》和《列入第三类监控化学品的新增品种清</w:t>
      </w:r>
      <w:r>
        <w:rPr>
          <w:color w:val="auto"/>
        </w:rPr>
        <w:t>单》规定辨识，该加油站</w:t>
      </w:r>
      <w:r>
        <w:rPr>
          <w:rFonts w:hint="eastAsia"/>
          <w:color w:val="auto"/>
        </w:rPr>
        <w:t>涉及</w:t>
      </w:r>
      <w:r>
        <w:rPr>
          <w:color w:val="auto"/>
        </w:rPr>
        <w:t>的汽油不属国家监控的化学品。</w:t>
      </w:r>
    </w:p>
    <w:p w14:paraId="2FDB4B87">
      <w:pPr>
        <w:pStyle w:val="5"/>
        <w:spacing w:line="360" w:lineRule="auto"/>
        <w:ind w:left="0" w:leftChars="0" w:firstLine="0" w:firstLineChars="0"/>
        <w:rPr>
          <w:rFonts w:hint="default" w:ascii="Times New Roman" w:hAnsi="Times New Roman" w:cs="Times New Roman"/>
          <w:color w:val="auto"/>
        </w:rPr>
      </w:pPr>
      <w:bookmarkStart w:id="239" w:name="_Toc223419395"/>
      <w:bookmarkStart w:id="240" w:name="_Toc15227"/>
      <w:r>
        <w:rPr>
          <w:rFonts w:hint="default" w:ascii="Times New Roman" w:hAnsi="Times New Roman" w:cs="Times New Roman"/>
          <w:color w:val="auto"/>
        </w:rPr>
        <w:t>3.1.5易制毒化学品的辨识</w:t>
      </w:r>
      <w:bookmarkEnd w:id="239"/>
      <w:bookmarkEnd w:id="240"/>
    </w:p>
    <w:p w14:paraId="5D9BD0BB">
      <w:pPr>
        <w:spacing w:line="360" w:lineRule="auto"/>
        <w:ind w:firstLine="560"/>
        <w:rPr>
          <w:rFonts w:hint="default" w:ascii="Times New Roman" w:hAnsi="Times New Roman" w:cs="Times New Roman"/>
          <w:color w:val="auto"/>
        </w:rPr>
      </w:pPr>
      <w:bookmarkStart w:id="241" w:name="_Toc192412213"/>
      <w:r>
        <w:rPr>
          <w:rFonts w:hint="default" w:ascii="Times New Roman" w:hAnsi="Times New Roman" w:cs="Times New Roman"/>
          <w:color w:val="auto"/>
        </w:rPr>
        <w:t>根据《易制毒化学品管理条例》（国务院令445号，[2018年修订]703号，国办函</w:t>
      </w:r>
      <w:r>
        <w:rPr>
          <w:rFonts w:hint="default" w:ascii="Times New Roman" w:hAnsi="Times New Roman" w:cs="Times New Roman"/>
          <w:color w:val="auto"/>
          <w:lang w:val="en-US" w:eastAsia="zh-CN"/>
        </w:rPr>
        <w:t>〔2021〕</w:t>
      </w:r>
      <w:r>
        <w:rPr>
          <w:rFonts w:hint="default" w:ascii="Times New Roman" w:hAnsi="Times New Roman" w:cs="Times New Roman"/>
          <w:color w:val="auto"/>
        </w:rPr>
        <w:t>58号）辨识，该加油站涉及的汽油不属于易制毒化学品。</w:t>
      </w:r>
    </w:p>
    <w:bookmarkEnd w:id="241"/>
    <w:p w14:paraId="3DBCC52B">
      <w:pPr>
        <w:pStyle w:val="5"/>
        <w:spacing w:line="360" w:lineRule="auto"/>
        <w:ind w:left="0" w:leftChars="0" w:firstLine="0" w:firstLineChars="0"/>
        <w:rPr>
          <w:rFonts w:hint="default" w:ascii="Times New Roman" w:hAnsi="Times New Roman" w:cs="Times New Roman"/>
          <w:color w:val="auto"/>
        </w:rPr>
      </w:pPr>
      <w:bookmarkStart w:id="242" w:name="_Toc7725"/>
      <w:r>
        <w:rPr>
          <w:rFonts w:hint="default" w:ascii="Times New Roman" w:hAnsi="Times New Roman" w:cs="Times New Roman"/>
          <w:color w:val="auto"/>
        </w:rPr>
        <w:t>3.1.</w:t>
      </w:r>
      <w:bookmarkStart w:id="243" w:name="_Toc321745634"/>
      <w:r>
        <w:rPr>
          <w:rFonts w:hint="default" w:ascii="Times New Roman" w:hAnsi="Times New Roman" w:cs="Times New Roman"/>
          <w:color w:val="auto"/>
        </w:rPr>
        <w:t>6易制爆危险化学品及其危险性辨识</w:t>
      </w:r>
      <w:bookmarkEnd w:id="242"/>
      <w:bookmarkEnd w:id="243"/>
    </w:p>
    <w:p w14:paraId="2C3E3EF4">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易制爆危险化学品是指可用于制造爆炸物品的危险化学品。</w:t>
      </w:r>
    </w:p>
    <w:p w14:paraId="3FC1474F">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根据《易制爆危险化学品名录》（2017年版）辨识，该加油站涉及的汽油不属于易制爆危险化学品。</w:t>
      </w:r>
    </w:p>
    <w:p w14:paraId="7E69EFAD">
      <w:pPr>
        <w:pStyle w:val="5"/>
        <w:spacing w:line="360" w:lineRule="auto"/>
        <w:ind w:left="0" w:leftChars="0" w:firstLine="0" w:firstLineChars="0"/>
        <w:rPr>
          <w:rFonts w:hint="default" w:ascii="Times New Roman" w:hAnsi="Times New Roman" w:cs="Times New Roman"/>
          <w:color w:val="auto"/>
        </w:rPr>
      </w:pPr>
      <w:bookmarkStart w:id="244" w:name="_Toc4952"/>
      <w:r>
        <w:rPr>
          <w:rFonts w:hint="default" w:ascii="Times New Roman" w:hAnsi="Times New Roman" w:cs="Times New Roman"/>
          <w:color w:val="auto"/>
        </w:rPr>
        <w:t>3.1.7特别管控危险化学品的辨识结果</w:t>
      </w:r>
      <w:bookmarkEnd w:id="244"/>
    </w:p>
    <w:p w14:paraId="23152918">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根据《特别管控危险化学品目录（第一版）》（应急管理部2020年第3号）规定，对该加油站经营储存的汽油进行辨识可知，该加油站涉及的汽油属于特别管控危险化学品，</w:t>
      </w:r>
      <w:r>
        <w:rPr>
          <w:rFonts w:hint="default" w:ascii="Times New Roman" w:hAnsi="Times New Roman" w:cs="Times New Roman"/>
          <w:color w:val="auto"/>
          <w:szCs w:val="28"/>
        </w:rPr>
        <w:t>需要按照规定进行特别管控。</w:t>
      </w:r>
    </w:p>
    <w:p w14:paraId="74758334">
      <w:pPr>
        <w:pStyle w:val="5"/>
        <w:spacing w:line="360" w:lineRule="auto"/>
        <w:ind w:left="0" w:leftChars="0" w:firstLine="0" w:firstLineChars="0"/>
        <w:rPr>
          <w:rFonts w:hint="default" w:ascii="Times New Roman" w:hAnsi="Times New Roman" w:cs="Times New Roman"/>
          <w:color w:val="auto"/>
        </w:rPr>
      </w:pPr>
      <w:bookmarkStart w:id="245" w:name="_Toc321745635"/>
      <w:bookmarkStart w:id="246" w:name="_Toc895"/>
      <w:r>
        <w:rPr>
          <w:rFonts w:hint="default" w:ascii="Times New Roman" w:hAnsi="Times New Roman" w:cs="Times New Roman"/>
          <w:color w:val="auto"/>
        </w:rPr>
        <w:t>3.1.8重点监管的危险化学品及其危险性辨识</w:t>
      </w:r>
      <w:bookmarkEnd w:id="245"/>
      <w:bookmarkEnd w:id="246"/>
    </w:p>
    <w:p w14:paraId="115A950C">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对照《重点监管的危险化学品名录》（2013年完整版）可知，该加油站经营的汽油属于重点监管的危险化学品，需要按照规定进行重点监管。</w:t>
      </w:r>
    </w:p>
    <w:p w14:paraId="7F322955">
      <w:pPr>
        <w:pStyle w:val="5"/>
        <w:spacing w:line="360" w:lineRule="auto"/>
        <w:ind w:left="0" w:leftChars="0" w:firstLine="0" w:firstLineChars="0"/>
        <w:rPr>
          <w:rFonts w:hint="default" w:ascii="Times New Roman" w:hAnsi="Times New Roman" w:cs="Times New Roman"/>
          <w:color w:val="auto"/>
        </w:rPr>
      </w:pPr>
      <w:bookmarkStart w:id="247" w:name="_Toc3526"/>
      <w:r>
        <w:rPr>
          <w:rFonts w:hint="default" w:ascii="Times New Roman" w:hAnsi="Times New Roman" w:cs="Times New Roman"/>
          <w:color w:val="auto"/>
        </w:rPr>
        <w:t>3.1.9淘汰落后安全技术工艺、设备辨识</w:t>
      </w:r>
      <w:bookmarkEnd w:id="247"/>
    </w:p>
    <w:p w14:paraId="056A639A">
      <w:pPr>
        <w:spacing w:line="360" w:lineRule="auto"/>
        <w:ind w:firstLine="560"/>
        <w:rPr>
          <w:color w:val="auto"/>
        </w:rPr>
      </w:pPr>
      <w:r>
        <w:rPr>
          <w:rFonts w:hint="default" w:ascii="Times New Roman" w:hAnsi="Times New Roman" w:cs="Times New Roman"/>
          <w:color w:val="auto"/>
        </w:rPr>
        <w:t>参照</w:t>
      </w:r>
      <w:r>
        <w:rPr>
          <w:rFonts w:hint="default" w:ascii="Times New Roman" w:hAnsi="Times New Roman" w:cs="Times New Roman"/>
          <w:color w:val="auto"/>
          <w:lang w:val="en-US" w:eastAsia="zh-CN"/>
        </w:rPr>
        <w:t>《淘汰落后危险化学品安全生产工艺技术设备目录（第一批）的通</w:t>
      </w:r>
      <w:r>
        <w:rPr>
          <w:rFonts w:hint="eastAsia"/>
          <w:color w:val="auto"/>
          <w:lang w:val="en-US" w:eastAsia="zh-CN"/>
        </w:rPr>
        <w:t>知》（应急厅〔2020〕38号）；《淘汰落后危险化学品安全生产工艺技术设备目录（第二批）的通知》（应急厅〔2024〕86号）；</w:t>
      </w:r>
      <w:r>
        <w:rPr>
          <w:color w:val="auto"/>
        </w:rPr>
        <w:t>对该加油站涉及的安全技术工艺及设备设施进行辨识，结果为：该加油站所涉及的安全技术工艺及设备设施不涉及淘汰落后安全技术工艺、设备。</w:t>
      </w:r>
    </w:p>
    <w:p w14:paraId="2B87FD77">
      <w:pPr>
        <w:pStyle w:val="5"/>
        <w:spacing w:line="360" w:lineRule="auto"/>
        <w:ind w:left="0" w:leftChars="0" w:firstLine="0" w:firstLineChars="0"/>
        <w:rPr>
          <w:rFonts w:hint="default" w:ascii="Times New Roman" w:hAnsi="Times New Roman" w:cs="Times New Roman"/>
          <w:color w:val="auto"/>
        </w:rPr>
      </w:pPr>
      <w:bookmarkStart w:id="248" w:name="_Toc16814"/>
      <w:r>
        <w:rPr>
          <w:rFonts w:hint="default" w:ascii="Times New Roman" w:hAnsi="Times New Roman" w:cs="Times New Roman"/>
          <w:color w:val="auto"/>
        </w:rPr>
        <w:t>3.1.10有限空间辨识</w:t>
      </w:r>
      <w:bookmarkEnd w:id="248"/>
    </w:p>
    <w:p w14:paraId="10608B57">
      <w:pPr>
        <w:pStyle w:val="134"/>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根据《应急管理部办公厅关于印发&lt;有限空间作业安全指导手册&gt;和4个专题系列折页的通知》（应急厅函〔2020〕299号）进行辨识，该加油站埋地油罐内部、人孔操作井、</w:t>
      </w:r>
      <w:r>
        <w:rPr>
          <w:rFonts w:hint="default" w:ascii="Times New Roman" w:hAnsi="Times New Roman" w:cs="Times New Roman"/>
          <w:color w:val="auto"/>
          <w:lang w:val="en-US" w:eastAsia="zh-CN"/>
        </w:rPr>
        <w:t>油水池</w:t>
      </w:r>
      <w:r>
        <w:rPr>
          <w:rFonts w:hint="default" w:ascii="Times New Roman" w:hAnsi="Times New Roman" w:cs="Times New Roman"/>
          <w:color w:val="auto"/>
        </w:rPr>
        <w:t>等，属于有限空间。</w:t>
      </w:r>
    </w:p>
    <w:p w14:paraId="0ED3A14D">
      <w:pPr>
        <w:pStyle w:val="4"/>
        <w:spacing w:line="360" w:lineRule="auto"/>
        <w:jc w:val="both"/>
        <w:rPr>
          <w:rFonts w:hint="default" w:ascii="Times New Roman" w:hAnsi="Times New Roman" w:cs="Times New Roman"/>
          <w:color w:val="auto"/>
        </w:rPr>
      </w:pPr>
      <w:bookmarkStart w:id="249" w:name="_Toc6612"/>
      <w:bookmarkStart w:id="250" w:name="_Toc16415"/>
      <w:bookmarkStart w:id="251" w:name="_Toc17649"/>
      <w:r>
        <w:rPr>
          <w:rFonts w:hint="default" w:ascii="Times New Roman" w:hAnsi="Times New Roman" w:cs="Times New Roman"/>
          <w:color w:val="auto"/>
        </w:rPr>
        <w:t>3.2</w:t>
      </w:r>
      <w:r>
        <w:rPr>
          <w:rFonts w:hint="default" w:ascii="Times New Roman" w:hAnsi="Times New Roman" w:cs="Times New Roman"/>
          <w:color w:val="auto"/>
          <w:lang w:val="en-US" w:eastAsia="zh-CN"/>
        </w:rPr>
        <w:t>生产</w:t>
      </w:r>
      <w:r>
        <w:rPr>
          <w:rFonts w:hint="default" w:ascii="Times New Roman" w:hAnsi="Times New Roman" w:cs="Times New Roman"/>
          <w:color w:val="auto"/>
        </w:rPr>
        <w:t>经营储存过程危险有害因素分析结果</w:t>
      </w:r>
      <w:bookmarkEnd w:id="230"/>
      <w:bookmarkEnd w:id="231"/>
      <w:bookmarkEnd w:id="232"/>
      <w:bookmarkEnd w:id="233"/>
      <w:bookmarkEnd w:id="234"/>
      <w:bookmarkEnd w:id="235"/>
      <w:r>
        <w:rPr>
          <w:rFonts w:hint="default" w:ascii="Times New Roman" w:hAnsi="Times New Roman" w:cs="Times New Roman"/>
          <w:color w:val="auto"/>
        </w:rPr>
        <w:t>及依据</w:t>
      </w:r>
      <w:bookmarkEnd w:id="249"/>
      <w:bookmarkEnd w:id="250"/>
      <w:bookmarkEnd w:id="251"/>
    </w:p>
    <w:p w14:paraId="5E358AA9">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eastAsia="宋体"/>
          <w:color w:val="auto"/>
          <w:lang w:eastAsia="zh-CN"/>
        </w:rPr>
      </w:pPr>
      <w:r>
        <w:rPr>
          <w:rFonts w:hint="default" w:ascii="Times New Roman" w:hAnsi="Times New Roman" w:cs="Times New Roman"/>
          <w:color w:val="auto"/>
        </w:rPr>
        <w:t>参照《</w:t>
      </w:r>
      <w:r>
        <w:rPr>
          <w:rFonts w:hint="default" w:ascii="Times New Roman" w:hAnsi="Times New Roman" w:cs="Times New Roman"/>
          <w:color w:val="auto"/>
          <w:lang w:eastAsia="zh-CN"/>
        </w:rPr>
        <w:t>企业职工伤亡事故分类</w:t>
      </w:r>
      <w:r>
        <w:rPr>
          <w:rFonts w:hint="default" w:ascii="Times New Roman" w:hAnsi="Times New Roman" w:cs="Times New Roman"/>
          <w:color w:val="auto"/>
        </w:rPr>
        <w:t>》（</w:t>
      </w:r>
      <w:r>
        <w:rPr>
          <w:rFonts w:hint="default" w:ascii="Times New Roman" w:hAnsi="Times New Roman" w:cs="Times New Roman"/>
          <w:color w:val="auto"/>
          <w:lang w:eastAsia="zh-CN"/>
        </w:rPr>
        <w:t>GB/T 6441-1986</w:t>
      </w:r>
      <w:r>
        <w:rPr>
          <w:rFonts w:hint="default" w:ascii="Times New Roman" w:hAnsi="Times New Roman" w:cs="Times New Roman"/>
          <w:color w:val="auto"/>
        </w:rPr>
        <w:t>），按同类型加油站的设施设备，现场操作等方面类比。辨识结果：该加油站经营过程中可能存</w:t>
      </w:r>
      <w:r>
        <w:rPr>
          <w:rFonts w:hint="eastAsia"/>
          <w:color w:val="auto"/>
        </w:rPr>
        <w:t>在的危险有害因素为（</w:t>
      </w:r>
      <w:r>
        <w:rPr>
          <w:rFonts w:ascii="Times New Roman" w:hAnsi="Times New Roman"/>
          <w:color w:val="auto"/>
        </w:rPr>
        <w:t>1</w:t>
      </w:r>
      <w:r>
        <w:rPr>
          <w:rFonts w:hint="eastAsia"/>
          <w:color w:val="auto"/>
        </w:rPr>
        <w:t>）火灾、爆炸；（</w:t>
      </w:r>
      <w:r>
        <w:rPr>
          <w:rFonts w:ascii="Times New Roman" w:hAnsi="Times New Roman"/>
          <w:color w:val="auto"/>
        </w:rPr>
        <w:t>2</w:t>
      </w:r>
      <w:r>
        <w:rPr>
          <w:rFonts w:hint="eastAsia"/>
          <w:color w:val="auto"/>
        </w:rPr>
        <w:t>）中毒和窒息；（</w:t>
      </w:r>
      <w:r>
        <w:rPr>
          <w:rFonts w:ascii="Times New Roman" w:hAnsi="Times New Roman"/>
          <w:color w:val="auto"/>
        </w:rPr>
        <w:t>3</w:t>
      </w:r>
      <w:r>
        <w:rPr>
          <w:rFonts w:hint="eastAsia"/>
          <w:color w:val="auto"/>
        </w:rPr>
        <w:t>）车辆伤害；（</w:t>
      </w:r>
      <w:r>
        <w:rPr>
          <w:rFonts w:hint="eastAsia" w:ascii="Times New Roman" w:hAnsi="Times New Roman"/>
          <w:color w:val="auto"/>
        </w:rPr>
        <w:t>4</w:t>
      </w:r>
      <w:r>
        <w:rPr>
          <w:rFonts w:hint="eastAsia"/>
          <w:color w:val="auto"/>
        </w:rPr>
        <w:t>）触电；（</w:t>
      </w:r>
      <w:r>
        <w:rPr>
          <w:rFonts w:hint="eastAsia" w:ascii="Times New Roman" w:hAnsi="Times New Roman"/>
          <w:color w:val="auto"/>
        </w:rPr>
        <w:t>5</w:t>
      </w:r>
      <w:r>
        <w:rPr>
          <w:rFonts w:hint="eastAsia"/>
          <w:color w:val="auto"/>
        </w:rPr>
        <w:t>）高处坠落；（</w:t>
      </w:r>
      <w:r>
        <w:rPr>
          <w:rFonts w:hint="eastAsia" w:ascii="Times New Roman" w:hAnsi="Times New Roman"/>
          <w:color w:val="auto"/>
        </w:rPr>
        <w:t>6</w:t>
      </w:r>
      <w:r>
        <w:rPr>
          <w:rFonts w:hint="eastAsia"/>
          <w:color w:val="auto"/>
        </w:rPr>
        <w:t>）物体打击；（</w:t>
      </w:r>
      <w:r>
        <w:rPr>
          <w:rFonts w:hint="eastAsia" w:ascii="Times New Roman" w:hAnsi="Times New Roman"/>
          <w:color w:val="auto"/>
        </w:rPr>
        <w:t>7</w:t>
      </w:r>
      <w:r>
        <w:rPr>
          <w:rFonts w:hint="eastAsia"/>
          <w:color w:val="auto"/>
        </w:rPr>
        <w:t>）其它伤害。其中火灾、爆炸是主要的危险、有害因素，该加油站埋地储罐区、加油区、装卸点是主要的危险源</w:t>
      </w:r>
      <w:r>
        <w:rPr>
          <w:color w:val="auto"/>
        </w:rPr>
        <w:t>。其中主要危险</w:t>
      </w:r>
      <w:r>
        <w:rPr>
          <w:rFonts w:hint="eastAsia"/>
          <w:color w:val="auto"/>
        </w:rPr>
        <w:t>因素</w:t>
      </w:r>
      <w:r>
        <w:rPr>
          <w:color w:val="auto"/>
        </w:rPr>
        <w:t>是火灾爆炸</w:t>
      </w:r>
      <w:r>
        <w:rPr>
          <w:rFonts w:hint="eastAsia"/>
          <w:color w:val="auto"/>
        </w:rPr>
        <w:t>，主要</w:t>
      </w:r>
      <w:r>
        <w:rPr>
          <w:color w:val="auto"/>
        </w:rPr>
        <w:t>有害因素</w:t>
      </w:r>
      <w:r>
        <w:rPr>
          <w:rFonts w:hint="eastAsia"/>
          <w:color w:val="auto"/>
        </w:rPr>
        <w:t>是</w:t>
      </w:r>
      <w:r>
        <w:rPr>
          <w:color w:val="auto"/>
        </w:rPr>
        <w:t>中毒和窒息。</w:t>
      </w:r>
      <w:r>
        <w:rPr>
          <w:rFonts w:hint="eastAsia"/>
          <w:color w:val="auto"/>
        </w:rPr>
        <w:t>具体的危险性分析详见本报告</w:t>
      </w:r>
      <w:r>
        <w:rPr>
          <w:rFonts w:hint="eastAsia" w:ascii="Times New Roman" w:hAnsi="Times New Roman"/>
          <w:color w:val="auto"/>
        </w:rPr>
        <w:t>F3</w:t>
      </w:r>
      <w:r>
        <w:rPr>
          <w:rFonts w:hint="eastAsia"/>
          <w:color w:val="auto"/>
        </w:rPr>
        <w:t>.</w:t>
      </w:r>
      <w:r>
        <w:rPr>
          <w:rFonts w:hint="eastAsia" w:ascii="Times New Roman" w:hAnsi="Times New Roman"/>
          <w:color w:val="auto"/>
        </w:rPr>
        <w:t>2</w:t>
      </w:r>
      <w:r>
        <w:rPr>
          <w:rFonts w:hint="eastAsia"/>
          <w:color w:val="auto"/>
        </w:rPr>
        <w:t>节</w:t>
      </w:r>
      <w:r>
        <w:rPr>
          <w:rFonts w:hint="eastAsia"/>
          <w:color w:val="auto"/>
          <w:lang w:eastAsia="zh-CN"/>
        </w:rPr>
        <w:t>。</w:t>
      </w:r>
    </w:p>
    <w:p w14:paraId="792D9640">
      <w:pPr>
        <w:pStyle w:val="35"/>
        <w:spacing w:line="360" w:lineRule="auto"/>
        <w:rPr>
          <w:rFonts w:ascii="宋体" w:hAnsi="宋体"/>
          <w:color w:val="auto"/>
        </w:rPr>
      </w:pPr>
      <w:r>
        <w:rPr>
          <w:rFonts w:ascii="宋体" w:hAnsi="宋体"/>
          <w:color w:val="auto"/>
        </w:rPr>
        <w:t>通过上述分析，</w:t>
      </w:r>
      <w:r>
        <w:rPr>
          <w:rFonts w:hint="eastAsia" w:ascii="宋体" w:hAnsi="宋体"/>
          <w:color w:val="auto"/>
        </w:rPr>
        <w:t>该加油站</w:t>
      </w:r>
      <w:r>
        <w:rPr>
          <w:rFonts w:ascii="宋体" w:hAnsi="宋体"/>
          <w:color w:val="auto"/>
        </w:rPr>
        <w:t>潜在的危险有害因素汇总如下表：</w:t>
      </w:r>
    </w:p>
    <w:p w14:paraId="45EBD9A8">
      <w:pPr>
        <w:pStyle w:val="21"/>
        <w:keepNext w:val="0"/>
        <w:keepLines w:val="0"/>
        <w:pageBreakBefore w:val="0"/>
        <w:widowControl/>
        <w:kinsoku/>
        <w:wordWrap/>
        <w:overflowPunct/>
        <w:topLinePunct w:val="0"/>
        <w:autoSpaceDE/>
        <w:autoSpaceDN/>
        <w:bidi w:val="0"/>
        <w:adjustRightInd/>
        <w:snapToGrid w:val="0"/>
        <w:textAlignment w:val="auto"/>
        <w:rPr>
          <w:rFonts w:ascii="黑体" w:hAnsi="黑体"/>
          <w:color w:val="auto"/>
          <w:szCs w:val="21"/>
        </w:rPr>
      </w:pPr>
      <w:r>
        <w:rPr>
          <w:rFonts w:hint="default" w:ascii="Times New Roman" w:hAnsi="Times New Roman" w:cs="Times New Roman"/>
          <w:color w:val="auto"/>
          <w:szCs w:val="21"/>
        </w:rPr>
        <w:t>表3.2-1 作业场所及危险有</w:t>
      </w:r>
      <w:r>
        <w:rPr>
          <w:rFonts w:ascii="黑体" w:hAnsi="黑体"/>
          <w:color w:val="auto"/>
          <w:szCs w:val="21"/>
        </w:rPr>
        <w:t>害因素</w:t>
      </w:r>
    </w:p>
    <w:tbl>
      <w:tblPr>
        <w:tblStyle w:val="48"/>
        <w:tblW w:w="94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884"/>
        <w:gridCol w:w="846"/>
        <w:gridCol w:w="859"/>
        <w:gridCol w:w="1023"/>
        <w:gridCol w:w="913"/>
        <w:gridCol w:w="818"/>
        <w:gridCol w:w="824"/>
        <w:gridCol w:w="690"/>
        <w:gridCol w:w="941"/>
      </w:tblGrid>
      <w:tr w14:paraId="2B7CC0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2" w:hRule="atLeast"/>
          <w:tblHeader/>
          <w:jc w:val="center"/>
        </w:trPr>
        <w:tc>
          <w:tcPr>
            <w:tcW w:w="1679" w:type="dxa"/>
            <w:vMerge w:val="restart"/>
            <w:tcBorders>
              <w:tl2br w:val="nil"/>
              <w:tr2bl w:val="nil"/>
            </w:tcBorders>
            <w:vAlign w:val="center"/>
          </w:tcPr>
          <w:p w14:paraId="02FFF4D6">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危险场所</w:t>
            </w:r>
          </w:p>
        </w:tc>
        <w:tc>
          <w:tcPr>
            <w:tcW w:w="7798" w:type="dxa"/>
            <w:gridSpan w:val="9"/>
            <w:tcBorders>
              <w:tl2br w:val="nil"/>
              <w:tr2bl w:val="nil"/>
            </w:tcBorders>
            <w:vAlign w:val="center"/>
          </w:tcPr>
          <w:p w14:paraId="3ED6ABDF">
            <w:pPr>
              <w:pStyle w:val="22"/>
              <w:keepNext w:val="0"/>
              <w:keepLines w:val="0"/>
              <w:widowControl/>
              <w:suppressLineNumbers w:val="0"/>
              <w:spacing w:before="0" w:beforeAutospacing="0" w:after="0" w:afterAutospacing="0"/>
              <w:ind w:left="0" w:right="0"/>
              <w:rPr>
                <w:rFonts w:hint="eastAsia"/>
                <w:b/>
                <w:bCs/>
                <w:color w:val="auto"/>
              </w:rPr>
            </w:pPr>
            <w:r>
              <w:rPr>
                <w:rFonts w:hint="eastAsia"/>
                <w:b/>
                <w:bCs/>
                <w:color w:val="auto"/>
              </w:rPr>
              <w:t>危险有害因素</w:t>
            </w:r>
          </w:p>
        </w:tc>
      </w:tr>
      <w:tr w14:paraId="6A20F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2" w:hRule="atLeast"/>
          <w:tblHeader/>
          <w:jc w:val="center"/>
        </w:trPr>
        <w:tc>
          <w:tcPr>
            <w:tcW w:w="1679" w:type="dxa"/>
            <w:vMerge w:val="continue"/>
            <w:tcBorders>
              <w:tl2br w:val="nil"/>
              <w:tr2bl w:val="nil"/>
            </w:tcBorders>
            <w:vAlign w:val="center"/>
          </w:tcPr>
          <w:p w14:paraId="508ACAE8">
            <w:pPr>
              <w:pStyle w:val="22"/>
              <w:keepNext w:val="0"/>
              <w:keepLines w:val="0"/>
              <w:widowControl/>
              <w:suppressLineNumbers w:val="0"/>
              <w:spacing w:before="0" w:beforeAutospacing="0" w:after="0" w:afterAutospacing="0"/>
              <w:ind w:left="0" w:right="0"/>
              <w:rPr>
                <w:rFonts w:hint="default"/>
                <w:b/>
                <w:bCs/>
                <w:color w:val="auto"/>
              </w:rPr>
            </w:pPr>
          </w:p>
        </w:tc>
        <w:tc>
          <w:tcPr>
            <w:tcW w:w="884" w:type="dxa"/>
            <w:tcBorders>
              <w:tl2br w:val="nil"/>
              <w:tr2bl w:val="nil"/>
            </w:tcBorders>
            <w:vAlign w:val="center"/>
          </w:tcPr>
          <w:p w14:paraId="10C4DBDE">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火灾、爆炸</w:t>
            </w:r>
          </w:p>
        </w:tc>
        <w:tc>
          <w:tcPr>
            <w:tcW w:w="846" w:type="dxa"/>
            <w:tcBorders>
              <w:tl2br w:val="nil"/>
              <w:tr2bl w:val="nil"/>
            </w:tcBorders>
            <w:vAlign w:val="center"/>
          </w:tcPr>
          <w:p w14:paraId="3174CA67">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车辆</w:t>
            </w:r>
          </w:p>
          <w:p w14:paraId="390F1748">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伤害</w:t>
            </w:r>
          </w:p>
        </w:tc>
        <w:tc>
          <w:tcPr>
            <w:tcW w:w="859" w:type="dxa"/>
            <w:tcBorders>
              <w:tl2br w:val="nil"/>
              <w:tr2bl w:val="nil"/>
            </w:tcBorders>
            <w:vAlign w:val="center"/>
          </w:tcPr>
          <w:p w14:paraId="5348472D">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触电</w:t>
            </w:r>
          </w:p>
        </w:tc>
        <w:tc>
          <w:tcPr>
            <w:tcW w:w="1023" w:type="dxa"/>
            <w:tcBorders>
              <w:tl2br w:val="nil"/>
              <w:tr2bl w:val="nil"/>
            </w:tcBorders>
            <w:vAlign w:val="center"/>
          </w:tcPr>
          <w:p w14:paraId="59AE04AF">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中毒和</w:t>
            </w:r>
          </w:p>
          <w:p w14:paraId="1FC24C85">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窒息</w:t>
            </w:r>
          </w:p>
        </w:tc>
        <w:tc>
          <w:tcPr>
            <w:tcW w:w="913" w:type="dxa"/>
            <w:tcBorders>
              <w:tl2br w:val="nil"/>
              <w:tr2bl w:val="nil"/>
            </w:tcBorders>
            <w:vAlign w:val="center"/>
          </w:tcPr>
          <w:p w14:paraId="51F052C5">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高处</w:t>
            </w:r>
          </w:p>
          <w:p w14:paraId="0A86EDB1">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坠落</w:t>
            </w:r>
          </w:p>
        </w:tc>
        <w:tc>
          <w:tcPr>
            <w:tcW w:w="818" w:type="dxa"/>
            <w:tcBorders>
              <w:tl2br w:val="nil"/>
              <w:tr2bl w:val="nil"/>
            </w:tcBorders>
            <w:vAlign w:val="center"/>
          </w:tcPr>
          <w:p w14:paraId="6601C239">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物体</w:t>
            </w:r>
          </w:p>
          <w:p w14:paraId="206DBAE2">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打击</w:t>
            </w:r>
          </w:p>
        </w:tc>
        <w:tc>
          <w:tcPr>
            <w:tcW w:w="824" w:type="dxa"/>
            <w:tcBorders>
              <w:tl2br w:val="nil"/>
              <w:tr2bl w:val="nil"/>
            </w:tcBorders>
            <w:vAlign w:val="center"/>
          </w:tcPr>
          <w:p w14:paraId="05885628">
            <w:pPr>
              <w:pStyle w:val="22"/>
              <w:keepNext w:val="0"/>
              <w:keepLines w:val="0"/>
              <w:widowControl/>
              <w:suppressLineNumbers w:val="0"/>
              <w:spacing w:before="0" w:beforeAutospacing="0" w:after="0" w:afterAutospacing="0"/>
              <w:ind w:left="0" w:right="0"/>
              <w:rPr>
                <w:rFonts w:hint="eastAsia" w:eastAsia="宋体"/>
                <w:b/>
                <w:bCs/>
                <w:color w:val="auto"/>
                <w:lang w:val="en-US" w:eastAsia="zh-CN"/>
              </w:rPr>
            </w:pPr>
            <w:r>
              <w:rPr>
                <w:rFonts w:hint="eastAsia"/>
                <w:b/>
                <w:bCs/>
                <w:color w:val="auto"/>
                <w:lang w:val="en-US" w:eastAsia="zh-CN"/>
              </w:rPr>
              <w:t>机械伤害</w:t>
            </w:r>
          </w:p>
        </w:tc>
        <w:tc>
          <w:tcPr>
            <w:tcW w:w="690" w:type="dxa"/>
            <w:tcBorders>
              <w:tl2br w:val="nil"/>
              <w:tr2bl w:val="nil"/>
            </w:tcBorders>
            <w:vAlign w:val="center"/>
          </w:tcPr>
          <w:p w14:paraId="1D967638">
            <w:pPr>
              <w:pStyle w:val="22"/>
              <w:keepNext w:val="0"/>
              <w:keepLines w:val="0"/>
              <w:widowControl/>
              <w:suppressLineNumbers w:val="0"/>
              <w:spacing w:before="0" w:beforeAutospacing="0" w:after="0" w:afterAutospacing="0"/>
              <w:ind w:left="0" w:right="0"/>
              <w:rPr>
                <w:rFonts w:hint="eastAsia" w:eastAsia="宋体"/>
                <w:b/>
                <w:bCs/>
                <w:color w:val="auto"/>
                <w:lang w:val="en-US" w:eastAsia="zh-CN"/>
              </w:rPr>
            </w:pPr>
            <w:r>
              <w:rPr>
                <w:rFonts w:hint="eastAsia"/>
                <w:b/>
                <w:bCs/>
                <w:color w:val="auto"/>
                <w:lang w:val="en-US" w:eastAsia="zh-CN"/>
              </w:rPr>
              <w:t>灼烫</w:t>
            </w:r>
          </w:p>
        </w:tc>
        <w:tc>
          <w:tcPr>
            <w:tcW w:w="941" w:type="dxa"/>
            <w:tcBorders>
              <w:tl2br w:val="nil"/>
              <w:tr2bl w:val="nil"/>
            </w:tcBorders>
            <w:vAlign w:val="center"/>
          </w:tcPr>
          <w:p w14:paraId="7D053FF1">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其它</w:t>
            </w:r>
          </w:p>
          <w:p w14:paraId="06E0CD6A">
            <w:pPr>
              <w:pStyle w:val="22"/>
              <w:keepNext w:val="0"/>
              <w:keepLines w:val="0"/>
              <w:widowControl/>
              <w:suppressLineNumbers w:val="0"/>
              <w:spacing w:before="0" w:beforeAutospacing="0" w:after="0" w:afterAutospacing="0"/>
              <w:ind w:left="0" w:right="0"/>
              <w:rPr>
                <w:rFonts w:hint="eastAsia"/>
                <w:b/>
                <w:bCs/>
                <w:color w:val="auto"/>
              </w:rPr>
            </w:pPr>
            <w:r>
              <w:rPr>
                <w:rFonts w:hint="eastAsia"/>
                <w:b/>
                <w:bCs/>
                <w:color w:val="auto"/>
              </w:rPr>
              <w:t>伤害</w:t>
            </w:r>
          </w:p>
        </w:tc>
      </w:tr>
      <w:tr w14:paraId="19DB3E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679" w:type="dxa"/>
            <w:tcBorders>
              <w:tl2br w:val="nil"/>
              <w:tr2bl w:val="nil"/>
            </w:tcBorders>
            <w:vAlign w:val="center"/>
          </w:tcPr>
          <w:p w14:paraId="327CA3E4">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储罐区</w:t>
            </w:r>
          </w:p>
        </w:tc>
        <w:tc>
          <w:tcPr>
            <w:tcW w:w="884" w:type="dxa"/>
            <w:tcBorders>
              <w:tl2br w:val="nil"/>
              <w:tr2bl w:val="nil"/>
            </w:tcBorders>
            <w:vAlign w:val="center"/>
          </w:tcPr>
          <w:p w14:paraId="5DEDA450">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46" w:type="dxa"/>
            <w:tcBorders>
              <w:tl2br w:val="nil"/>
              <w:tr2bl w:val="nil"/>
            </w:tcBorders>
            <w:vAlign w:val="center"/>
          </w:tcPr>
          <w:p w14:paraId="3F72BFDF">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59" w:type="dxa"/>
            <w:tcBorders>
              <w:tl2br w:val="nil"/>
              <w:tr2bl w:val="nil"/>
            </w:tcBorders>
            <w:vAlign w:val="center"/>
          </w:tcPr>
          <w:p w14:paraId="54395B21">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1023" w:type="dxa"/>
            <w:tcBorders>
              <w:tl2br w:val="nil"/>
              <w:tr2bl w:val="nil"/>
            </w:tcBorders>
            <w:vAlign w:val="center"/>
          </w:tcPr>
          <w:p w14:paraId="11793CA4">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913" w:type="dxa"/>
            <w:tcBorders>
              <w:tl2br w:val="nil"/>
              <w:tr2bl w:val="nil"/>
            </w:tcBorders>
            <w:vAlign w:val="center"/>
          </w:tcPr>
          <w:p w14:paraId="6E66476E">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818" w:type="dxa"/>
            <w:tcBorders>
              <w:tl2br w:val="nil"/>
              <w:tr2bl w:val="nil"/>
            </w:tcBorders>
            <w:vAlign w:val="center"/>
          </w:tcPr>
          <w:p w14:paraId="6FCB746C">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24" w:type="dxa"/>
            <w:tcBorders>
              <w:tl2br w:val="nil"/>
              <w:tr2bl w:val="nil"/>
            </w:tcBorders>
            <w:vAlign w:val="center"/>
          </w:tcPr>
          <w:p w14:paraId="5E6D6C4A">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690" w:type="dxa"/>
            <w:tcBorders>
              <w:tl2br w:val="nil"/>
              <w:tr2bl w:val="nil"/>
            </w:tcBorders>
            <w:vAlign w:val="center"/>
          </w:tcPr>
          <w:p w14:paraId="690C9278">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941" w:type="dxa"/>
            <w:tcBorders>
              <w:tl2br w:val="nil"/>
              <w:tr2bl w:val="nil"/>
            </w:tcBorders>
            <w:vAlign w:val="center"/>
          </w:tcPr>
          <w:p w14:paraId="551C2A9E">
            <w:pPr>
              <w:pStyle w:val="22"/>
              <w:keepNext w:val="0"/>
              <w:keepLines w:val="0"/>
              <w:widowControl/>
              <w:suppressLineNumbers w:val="0"/>
              <w:spacing w:before="0" w:beforeAutospacing="0" w:after="0" w:afterAutospacing="0"/>
              <w:ind w:left="0" w:leftChars="0" w:right="0" w:rightChars="0" w:firstLine="0" w:firstLineChars="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6C864D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679" w:type="dxa"/>
            <w:tcBorders>
              <w:tl2br w:val="nil"/>
              <w:tr2bl w:val="nil"/>
            </w:tcBorders>
            <w:vAlign w:val="center"/>
          </w:tcPr>
          <w:p w14:paraId="0C0EC994">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加油区</w:t>
            </w:r>
          </w:p>
          <w:p w14:paraId="0C4D7554">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（罩棚）</w:t>
            </w:r>
          </w:p>
        </w:tc>
        <w:tc>
          <w:tcPr>
            <w:tcW w:w="884" w:type="dxa"/>
            <w:tcBorders>
              <w:tl2br w:val="nil"/>
              <w:tr2bl w:val="nil"/>
            </w:tcBorders>
            <w:vAlign w:val="center"/>
          </w:tcPr>
          <w:p w14:paraId="1743A603">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46" w:type="dxa"/>
            <w:tcBorders>
              <w:tl2br w:val="nil"/>
              <w:tr2bl w:val="nil"/>
            </w:tcBorders>
            <w:vAlign w:val="center"/>
          </w:tcPr>
          <w:p w14:paraId="374AFC98">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59" w:type="dxa"/>
            <w:tcBorders>
              <w:tl2br w:val="nil"/>
              <w:tr2bl w:val="nil"/>
            </w:tcBorders>
            <w:vAlign w:val="center"/>
          </w:tcPr>
          <w:p w14:paraId="51A9D5EF">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1023" w:type="dxa"/>
            <w:tcBorders>
              <w:tl2br w:val="nil"/>
              <w:tr2bl w:val="nil"/>
            </w:tcBorders>
            <w:vAlign w:val="center"/>
          </w:tcPr>
          <w:p w14:paraId="75242DA6">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913" w:type="dxa"/>
            <w:tcBorders>
              <w:tl2br w:val="nil"/>
              <w:tr2bl w:val="nil"/>
            </w:tcBorders>
            <w:vAlign w:val="center"/>
          </w:tcPr>
          <w:p w14:paraId="08659689">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18" w:type="dxa"/>
            <w:tcBorders>
              <w:tl2br w:val="nil"/>
              <w:tr2bl w:val="nil"/>
            </w:tcBorders>
            <w:vAlign w:val="center"/>
          </w:tcPr>
          <w:p w14:paraId="24C25378">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24" w:type="dxa"/>
            <w:tcBorders>
              <w:tl2br w:val="nil"/>
              <w:tr2bl w:val="nil"/>
            </w:tcBorders>
            <w:vAlign w:val="center"/>
          </w:tcPr>
          <w:p w14:paraId="7D245CC9">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690" w:type="dxa"/>
            <w:tcBorders>
              <w:tl2br w:val="nil"/>
              <w:tr2bl w:val="nil"/>
            </w:tcBorders>
            <w:vAlign w:val="center"/>
          </w:tcPr>
          <w:p w14:paraId="3F0BFB55">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941" w:type="dxa"/>
            <w:tcBorders>
              <w:tl2br w:val="nil"/>
              <w:tr2bl w:val="nil"/>
            </w:tcBorders>
            <w:vAlign w:val="center"/>
          </w:tcPr>
          <w:p w14:paraId="0EF1E7E6">
            <w:pPr>
              <w:pStyle w:val="22"/>
              <w:keepNext w:val="0"/>
              <w:keepLines w:val="0"/>
              <w:widowControl/>
              <w:suppressLineNumbers w:val="0"/>
              <w:spacing w:before="0" w:beforeAutospacing="0" w:after="0" w:afterAutospacing="0"/>
              <w:ind w:left="0" w:leftChars="0" w:right="0" w:rightChars="0" w:firstLine="0" w:firstLineChars="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7CF9FD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679" w:type="dxa"/>
            <w:tcBorders>
              <w:tl2br w:val="nil"/>
              <w:tr2bl w:val="nil"/>
            </w:tcBorders>
            <w:vAlign w:val="center"/>
          </w:tcPr>
          <w:p w14:paraId="7DADFBAA">
            <w:pPr>
              <w:pStyle w:val="22"/>
              <w:keepNext w:val="0"/>
              <w:keepLines w:val="0"/>
              <w:widowControl/>
              <w:suppressLineNumbers w:val="0"/>
              <w:spacing w:before="0" w:beforeAutospacing="0" w:after="0" w:afterAutospacing="0"/>
              <w:ind w:left="0" w:right="0"/>
              <w:rPr>
                <w:rFonts w:hint="eastAsia" w:ascii="Times New Roman" w:hAnsi="Times New Roman" w:eastAsia="宋体" w:cs="Times New Roman"/>
                <w:b/>
                <w:bCs/>
                <w:color w:val="auto"/>
                <w:lang w:val="en-US" w:eastAsia="zh-CN"/>
              </w:rPr>
            </w:pPr>
            <w:r>
              <w:rPr>
                <w:rFonts w:hint="default" w:ascii="Times New Roman" w:hAnsi="Times New Roman" w:cs="Times New Roman"/>
                <w:b/>
                <w:bCs/>
                <w:color w:val="auto"/>
              </w:rPr>
              <w:t>卸油</w:t>
            </w:r>
            <w:r>
              <w:rPr>
                <w:rFonts w:hint="eastAsia" w:cs="Times New Roman"/>
                <w:b/>
                <w:bCs/>
                <w:color w:val="auto"/>
                <w:lang w:val="en-US" w:eastAsia="zh-CN"/>
              </w:rPr>
              <w:t>区</w:t>
            </w:r>
          </w:p>
        </w:tc>
        <w:tc>
          <w:tcPr>
            <w:tcW w:w="884" w:type="dxa"/>
            <w:tcBorders>
              <w:tl2br w:val="nil"/>
              <w:tr2bl w:val="nil"/>
            </w:tcBorders>
            <w:vAlign w:val="center"/>
          </w:tcPr>
          <w:p w14:paraId="2CEE49E2">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46" w:type="dxa"/>
            <w:tcBorders>
              <w:tl2br w:val="nil"/>
              <w:tr2bl w:val="nil"/>
            </w:tcBorders>
            <w:vAlign w:val="center"/>
          </w:tcPr>
          <w:p w14:paraId="407B59BA">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59" w:type="dxa"/>
            <w:tcBorders>
              <w:tl2br w:val="nil"/>
              <w:tr2bl w:val="nil"/>
            </w:tcBorders>
            <w:vAlign w:val="center"/>
          </w:tcPr>
          <w:p w14:paraId="3AEC4A0D">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1023" w:type="dxa"/>
            <w:tcBorders>
              <w:tl2br w:val="nil"/>
              <w:tr2bl w:val="nil"/>
            </w:tcBorders>
            <w:vAlign w:val="center"/>
          </w:tcPr>
          <w:p w14:paraId="00E079D1">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913" w:type="dxa"/>
            <w:tcBorders>
              <w:tl2br w:val="nil"/>
              <w:tr2bl w:val="nil"/>
            </w:tcBorders>
            <w:vAlign w:val="center"/>
          </w:tcPr>
          <w:p w14:paraId="63610C1E">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818" w:type="dxa"/>
            <w:tcBorders>
              <w:tl2br w:val="nil"/>
              <w:tr2bl w:val="nil"/>
            </w:tcBorders>
            <w:vAlign w:val="center"/>
          </w:tcPr>
          <w:p w14:paraId="79485160">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824" w:type="dxa"/>
            <w:tcBorders>
              <w:tl2br w:val="nil"/>
              <w:tr2bl w:val="nil"/>
            </w:tcBorders>
            <w:vAlign w:val="center"/>
          </w:tcPr>
          <w:p w14:paraId="62560B6B">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690" w:type="dxa"/>
            <w:tcBorders>
              <w:tl2br w:val="nil"/>
              <w:tr2bl w:val="nil"/>
            </w:tcBorders>
            <w:vAlign w:val="center"/>
          </w:tcPr>
          <w:p w14:paraId="188FFB34">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941" w:type="dxa"/>
            <w:tcBorders>
              <w:tl2br w:val="nil"/>
              <w:tr2bl w:val="nil"/>
            </w:tcBorders>
            <w:vAlign w:val="center"/>
          </w:tcPr>
          <w:p w14:paraId="152D7C63">
            <w:pPr>
              <w:pStyle w:val="22"/>
              <w:keepNext w:val="0"/>
              <w:keepLines w:val="0"/>
              <w:widowControl/>
              <w:suppressLineNumbers w:val="0"/>
              <w:spacing w:before="0" w:beforeAutospacing="0" w:after="0" w:afterAutospacing="0"/>
              <w:ind w:left="0" w:leftChars="0" w:right="0" w:rightChars="0" w:firstLine="0" w:firstLineChars="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r w14:paraId="398739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1679" w:type="dxa"/>
            <w:tcBorders>
              <w:tl2br w:val="nil"/>
              <w:tr2bl w:val="nil"/>
            </w:tcBorders>
            <w:vAlign w:val="center"/>
          </w:tcPr>
          <w:p w14:paraId="3CFA9EA8">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站房</w:t>
            </w:r>
          </w:p>
        </w:tc>
        <w:tc>
          <w:tcPr>
            <w:tcW w:w="884" w:type="dxa"/>
            <w:tcBorders>
              <w:tl2br w:val="nil"/>
              <w:tr2bl w:val="nil"/>
            </w:tcBorders>
            <w:vAlign w:val="center"/>
          </w:tcPr>
          <w:p w14:paraId="550A86A5">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46" w:type="dxa"/>
            <w:tcBorders>
              <w:tl2br w:val="nil"/>
              <w:tr2bl w:val="nil"/>
            </w:tcBorders>
            <w:vAlign w:val="center"/>
          </w:tcPr>
          <w:p w14:paraId="0EE5B022">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859" w:type="dxa"/>
            <w:tcBorders>
              <w:tl2br w:val="nil"/>
              <w:tr2bl w:val="nil"/>
            </w:tcBorders>
            <w:vAlign w:val="center"/>
          </w:tcPr>
          <w:p w14:paraId="5C8A9E46">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1023" w:type="dxa"/>
            <w:tcBorders>
              <w:tl2br w:val="nil"/>
              <w:tr2bl w:val="nil"/>
            </w:tcBorders>
            <w:vAlign w:val="center"/>
          </w:tcPr>
          <w:p w14:paraId="0BEAF3CD">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913" w:type="dxa"/>
            <w:tcBorders>
              <w:tl2br w:val="nil"/>
              <w:tr2bl w:val="nil"/>
            </w:tcBorders>
            <w:vAlign w:val="center"/>
          </w:tcPr>
          <w:p w14:paraId="02C2DCE9">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18" w:type="dxa"/>
            <w:tcBorders>
              <w:tl2br w:val="nil"/>
              <w:tr2bl w:val="nil"/>
            </w:tcBorders>
            <w:vAlign w:val="center"/>
          </w:tcPr>
          <w:p w14:paraId="2254A14F">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24" w:type="dxa"/>
            <w:tcBorders>
              <w:tl2br w:val="nil"/>
              <w:tr2bl w:val="nil"/>
            </w:tcBorders>
            <w:vAlign w:val="center"/>
          </w:tcPr>
          <w:p w14:paraId="5252F8A8">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690" w:type="dxa"/>
            <w:tcBorders>
              <w:tl2br w:val="nil"/>
              <w:tr2bl w:val="nil"/>
            </w:tcBorders>
            <w:vAlign w:val="center"/>
          </w:tcPr>
          <w:p w14:paraId="2DD9B600">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941" w:type="dxa"/>
            <w:tcBorders>
              <w:tl2br w:val="nil"/>
              <w:tr2bl w:val="nil"/>
            </w:tcBorders>
            <w:vAlign w:val="center"/>
          </w:tcPr>
          <w:p w14:paraId="4871A456">
            <w:pPr>
              <w:pStyle w:val="22"/>
              <w:keepNext w:val="0"/>
              <w:keepLines w:val="0"/>
              <w:widowControl/>
              <w:suppressLineNumbers w:val="0"/>
              <w:spacing w:before="0" w:beforeAutospacing="0" w:after="0" w:afterAutospacing="0"/>
              <w:ind w:left="0" w:leftChars="0" w:right="0" w:rightChars="0" w:firstLine="0" w:firstLineChars="0"/>
              <w:rPr>
                <w:rFonts w:hint="default" w:ascii="Times New Roman" w:hAnsi="Times New Roman" w:cs="Times New Roman"/>
                <w:b/>
                <w:bCs/>
                <w:color w:val="auto"/>
                <w:szCs w:val="21"/>
              </w:rPr>
            </w:pPr>
          </w:p>
        </w:tc>
      </w:tr>
      <w:tr w14:paraId="29BA2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79" w:type="dxa"/>
            <w:tcBorders>
              <w:tl2br w:val="nil"/>
              <w:tr2bl w:val="nil"/>
            </w:tcBorders>
            <w:vAlign w:val="center"/>
          </w:tcPr>
          <w:p w14:paraId="20576BC2">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配电间</w:t>
            </w:r>
          </w:p>
        </w:tc>
        <w:tc>
          <w:tcPr>
            <w:tcW w:w="884" w:type="dxa"/>
            <w:tcBorders>
              <w:tl2br w:val="nil"/>
              <w:tr2bl w:val="nil"/>
            </w:tcBorders>
            <w:vAlign w:val="center"/>
          </w:tcPr>
          <w:p w14:paraId="30382FB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46" w:type="dxa"/>
            <w:tcBorders>
              <w:tl2br w:val="nil"/>
              <w:tr2bl w:val="nil"/>
            </w:tcBorders>
            <w:vAlign w:val="center"/>
          </w:tcPr>
          <w:p w14:paraId="112FBE45">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859" w:type="dxa"/>
            <w:tcBorders>
              <w:tl2br w:val="nil"/>
              <w:tr2bl w:val="nil"/>
            </w:tcBorders>
            <w:vAlign w:val="center"/>
          </w:tcPr>
          <w:p w14:paraId="0016DD63">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1023" w:type="dxa"/>
            <w:tcBorders>
              <w:tl2br w:val="nil"/>
              <w:tr2bl w:val="nil"/>
            </w:tcBorders>
            <w:vAlign w:val="center"/>
          </w:tcPr>
          <w:p w14:paraId="239FC0AD">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913" w:type="dxa"/>
            <w:tcBorders>
              <w:tl2br w:val="nil"/>
              <w:tr2bl w:val="nil"/>
            </w:tcBorders>
            <w:vAlign w:val="center"/>
          </w:tcPr>
          <w:p w14:paraId="2FD82F69">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818" w:type="dxa"/>
            <w:tcBorders>
              <w:tl2br w:val="nil"/>
              <w:tr2bl w:val="nil"/>
            </w:tcBorders>
            <w:vAlign w:val="center"/>
          </w:tcPr>
          <w:p w14:paraId="42AF0D3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color w:val="auto"/>
                <w:kern w:val="0"/>
                <w:szCs w:val="21"/>
                <w:lang w:bidi="ar"/>
              </w:rPr>
              <w:t>√</w:t>
            </w:r>
          </w:p>
        </w:tc>
        <w:tc>
          <w:tcPr>
            <w:tcW w:w="824" w:type="dxa"/>
            <w:tcBorders>
              <w:tl2br w:val="nil"/>
              <w:tr2bl w:val="nil"/>
            </w:tcBorders>
            <w:vAlign w:val="center"/>
          </w:tcPr>
          <w:p w14:paraId="7DA4447D">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p>
        </w:tc>
        <w:tc>
          <w:tcPr>
            <w:tcW w:w="690" w:type="dxa"/>
            <w:tcBorders>
              <w:tl2br w:val="nil"/>
              <w:tr2bl w:val="nil"/>
            </w:tcBorders>
            <w:vAlign w:val="center"/>
          </w:tcPr>
          <w:p w14:paraId="4CA5EB90">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kern w:val="0"/>
                <w:szCs w:val="21"/>
                <w:lang w:bidi="ar"/>
              </w:rPr>
            </w:pPr>
          </w:p>
        </w:tc>
        <w:tc>
          <w:tcPr>
            <w:tcW w:w="941" w:type="dxa"/>
            <w:tcBorders>
              <w:tl2br w:val="nil"/>
              <w:tr2bl w:val="nil"/>
            </w:tcBorders>
            <w:vAlign w:val="center"/>
          </w:tcPr>
          <w:p w14:paraId="4C65F263">
            <w:pPr>
              <w:pStyle w:val="22"/>
              <w:keepNext w:val="0"/>
              <w:keepLines w:val="0"/>
              <w:widowControl/>
              <w:suppressLineNumbers w:val="0"/>
              <w:spacing w:before="0" w:beforeAutospacing="0" w:after="0" w:afterAutospacing="0"/>
              <w:ind w:left="0" w:leftChars="0" w:right="0" w:rightChars="0" w:firstLine="0" w:firstLineChars="0"/>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r>
    </w:tbl>
    <w:p w14:paraId="5C18DF8B">
      <w:pPr>
        <w:pStyle w:val="4"/>
        <w:keepNext/>
        <w:keepLines/>
        <w:pageBreakBefore w:val="0"/>
        <w:widowControl/>
        <w:kinsoku/>
        <w:wordWrap/>
        <w:overflowPunct/>
        <w:topLinePunct w:val="0"/>
        <w:autoSpaceDE/>
        <w:autoSpaceDN/>
        <w:bidi w:val="0"/>
        <w:adjustRightInd/>
        <w:snapToGrid/>
        <w:spacing w:before="157" w:beforeLines="50" w:line="360" w:lineRule="auto"/>
        <w:jc w:val="both"/>
        <w:textAlignment w:val="auto"/>
        <w:rPr>
          <w:rFonts w:hint="default" w:ascii="Times New Roman" w:hAnsi="Times New Roman" w:cs="Times New Roman"/>
          <w:color w:val="auto"/>
        </w:rPr>
      </w:pPr>
      <w:bookmarkStart w:id="252" w:name="_Toc15226"/>
      <w:bookmarkStart w:id="253" w:name="_Toc22694"/>
      <w:bookmarkStart w:id="254" w:name="_Toc6634"/>
      <w:bookmarkStart w:id="255" w:name="_Toc19021"/>
      <w:bookmarkStart w:id="256" w:name="_Toc10259"/>
      <w:bookmarkStart w:id="257" w:name="_Toc24897"/>
      <w:bookmarkStart w:id="258" w:name="_Toc207511284"/>
      <w:bookmarkStart w:id="259" w:name="_Toc1919"/>
      <w:bookmarkStart w:id="260" w:name="_Toc18287"/>
      <w:r>
        <w:rPr>
          <w:rFonts w:hint="default" w:ascii="Times New Roman" w:hAnsi="Times New Roman" w:cs="Times New Roman"/>
          <w:color w:val="auto"/>
        </w:rPr>
        <w:t>3.3重点监管的危险化工工艺辨识</w:t>
      </w:r>
      <w:bookmarkEnd w:id="252"/>
      <w:bookmarkEnd w:id="253"/>
      <w:bookmarkEnd w:id="254"/>
    </w:p>
    <w:p w14:paraId="4C8803FA">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辨识依据：《重点监管危险化工工艺目录（2013年完整版）》。</w:t>
      </w:r>
    </w:p>
    <w:p w14:paraId="7606CB24">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szCs w:val="28"/>
        </w:rPr>
        <w:t>辨识结果：该加油站储罐区、加油区工艺流程较简单，采用目前国内常用的储运工艺，主要是油料的装卸、输送、储存，不涉及化学反应生产过程。不属于《重点监管危险化工工艺目录（2013年完整版）》中重点监管的危险化工工艺。</w:t>
      </w:r>
    </w:p>
    <w:p w14:paraId="0133251C">
      <w:pPr>
        <w:pStyle w:val="4"/>
        <w:keepNext/>
        <w:keepLines/>
        <w:pageBreakBefore w:val="0"/>
        <w:widowControl/>
        <w:kinsoku/>
        <w:wordWrap/>
        <w:overflowPunct/>
        <w:topLinePunct w:val="0"/>
        <w:autoSpaceDE/>
        <w:autoSpaceDN/>
        <w:bidi w:val="0"/>
        <w:adjustRightInd/>
        <w:snapToGrid/>
        <w:spacing w:before="157" w:beforeLines="50" w:line="360" w:lineRule="auto"/>
        <w:jc w:val="both"/>
        <w:textAlignment w:val="auto"/>
        <w:rPr>
          <w:rFonts w:hint="default" w:ascii="Times New Roman" w:hAnsi="Times New Roman" w:cs="Times New Roman"/>
          <w:color w:val="auto"/>
        </w:rPr>
      </w:pPr>
      <w:bookmarkStart w:id="261" w:name="_Toc5569"/>
      <w:bookmarkStart w:id="262" w:name="_Toc19259"/>
      <w:bookmarkStart w:id="263" w:name="_Toc23062"/>
      <w:r>
        <w:rPr>
          <w:rFonts w:hint="default" w:ascii="Times New Roman" w:hAnsi="Times New Roman" w:cs="Times New Roman"/>
          <w:color w:val="auto"/>
        </w:rPr>
        <w:t>3.4重大危险源辨识结果</w:t>
      </w:r>
      <w:bookmarkEnd w:id="255"/>
      <w:bookmarkEnd w:id="256"/>
      <w:bookmarkEnd w:id="257"/>
      <w:bookmarkEnd w:id="258"/>
      <w:bookmarkEnd w:id="259"/>
      <w:bookmarkEnd w:id="260"/>
      <w:r>
        <w:rPr>
          <w:rFonts w:hint="default" w:ascii="Times New Roman" w:hAnsi="Times New Roman" w:cs="Times New Roman"/>
          <w:color w:val="auto"/>
        </w:rPr>
        <w:t>及依据</w:t>
      </w:r>
      <w:bookmarkEnd w:id="261"/>
      <w:bookmarkEnd w:id="262"/>
      <w:bookmarkEnd w:id="263"/>
    </w:p>
    <w:p w14:paraId="5276756F">
      <w:pPr>
        <w:spacing w:line="360" w:lineRule="auto"/>
        <w:ind w:firstLine="560"/>
        <w:rPr>
          <w:color w:val="auto"/>
        </w:rPr>
      </w:pPr>
      <w:r>
        <w:rPr>
          <w:rFonts w:hint="default" w:ascii="Times New Roman" w:hAnsi="Times New Roman" w:cs="Times New Roman"/>
          <w:color w:val="auto"/>
        </w:rPr>
        <w:t>按照《危险化学品重大危险源辨识》（GB18218-2018）进行辨识，该加</w:t>
      </w:r>
      <w:r>
        <w:rPr>
          <w:color w:val="auto"/>
        </w:rPr>
        <w:t>油站</w:t>
      </w:r>
      <w:r>
        <w:rPr>
          <w:rFonts w:hint="eastAsia"/>
          <w:color w:val="auto"/>
        </w:rPr>
        <w:t>生产单元和储存单元综合未构成危险化学品重大危险源</w:t>
      </w:r>
      <w:r>
        <w:rPr>
          <w:color w:val="auto"/>
        </w:rPr>
        <w:t>。</w:t>
      </w:r>
    </w:p>
    <w:p w14:paraId="79BC8BA0">
      <w:pPr>
        <w:pStyle w:val="4"/>
        <w:spacing w:line="360" w:lineRule="auto"/>
        <w:jc w:val="both"/>
        <w:rPr>
          <w:rFonts w:hint="default" w:ascii="Times New Roman" w:hAnsi="Times New Roman" w:cs="Times New Roman"/>
          <w:color w:val="auto"/>
        </w:rPr>
      </w:pPr>
      <w:bookmarkStart w:id="264" w:name="_Toc16910"/>
      <w:bookmarkStart w:id="265" w:name="_Toc15510"/>
      <w:bookmarkStart w:id="266" w:name="_Toc17326"/>
      <w:r>
        <w:rPr>
          <w:rFonts w:hint="default" w:ascii="Times New Roman" w:hAnsi="Times New Roman" w:cs="Times New Roman"/>
          <w:color w:val="auto"/>
        </w:rPr>
        <w:t>3.5爆炸危险</w:t>
      </w:r>
      <w:r>
        <w:rPr>
          <w:rFonts w:hint="default" w:ascii="Times New Roman" w:hAnsi="Times New Roman" w:cs="Times New Roman"/>
          <w:color w:val="auto"/>
          <w:lang w:eastAsia="zh-CN"/>
        </w:rPr>
        <w:t>环境评定</w:t>
      </w:r>
      <w:r>
        <w:rPr>
          <w:rFonts w:hint="default" w:ascii="Times New Roman" w:hAnsi="Times New Roman" w:cs="Times New Roman"/>
          <w:color w:val="auto"/>
        </w:rPr>
        <w:t>结果</w:t>
      </w:r>
      <w:bookmarkEnd w:id="264"/>
      <w:bookmarkEnd w:id="265"/>
      <w:bookmarkEnd w:id="266"/>
    </w:p>
    <w:p w14:paraId="7616AD9E">
      <w:pPr>
        <w:spacing w:line="360" w:lineRule="auto"/>
        <w:ind w:firstLine="560"/>
        <w:rPr>
          <w:color w:val="auto"/>
        </w:rPr>
      </w:pPr>
      <w:r>
        <w:rPr>
          <w:rFonts w:hint="eastAsia"/>
          <w:color w:val="auto"/>
        </w:rPr>
        <w:t>根据《爆炸危险环境电力装置设计规范》（</w:t>
      </w:r>
      <w:r>
        <w:rPr>
          <w:rFonts w:hint="eastAsia" w:ascii="Times New Roman" w:hAnsi="Times New Roman"/>
          <w:color w:val="auto"/>
        </w:rPr>
        <w:t>GB50058</w:t>
      </w:r>
      <w:r>
        <w:rPr>
          <w:rFonts w:hint="eastAsia"/>
          <w:color w:val="auto"/>
        </w:rPr>
        <w:t>-</w:t>
      </w:r>
      <w:r>
        <w:rPr>
          <w:rFonts w:hint="eastAsia" w:ascii="Times New Roman" w:hAnsi="Times New Roman"/>
          <w:color w:val="auto"/>
        </w:rPr>
        <w:t>2014</w:t>
      </w:r>
      <w:r>
        <w:rPr>
          <w:rFonts w:hint="eastAsia"/>
          <w:color w:val="auto"/>
        </w:rPr>
        <w:t>）、《汽车加油加气加氢站技术标准》（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）规定将该加油站站内爆炸危险区域划分为两个区，分别是加油机和卧式埋地汽油罐：</w:t>
      </w:r>
    </w:p>
    <w:p w14:paraId="6426EB06">
      <w:pPr>
        <w:spacing w:line="360" w:lineRule="auto"/>
        <w:ind w:firstLine="560"/>
        <w:rPr>
          <w:color w:val="auto"/>
        </w:rPr>
      </w:pPr>
      <w:r>
        <w:rPr>
          <w:rFonts w:hint="eastAsia" w:ascii="Times New Roman" w:hAnsi="Times New Roman"/>
          <w:color w:val="auto"/>
        </w:rPr>
        <w:t>1</w:t>
      </w:r>
      <w:r>
        <w:rPr>
          <w:rFonts w:hint="eastAsia"/>
          <w:color w:val="auto"/>
        </w:rPr>
        <w:t>）加油机的爆炸危险区域的划分</w:t>
      </w:r>
    </w:p>
    <w:p w14:paraId="632CC804">
      <w:pPr>
        <w:spacing w:line="360" w:lineRule="auto"/>
        <w:ind w:firstLine="560"/>
        <w:rPr>
          <w:color w:val="auto"/>
        </w:rPr>
      </w:pPr>
      <w:r>
        <w:rPr>
          <w:rFonts w:hint="eastAsia"/>
          <w:color w:val="auto"/>
        </w:rPr>
        <w:t>①加油机壳体内部空间划为</w:t>
      </w:r>
      <w:r>
        <w:rPr>
          <w:rFonts w:hint="eastAsia" w:ascii="Times New Roman" w:hAnsi="Times New Roman"/>
          <w:color w:val="auto"/>
        </w:rPr>
        <w:t>1</w:t>
      </w:r>
      <w:r>
        <w:rPr>
          <w:rFonts w:hint="eastAsia"/>
          <w:color w:val="auto"/>
        </w:rPr>
        <w:t>区。</w:t>
      </w:r>
    </w:p>
    <w:p w14:paraId="203764A8">
      <w:pPr>
        <w:spacing w:line="360" w:lineRule="auto"/>
        <w:ind w:firstLine="560"/>
        <w:rPr>
          <w:color w:val="auto"/>
        </w:rPr>
      </w:pPr>
      <w:r>
        <w:rPr>
          <w:rFonts w:hint="eastAsia"/>
          <w:color w:val="auto"/>
        </w:rPr>
        <w:t>②以加油机中心线为中心线，以半径为</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的地面区域为底面和以加油机顶部以上</w:t>
      </w:r>
      <w:r>
        <w:rPr>
          <w:rFonts w:hint="eastAsia" w:ascii="Times New Roman" w:hAnsi="Times New Roman"/>
          <w:color w:val="auto"/>
        </w:rPr>
        <w:t>0</w:t>
      </w:r>
      <w:r>
        <w:rPr>
          <w:rFonts w:hint="eastAsia"/>
          <w:color w:val="auto"/>
        </w:rPr>
        <w:t>.</w:t>
      </w:r>
      <w:r>
        <w:rPr>
          <w:rFonts w:hint="eastAsia" w:ascii="Times New Roman" w:hAnsi="Times New Roman"/>
          <w:color w:val="auto"/>
        </w:rPr>
        <w:t>15m</w:t>
      </w:r>
      <w:r>
        <w:rPr>
          <w:rFonts w:hint="eastAsia"/>
          <w:color w:val="auto"/>
        </w:rPr>
        <w:t>半径为</w:t>
      </w:r>
      <w:r>
        <w:rPr>
          <w:rFonts w:hint="eastAsia" w:ascii="Times New Roman" w:hAnsi="Times New Roman"/>
          <w:color w:val="auto"/>
        </w:rPr>
        <w:t>3m</w:t>
      </w:r>
      <w:r>
        <w:rPr>
          <w:rFonts w:hint="eastAsia"/>
          <w:color w:val="auto"/>
        </w:rPr>
        <w:t>的平面为顶面的圆台形空间划为</w:t>
      </w:r>
      <w:r>
        <w:rPr>
          <w:rFonts w:hint="eastAsia" w:ascii="Times New Roman" w:hAnsi="Times New Roman"/>
          <w:color w:val="auto"/>
        </w:rPr>
        <w:t>2</w:t>
      </w:r>
      <w:r>
        <w:rPr>
          <w:rFonts w:hint="eastAsia"/>
          <w:color w:val="auto"/>
        </w:rPr>
        <w:t>区。</w:t>
      </w:r>
    </w:p>
    <w:p w14:paraId="4DA8162A">
      <w:pPr>
        <w:spacing w:line="240" w:lineRule="auto"/>
        <w:ind w:firstLine="0" w:firstLineChars="0"/>
        <w:jc w:val="center"/>
        <w:rPr>
          <w:rFonts w:ascii="宋体" w:hAnsi="宋体"/>
          <w:color w:val="auto"/>
        </w:rPr>
      </w:pPr>
      <w:r>
        <w:rPr>
          <w:rFonts w:ascii="宋体" w:hAnsi="宋体"/>
          <w:color w:val="auto"/>
        </w:rPr>
        <w:drawing>
          <wp:inline distT="0" distB="0" distL="114300" distR="114300">
            <wp:extent cx="5066665" cy="3615055"/>
            <wp:effectExtent l="0" t="0" r="635" b="4445"/>
            <wp:docPr id="85" name="图片 14" descr="QQ截图2017101916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4" descr="QQ截图20171019162020"/>
                    <pic:cNvPicPr>
                      <a:picLocks noChangeAspect="1"/>
                    </pic:cNvPicPr>
                  </pic:nvPicPr>
                  <pic:blipFill>
                    <a:blip r:embed="rId15"/>
                    <a:stretch>
                      <a:fillRect/>
                    </a:stretch>
                  </pic:blipFill>
                  <pic:spPr>
                    <a:xfrm>
                      <a:off x="0" y="0"/>
                      <a:ext cx="5066665" cy="3615055"/>
                    </a:xfrm>
                    <a:prstGeom prst="rect">
                      <a:avLst/>
                    </a:prstGeom>
                    <a:noFill/>
                    <a:ln>
                      <a:noFill/>
                    </a:ln>
                  </pic:spPr>
                </pic:pic>
              </a:graphicData>
            </a:graphic>
          </wp:inline>
        </w:drawing>
      </w:r>
    </w:p>
    <w:p w14:paraId="2EEDDDBD">
      <w:pPr>
        <w:pStyle w:val="21"/>
        <w:rPr>
          <w:rFonts w:ascii="黑体" w:hAnsi="黑体"/>
          <w:color w:val="auto"/>
          <w:szCs w:val="21"/>
        </w:rPr>
      </w:pPr>
      <w:r>
        <w:rPr>
          <w:rFonts w:hint="default" w:ascii="Times New Roman" w:hAnsi="Times New Roman" w:cs="Times New Roman"/>
          <w:color w:val="auto"/>
          <w:szCs w:val="21"/>
        </w:rPr>
        <w:t>图3.5-1 汽油加油</w:t>
      </w:r>
      <w:r>
        <w:rPr>
          <w:rFonts w:hint="eastAsia" w:ascii="黑体" w:hAnsi="黑体"/>
          <w:color w:val="auto"/>
          <w:szCs w:val="21"/>
        </w:rPr>
        <w:t>机爆炸危险区域划分图</w:t>
      </w:r>
    </w:p>
    <w:p w14:paraId="0207B3F4">
      <w:pPr>
        <w:spacing w:line="360" w:lineRule="auto"/>
        <w:ind w:firstLine="560"/>
        <w:rPr>
          <w:color w:val="auto"/>
        </w:rPr>
      </w:pPr>
      <w:r>
        <w:rPr>
          <w:rFonts w:hint="eastAsia" w:ascii="Times New Roman" w:hAnsi="Times New Roman"/>
          <w:color w:val="auto"/>
        </w:rPr>
        <w:t>2</w:t>
      </w:r>
      <w:r>
        <w:rPr>
          <w:rFonts w:hint="eastAsia"/>
          <w:color w:val="auto"/>
        </w:rPr>
        <w:t>）埋地卧式汽油罐爆炸危险区域的划分结果如下图所示。</w:t>
      </w:r>
    </w:p>
    <w:p w14:paraId="2BB3D4F0">
      <w:pPr>
        <w:spacing w:line="240" w:lineRule="auto"/>
        <w:ind w:firstLine="0" w:firstLineChars="0"/>
        <w:jc w:val="center"/>
        <w:rPr>
          <w:rFonts w:ascii="宋体" w:hAnsi="宋体"/>
          <w:color w:val="auto"/>
        </w:rPr>
      </w:pPr>
      <w:r>
        <w:rPr>
          <w:rFonts w:ascii="宋体" w:hAnsi="宋体"/>
          <w:color w:val="auto"/>
        </w:rPr>
        <w:drawing>
          <wp:inline distT="0" distB="0" distL="114300" distR="114300">
            <wp:extent cx="5073650" cy="3487420"/>
            <wp:effectExtent l="0" t="0" r="12700" b="17780"/>
            <wp:docPr id="86" name="图片 15" descr="QQ截图20171019162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5" descr="QQ截图20171019162038"/>
                    <pic:cNvPicPr>
                      <a:picLocks noChangeAspect="1"/>
                    </pic:cNvPicPr>
                  </pic:nvPicPr>
                  <pic:blipFill>
                    <a:blip r:embed="rId16"/>
                    <a:stretch>
                      <a:fillRect/>
                    </a:stretch>
                  </pic:blipFill>
                  <pic:spPr>
                    <a:xfrm>
                      <a:off x="0" y="0"/>
                      <a:ext cx="5073650" cy="3487420"/>
                    </a:xfrm>
                    <a:prstGeom prst="rect">
                      <a:avLst/>
                    </a:prstGeom>
                    <a:noFill/>
                    <a:ln>
                      <a:noFill/>
                    </a:ln>
                  </pic:spPr>
                </pic:pic>
              </a:graphicData>
            </a:graphic>
          </wp:inline>
        </w:drawing>
      </w:r>
    </w:p>
    <w:p w14:paraId="3A04E361">
      <w:pPr>
        <w:pStyle w:val="21"/>
        <w:rPr>
          <w:rFonts w:ascii="黑体" w:hAnsi="黑体"/>
          <w:color w:val="auto"/>
          <w:szCs w:val="21"/>
        </w:rPr>
      </w:pPr>
      <w:r>
        <w:rPr>
          <w:rFonts w:hint="default" w:ascii="Times New Roman" w:hAnsi="Times New Roman" w:cs="Times New Roman"/>
          <w:color w:val="auto"/>
          <w:szCs w:val="21"/>
        </w:rPr>
        <w:t>图3.5-2 埋地卧</w:t>
      </w:r>
      <w:r>
        <w:rPr>
          <w:rFonts w:hint="eastAsia" w:ascii="黑体" w:hAnsi="黑体"/>
          <w:color w:val="auto"/>
          <w:szCs w:val="21"/>
        </w:rPr>
        <w:t>式汽油储罐爆炸危险区域划分图</w:t>
      </w:r>
    </w:p>
    <w:p w14:paraId="25A3AE41">
      <w:pPr>
        <w:ind w:firstLine="560"/>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312" w:charSpace="0"/>
        </w:sectPr>
      </w:pPr>
    </w:p>
    <w:p w14:paraId="775389E8">
      <w:pPr>
        <w:pStyle w:val="3"/>
        <w:spacing w:line="360" w:lineRule="auto"/>
        <w:rPr>
          <w:color w:val="auto"/>
        </w:rPr>
      </w:pPr>
      <w:bookmarkStart w:id="267" w:name="_Toc12789"/>
      <w:bookmarkStart w:id="268" w:name="_Toc8680"/>
      <w:bookmarkStart w:id="269" w:name="_Toc23375"/>
      <w:bookmarkStart w:id="270" w:name="_Toc27067"/>
      <w:bookmarkStart w:id="271" w:name="_Toc12360"/>
      <w:bookmarkStart w:id="272" w:name="_Toc7874"/>
      <w:bookmarkStart w:id="273" w:name="_Toc24665"/>
      <w:bookmarkStart w:id="274" w:name="_Toc18687"/>
      <w:bookmarkStart w:id="275" w:name="_Toc207511285"/>
      <w:r>
        <w:rPr>
          <w:rFonts w:hint="eastAsia"/>
          <w:color w:val="auto"/>
        </w:rPr>
        <w:t xml:space="preserve">第四章 </w:t>
      </w:r>
      <w:bookmarkEnd w:id="267"/>
      <w:bookmarkEnd w:id="268"/>
      <w:bookmarkEnd w:id="269"/>
      <w:bookmarkEnd w:id="270"/>
      <w:bookmarkEnd w:id="271"/>
      <w:r>
        <w:rPr>
          <w:rFonts w:hint="eastAsia"/>
          <w:color w:val="auto"/>
        </w:rPr>
        <w:t>安全评价单元的划分结果</w:t>
      </w:r>
      <w:bookmarkEnd w:id="272"/>
      <w:bookmarkEnd w:id="273"/>
      <w:bookmarkEnd w:id="274"/>
    </w:p>
    <w:p w14:paraId="553A7066">
      <w:pPr>
        <w:pStyle w:val="4"/>
        <w:spacing w:line="360" w:lineRule="auto"/>
        <w:jc w:val="both"/>
        <w:rPr>
          <w:rFonts w:hint="default" w:ascii="Times New Roman" w:hAnsi="Times New Roman" w:cs="Times New Roman"/>
          <w:color w:val="auto"/>
        </w:rPr>
      </w:pPr>
      <w:bookmarkStart w:id="276" w:name="_Toc17786"/>
      <w:bookmarkStart w:id="277" w:name="_Toc405500832"/>
      <w:bookmarkStart w:id="278" w:name="_Toc18546"/>
      <w:bookmarkStart w:id="279" w:name="_Toc27341"/>
      <w:bookmarkStart w:id="280" w:name="_Toc16472"/>
      <w:bookmarkStart w:id="281" w:name="_Toc21620"/>
      <w:bookmarkStart w:id="282" w:name="_Toc24679"/>
      <w:bookmarkStart w:id="283" w:name="_Toc28987"/>
      <w:bookmarkStart w:id="284" w:name="_Toc15336"/>
      <w:bookmarkStart w:id="285" w:name="_Toc21383"/>
      <w:r>
        <w:rPr>
          <w:rFonts w:hint="default" w:ascii="Times New Roman" w:hAnsi="Times New Roman" w:cs="Times New Roman"/>
          <w:color w:val="auto"/>
        </w:rPr>
        <w:t>4.1安全评价单元的划分方法</w:t>
      </w:r>
      <w:bookmarkEnd w:id="276"/>
      <w:bookmarkEnd w:id="277"/>
      <w:bookmarkEnd w:id="278"/>
      <w:bookmarkEnd w:id="279"/>
      <w:bookmarkEnd w:id="280"/>
      <w:bookmarkEnd w:id="281"/>
      <w:bookmarkEnd w:id="282"/>
      <w:bookmarkEnd w:id="283"/>
      <w:bookmarkEnd w:id="284"/>
      <w:bookmarkEnd w:id="285"/>
    </w:p>
    <w:p w14:paraId="59678CC5">
      <w:pPr>
        <w:pStyle w:val="5"/>
        <w:spacing w:line="360" w:lineRule="auto"/>
        <w:ind w:left="0" w:leftChars="0" w:firstLine="0" w:firstLineChars="0"/>
        <w:rPr>
          <w:rFonts w:hint="default" w:ascii="Times New Roman" w:hAnsi="Times New Roman" w:cs="Times New Roman"/>
          <w:color w:val="auto"/>
          <w:lang w:val="zh-CN"/>
        </w:rPr>
      </w:pPr>
      <w:bookmarkStart w:id="286" w:name="_Toc8569"/>
      <w:bookmarkStart w:id="287" w:name="_Toc19729"/>
      <w:bookmarkStart w:id="288" w:name="_Toc405500833"/>
      <w:r>
        <w:rPr>
          <w:rFonts w:hint="default" w:ascii="Times New Roman" w:hAnsi="Times New Roman" w:cs="Times New Roman"/>
          <w:color w:val="auto"/>
        </w:rPr>
        <w:t>4</w:t>
      </w:r>
      <w:r>
        <w:rPr>
          <w:rFonts w:hint="default" w:ascii="Times New Roman" w:hAnsi="Times New Roman" w:cs="Times New Roman"/>
          <w:color w:val="auto"/>
          <w:lang w:val="zh-CN"/>
        </w:rPr>
        <w:t>.1.1按照危险、有害因素的类别为主划分评价单元</w:t>
      </w:r>
      <w:bookmarkEnd w:id="286"/>
      <w:bookmarkEnd w:id="287"/>
      <w:bookmarkEnd w:id="288"/>
    </w:p>
    <w:p w14:paraId="22406322">
      <w:pPr>
        <w:numPr>
          <w:ilvl w:val="0"/>
          <w:numId w:val="11"/>
        </w:numPr>
        <w:spacing w:line="360" w:lineRule="auto"/>
        <w:ind w:firstLine="560"/>
        <w:rPr>
          <w:color w:val="auto"/>
          <w:lang w:val="zh-CN"/>
        </w:rPr>
      </w:pPr>
      <w:r>
        <w:rPr>
          <w:rFonts w:hint="default" w:ascii="Times New Roman" w:hAnsi="Times New Roman" w:cs="Times New Roman"/>
          <w:color w:val="auto"/>
          <w:lang w:val="zh-CN"/>
        </w:rPr>
        <w:t>关于工艺方案、总体布置及自然条件、社会环境等综合方面对系</w:t>
      </w:r>
      <w:r>
        <w:rPr>
          <w:rFonts w:hint="eastAsia"/>
          <w:color w:val="auto"/>
          <w:lang w:val="zh-CN"/>
        </w:rPr>
        <w:t>统的影响，可将整个系统看作一个评价单元；</w:t>
      </w:r>
    </w:p>
    <w:p w14:paraId="775BF82A">
      <w:pPr>
        <w:numPr>
          <w:ilvl w:val="0"/>
          <w:numId w:val="11"/>
        </w:numPr>
        <w:spacing w:line="360" w:lineRule="auto"/>
        <w:ind w:firstLine="560"/>
        <w:rPr>
          <w:color w:val="auto"/>
        </w:rPr>
      </w:pPr>
      <w:r>
        <w:rPr>
          <w:rFonts w:hint="eastAsia"/>
          <w:color w:val="auto"/>
          <w:lang w:val="zh-CN"/>
        </w:rPr>
        <w:t>按有害因素的类别划分，即将具有共性危险因素、有害因素的场所或装置划分为一个单元</w:t>
      </w:r>
      <w:r>
        <w:rPr>
          <w:color w:val="auto"/>
          <w:lang w:val="zh-CN"/>
        </w:rPr>
        <w:t>。</w:t>
      </w:r>
    </w:p>
    <w:p w14:paraId="20BB1B74">
      <w:pPr>
        <w:pStyle w:val="5"/>
        <w:spacing w:line="360" w:lineRule="auto"/>
        <w:ind w:left="0" w:leftChars="0" w:firstLine="0" w:firstLineChars="0"/>
        <w:rPr>
          <w:rFonts w:hint="default" w:ascii="Times New Roman" w:hAnsi="Times New Roman" w:cs="Times New Roman"/>
          <w:color w:val="auto"/>
          <w:lang w:val="zh-CN"/>
        </w:rPr>
      </w:pPr>
      <w:bookmarkStart w:id="289" w:name="_Toc405500834"/>
      <w:bookmarkStart w:id="290" w:name="_Toc26459"/>
      <w:bookmarkStart w:id="291" w:name="_Toc25263"/>
      <w:r>
        <w:rPr>
          <w:rFonts w:hint="default" w:ascii="Times New Roman" w:hAnsi="Times New Roman" w:cs="Times New Roman"/>
          <w:color w:val="auto"/>
        </w:rPr>
        <w:t>4.1.2按照装置</w:t>
      </w:r>
      <w:r>
        <w:rPr>
          <w:rFonts w:hint="default" w:ascii="Times New Roman" w:hAnsi="Times New Roman" w:cs="Times New Roman"/>
          <w:color w:val="auto"/>
          <w:lang w:val="zh-CN"/>
        </w:rPr>
        <w:t>和物质特征划分评价单元</w:t>
      </w:r>
      <w:bookmarkEnd w:id="289"/>
      <w:bookmarkEnd w:id="290"/>
      <w:bookmarkEnd w:id="291"/>
    </w:p>
    <w:p w14:paraId="797DF7D5">
      <w:pPr>
        <w:numPr>
          <w:ilvl w:val="0"/>
          <w:numId w:val="12"/>
        </w:numPr>
        <w:spacing w:line="360" w:lineRule="auto"/>
        <w:ind w:firstLine="560"/>
        <w:rPr>
          <w:rFonts w:hint="default" w:ascii="Times New Roman" w:hAnsi="Times New Roman" w:cs="Times New Roman"/>
          <w:color w:val="auto"/>
          <w:lang w:val="zh-CN"/>
        </w:rPr>
      </w:pPr>
      <w:r>
        <w:rPr>
          <w:rFonts w:hint="default" w:ascii="Times New Roman" w:hAnsi="Times New Roman" w:cs="Times New Roman"/>
          <w:color w:val="auto"/>
          <w:lang w:val="zh-CN"/>
        </w:rPr>
        <w:t>按装置工艺功能划分；</w:t>
      </w:r>
    </w:p>
    <w:p w14:paraId="43AECB55">
      <w:pPr>
        <w:numPr>
          <w:ilvl w:val="0"/>
          <w:numId w:val="12"/>
        </w:numPr>
        <w:spacing w:line="360" w:lineRule="auto"/>
        <w:ind w:firstLine="560"/>
        <w:rPr>
          <w:rFonts w:hint="default" w:ascii="Times New Roman" w:hAnsi="Times New Roman" w:cs="Times New Roman"/>
          <w:color w:val="auto"/>
        </w:rPr>
      </w:pPr>
      <w:r>
        <w:rPr>
          <w:rFonts w:hint="default" w:ascii="Times New Roman" w:hAnsi="Times New Roman" w:cs="Times New Roman"/>
          <w:color w:val="auto"/>
          <w:lang w:val="zh-CN"/>
        </w:rPr>
        <w:t>按布置的相对独立性划分；</w:t>
      </w:r>
    </w:p>
    <w:p w14:paraId="5CA19C0E">
      <w:pPr>
        <w:numPr>
          <w:ilvl w:val="0"/>
          <w:numId w:val="12"/>
        </w:numPr>
        <w:spacing w:line="360" w:lineRule="auto"/>
        <w:ind w:firstLine="560"/>
        <w:rPr>
          <w:rFonts w:hint="default" w:ascii="Times New Roman" w:hAnsi="Times New Roman" w:cs="Times New Roman"/>
          <w:color w:val="auto"/>
        </w:rPr>
      </w:pPr>
      <w:r>
        <w:rPr>
          <w:rFonts w:hint="default" w:ascii="Times New Roman" w:hAnsi="Times New Roman" w:cs="Times New Roman"/>
          <w:color w:val="auto"/>
          <w:lang w:val="zh-CN"/>
        </w:rPr>
        <w:t>按工艺条件划分；</w:t>
      </w:r>
    </w:p>
    <w:p w14:paraId="270F9FDF">
      <w:pPr>
        <w:numPr>
          <w:ilvl w:val="0"/>
          <w:numId w:val="12"/>
        </w:numPr>
        <w:spacing w:line="360" w:lineRule="auto"/>
        <w:ind w:firstLine="560"/>
        <w:rPr>
          <w:rFonts w:hint="default" w:ascii="Times New Roman" w:hAnsi="Times New Roman" w:cs="Times New Roman"/>
          <w:color w:val="auto"/>
          <w:lang w:val="zh-CN"/>
        </w:rPr>
      </w:pPr>
      <w:r>
        <w:rPr>
          <w:rFonts w:hint="default" w:ascii="Times New Roman" w:hAnsi="Times New Roman" w:cs="Times New Roman"/>
          <w:color w:val="auto"/>
          <w:lang w:val="zh-CN"/>
        </w:rPr>
        <w:t>按贮存、处理危险物质的数量划分。</w:t>
      </w:r>
    </w:p>
    <w:p w14:paraId="25D8A364">
      <w:pPr>
        <w:pStyle w:val="4"/>
        <w:spacing w:line="360" w:lineRule="auto"/>
        <w:jc w:val="both"/>
        <w:rPr>
          <w:rFonts w:hint="default" w:ascii="Times New Roman" w:hAnsi="Times New Roman" w:cs="Times New Roman"/>
          <w:color w:val="auto"/>
        </w:rPr>
      </w:pPr>
      <w:bookmarkStart w:id="292" w:name="_Toc21526"/>
      <w:bookmarkStart w:id="293" w:name="_Toc405500835"/>
      <w:bookmarkStart w:id="294" w:name="_Toc25255"/>
      <w:bookmarkStart w:id="295" w:name="_Toc25723"/>
      <w:bookmarkStart w:id="296" w:name="_Toc21641"/>
      <w:bookmarkStart w:id="297" w:name="_Toc5268"/>
      <w:bookmarkStart w:id="298" w:name="_Toc1063"/>
      <w:bookmarkStart w:id="299" w:name="_Toc8215"/>
      <w:bookmarkStart w:id="300" w:name="_Toc12071"/>
      <w:bookmarkStart w:id="301" w:name="_Toc30331"/>
      <w:r>
        <w:rPr>
          <w:rFonts w:hint="default" w:ascii="Times New Roman" w:hAnsi="Times New Roman" w:cs="Times New Roman"/>
          <w:color w:val="auto"/>
        </w:rPr>
        <w:t>4.2评价单元划分结果</w:t>
      </w:r>
      <w:bookmarkEnd w:id="292"/>
      <w:bookmarkEnd w:id="293"/>
      <w:bookmarkEnd w:id="294"/>
      <w:bookmarkEnd w:id="295"/>
      <w:bookmarkEnd w:id="296"/>
      <w:bookmarkEnd w:id="297"/>
      <w:bookmarkEnd w:id="298"/>
      <w:bookmarkEnd w:id="299"/>
      <w:bookmarkEnd w:id="300"/>
      <w:bookmarkEnd w:id="301"/>
    </w:p>
    <w:tbl>
      <w:tblPr>
        <w:tblStyle w:val="48"/>
        <w:tblW w:w="97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149"/>
        <w:gridCol w:w="1664"/>
        <w:gridCol w:w="3897"/>
        <w:gridCol w:w="2385"/>
      </w:tblGrid>
      <w:tr w14:paraId="1BE83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654" w:type="dxa"/>
            <w:noWrap w:val="0"/>
            <w:vAlign w:val="center"/>
          </w:tcPr>
          <w:p w14:paraId="3730792D">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2813" w:type="dxa"/>
            <w:gridSpan w:val="2"/>
            <w:noWrap w:val="0"/>
            <w:vAlign w:val="center"/>
          </w:tcPr>
          <w:p w14:paraId="39042168">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评价单元</w:t>
            </w:r>
          </w:p>
        </w:tc>
        <w:tc>
          <w:tcPr>
            <w:tcW w:w="3897" w:type="dxa"/>
            <w:noWrap w:val="0"/>
            <w:vAlign w:val="center"/>
          </w:tcPr>
          <w:p w14:paraId="65BB1D5A">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评价的主要对象</w:t>
            </w:r>
          </w:p>
        </w:tc>
        <w:tc>
          <w:tcPr>
            <w:tcW w:w="2385" w:type="dxa"/>
            <w:noWrap w:val="0"/>
            <w:vAlign w:val="center"/>
          </w:tcPr>
          <w:p w14:paraId="5B5E0C8F">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采用的评价方法</w:t>
            </w:r>
          </w:p>
        </w:tc>
      </w:tr>
      <w:tr w14:paraId="105438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654" w:type="dxa"/>
            <w:noWrap w:val="0"/>
            <w:vAlign w:val="center"/>
          </w:tcPr>
          <w:p w14:paraId="5144A92F">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813" w:type="dxa"/>
            <w:gridSpan w:val="2"/>
            <w:noWrap w:val="0"/>
            <w:vAlign w:val="center"/>
          </w:tcPr>
          <w:p w14:paraId="26A766C8">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站址选择</w:t>
            </w:r>
          </w:p>
        </w:tc>
        <w:tc>
          <w:tcPr>
            <w:tcW w:w="3897" w:type="dxa"/>
            <w:noWrap w:val="0"/>
            <w:vAlign w:val="center"/>
          </w:tcPr>
          <w:p w14:paraId="4F46BF1A">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站址选择</w:t>
            </w:r>
            <w:r>
              <w:rPr>
                <w:rFonts w:hint="eastAsia" w:cs="Times New Roman"/>
                <w:color w:val="auto"/>
                <w:sz w:val="21"/>
                <w:szCs w:val="21"/>
                <w:lang w:eastAsia="zh-CN"/>
              </w:rPr>
              <w:t>、</w:t>
            </w:r>
            <w:r>
              <w:rPr>
                <w:rFonts w:hint="default" w:ascii="Times New Roman" w:hAnsi="Times New Roman" w:cs="Times New Roman"/>
                <w:color w:val="auto"/>
                <w:sz w:val="21"/>
                <w:szCs w:val="21"/>
              </w:rPr>
              <w:t>站内设施与周边环境安全距离</w:t>
            </w:r>
          </w:p>
        </w:tc>
        <w:tc>
          <w:tcPr>
            <w:tcW w:w="2385" w:type="dxa"/>
            <w:noWrap w:val="0"/>
            <w:vAlign w:val="center"/>
          </w:tcPr>
          <w:p w14:paraId="52217611">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03A1D9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654" w:type="dxa"/>
            <w:noWrap w:val="0"/>
            <w:vAlign w:val="center"/>
          </w:tcPr>
          <w:p w14:paraId="2F72254B">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813" w:type="dxa"/>
            <w:gridSpan w:val="2"/>
            <w:noWrap w:val="0"/>
            <w:vAlign w:val="center"/>
          </w:tcPr>
          <w:p w14:paraId="08F15DB6">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cs="Times New Roman"/>
                <w:color w:val="auto"/>
                <w:sz w:val="21"/>
                <w:szCs w:val="21"/>
                <w:lang w:val="en-US" w:eastAsia="zh-CN"/>
              </w:rPr>
              <w:t>总</w:t>
            </w:r>
            <w:r>
              <w:rPr>
                <w:rFonts w:hint="default" w:ascii="Times New Roman" w:hAnsi="Times New Roman" w:cs="Times New Roman"/>
                <w:color w:val="auto"/>
                <w:sz w:val="21"/>
                <w:szCs w:val="21"/>
              </w:rPr>
              <w:t>平面布置</w:t>
            </w:r>
          </w:p>
        </w:tc>
        <w:tc>
          <w:tcPr>
            <w:tcW w:w="3897" w:type="dxa"/>
            <w:noWrap w:val="0"/>
            <w:vAlign w:val="center"/>
          </w:tcPr>
          <w:p w14:paraId="151A3FDF">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站内</w:t>
            </w:r>
            <w:r>
              <w:rPr>
                <w:rFonts w:hint="eastAsia" w:cs="Times New Roman"/>
                <w:color w:val="auto"/>
                <w:sz w:val="21"/>
                <w:szCs w:val="21"/>
                <w:lang w:val="en-US" w:eastAsia="zh-CN"/>
              </w:rPr>
              <w:t>总</w:t>
            </w:r>
            <w:r>
              <w:rPr>
                <w:rFonts w:hint="default" w:ascii="Times New Roman" w:hAnsi="Times New Roman" w:cs="Times New Roman"/>
                <w:color w:val="auto"/>
                <w:sz w:val="21"/>
                <w:szCs w:val="21"/>
              </w:rPr>
              <w:t>平面布置、设施之间的安全距离</w:t>
            </w:r>
          </w:p>
        </w:tc>
        <w:tc>
          <w:tcPr>
            <w:tcW w:w="2385" w:type="dxa"/>
            <w:noWrap w:val="0"/>
            <w:vAlign w:val="center"/>
          </w:tcPr>
          <w:p w14:paraId="69566887">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3E265F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4" w:type="dxa"/>
            <w:noWrap w:val="0"/>
            <w:vAlign w:val="center"/>
          </w:tcPr>
          <w:p w14:paraId="5B29DF51">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813" w:type="dxa"/>
            <w:gridSpan w:val="2"/>
            <w:noWrap w:val="0"/>
            <w:vAlign w:val="center"/>
          </w:tcPr>
          <w:p w14:paraId="57878C32">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加油工艺及其他相关设施</w:t>
            </w:r>
          </w:p>
        </w:tc>
        <w:tc>
          <w:tcPr>
            <w:tcW w:w="3897" w:type="dxa"/>
            <w:noWrap w:val="0"/>
            <w:vAlign w:val="center"/>
          </w:tcPr>
          <w:p w14:paraId="4FA6F0BF">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油罐、加油机、工艺管道、液位报警、防渗措施等</w:t>
            </w:r>
          </w:p>
        </w:tc>
        <w:tc>
          <w:tcPr>
            <w:tcW w:w="2385" w:type="dxa"/>
            <w:noWrap w:val="0"/>
            <w:vAlign w:val="center"/>
          </w:tcPr>
          <w:p w14:paraId="687D3D50">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1283C0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654" w:type="dxa"/>
            <w:vMerge w:val="restart"/>
            <w:noWrap w:val="0"/>
            <w:vAlign w:val="center"/>
          </w:tcPr>
          <w:p w14:paraId="396A3B16">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149" w:type="dxa"/>
            <w:vMerge w:val="restart"/>
            <w:noWrap w:val="0"/>
            <w:vAlign w:val="center"/>
          </w:tcPr>
          <w:p w14:paraId="5A802C35">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公用工程、辅助设施</w:t>
            </w:r>
          </w:p>
        </w:tc>
        <w:tc>
          <w:tcPr>
            <w:tcW w:w="1664" w:type="dxa"/>
            <w:noWrap w:val="0"/>
            <w:vAlign w:val="center"/>
          </w:tcPr>
          <w:p w14:paraId="798CBD39">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消防、给排水</w:t>
            </w:r>
          </w:p>
        </w:tc>
        <w:tc>
          <w:tcPr>
            <w:tcW w:w="3897" w:type="dxa"/>
            <w:noWrap w:val="0"/>
            <w:vAlign w:val="center"/>
          </w:tcPr>
          <w:p w14:paraId="59230E69">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灭火器材、给排水系统</w:t>
            </w:r>
          </w:p>
        </w:tc>
        <w:tc>
          <w:tcPr>
            <w:tcW w:w="2385" w:type="dxa"/>
            <w:noWrap w:val="0"/>
            <w:vAlign w:val="center"/>
          </w:tcPr>
          <w:p w14:paraId="21440A4C">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16D212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4" w:type="dxa"/>
            <w:vMerge w:val="continue"/>
            <w:noWrap w:val="0"/>
            <w:vAlign w:val="center"/>
          </w:tcPr>
          <w:p w14:paraId="39D5FDAA">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p>
        </w:tc>
        <w:tc>
          <w:tcPr>
            <w:tcW w:w="1149" w:type="dxa"/>
            <w:vMerge w:val="continue"/>
            <w:noWrap w:val="0"/>
            <w:vAlign w:val="center"/>
          </w:tcPr>
          <w:p w14:paraId="119D63C6">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p>
        </w:tc>
        <w:tc>
          <w:tcPr>
            <w:tcW w:w="1664" w:type="dxa"/>
            <w:noWrap w:val="0"/>
            <w:vAlign w:val="center"/>
          </w:tcPr>
          <w:p w14:paraId="2D6DED5D">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电气、紧急切断</w:t>
            </w:r>
          </w:p>
        </w:tc>
        <w:tc>
          <w:tcPr>
            <w:tcW w:w="3897" w:type="dxa"/>
            <w:noWrap w:val="0"/>
            <w:vAlign w:val="center"/>
          </w:tcPr>
          <w:p w14:paraId="2B63A4BF">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供配电、防雷防静电、紧急切断系统</w:t>
            </w:r>
          </w:p>
        </w:tc>
        <w:tc>
          <w:tcPr>
            <w:tcW w:w="2385" w:type="dxa"/>
            <w:noWrap w:val="0"/>
            <w:vAlign w:val="center"/>
          </w:tcPr>
          <w:p w14:paraId="725BDBD5">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0A9AB5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54" w:type="dxa"/>
            <w:noWrap w:val="0"/>
            <w:vAlign w:val="center"/>
          </w:tcPr>
          <w:p w14:paraId="47E5EBDD">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2813" w:type="dxa"/>
            <w:gridSpan w:val="2"/>
            <w:noWrap w:val="0"/>
            <w:vAlign w:val="center"/>
          </w:tcPr>
          <w:p w14:paraId="443FEDB3">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重大生产安全事故隐患</w:t>
            </w:r>
          </w:p>
        </w:tc>
        <w:tc>
          <w:tcPr>
            <w:tcW w:w="3897" w:type="dxa"/>
            <w:noWrap w:val="0"/>
            <w:vAlign w:val="center"/>
          </w:tcPr>
          <w:p w14:paraId="5BC50035">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rPr>
              <w:t>重大生产安全事故隐患</w:t>
            </w:r>
          </w:p>
        </w:tc>
        <w:tc>
          <w:tcPr>
            <w:tcW w:w="2385" w:type="dxa"/>
            <w:noWrap w:val="0"/>
            <w:vAlign w:val="center"/>
          </w:tcPr>
          <w:p w14:paraId="7DF2BC8C">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安全检查表</w:t>
            </w:r>
          </w:p>
        </w:tc>
      </w:tr>
      <w:tr w14:paraId="49AD7E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4" w:type="dxa"/>
            <w:noWrap w:val="0"/>
            <w:vAlign w:val="center"/>
          </w:tcPr>
          <w:p w14:paraId="5AD47666">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2813" w:type="dxa"/>
            <w:gridSpan w:val="2"/>
            <w:noWrap w:val="0"/>
            <w:vAlign w:val="center"/>
          </w:tcPr>
          <w:p w14:paraId="6B683558">
            <w:pPr>
              <w:keepNext w:val="0"/>
              <w:keepLines w:val="0"/>
              <w:widowControl w:val="0"/>
              <w:suppressLineNumbers w:val="0"/>
              <w:spacing w:before="0" w:beforeAutospacing="0" w:after="0" w:afterAutospacing="0" w:line="280" w:lineRule="exact"/>
              <w:ind w:left="0" w:right="0"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加油作业、卸车作业</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配电作业</w:t>
            </w:r>
          </w:p>
        </w:tc>
        <w:tc>
          <w:tcPr>
            <w:tcW w:w="3897" w:type="dxa"/>
            <w:noWrap w:val="0"/>
            <w:vAlign w:val="center"/>
          </w:tcPr>
          <w:p w14:paraId="0DAB8CE0">
            <w:pPr>
              <w:keepNext w:val="0"/>
              <w:keepLines w:val="0"/>
              <w:widowControl w:val="0"/>
              <w:suppressLineNumbers w:val="0"/>
              <w:spacing w:before="0" w:beforeAutospacing="0" w:after="0" w:afterAutospacing="0" w:line="280" w:lineRule="exact"/>
              <w:ind w:left="0" w:right="0" w:firstLine="0" w:firstLineChars="0"/>
              <w:jc w:val="center"/>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加油作业、卸车作业</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配电作业</w:t>
            </w:r>
          </w:p>
        </w:tc>
        <w:tc>
          <w:tcPr>
            <w:tcW w:w="2385" w:type="dxa"/>
            <w:noWrap w:val="0"/>
            <w:vAlign w:val="center"/>
          </w:tcPr>
          <w:p w14:paraId="25FB7C98">
            <w:pPr>
              <w:keepNext w:val="0"/>
              <w:keepLines w:val="0"/>
              <w:widowControl w:val="0"/>
              <w:suppressLineNumbers w:val="0"/>
              <w:spacing w:before="0" w:beforeAutospacing="0" w:after="0" w:afterAutospacing="0" w:line="280" w:lineRule="exact"/>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作业条件危险性评价法</w:t>
            </w:r>
          </w:p>
        </w:tc>
      </w:tr>
    </w:tbl>
    <w:p w14:paraId="074979AD">
      <w:pPr>
        <w:rPr>
          <w:rFonts w:hint="default"/>
        </w:rPr>
      </w:pPr>
    </w:p>
    <w:p w14:paraId="08EA3A1E">
      <w:pPr>
        <w:ind w:firstLine="560"/>
        <w:rPr>
          <w:color w:val="auto"/>
        </w:rPr>
      </w:pPr>
    </w:p>
    <w:p w14:paraId="52C2BC88">
      <w:pPr>
        <w:pStyle w:val="3"/>
        <w:spacing w:line="360" w:lineRule="auto"/>
        <w:rPr>
          <w:color w:val="auto"/>
        </w:rPr>
      </w:pPr>
      <w:r>
        <w:rPr>
          <w:color w:val="auto"/>
        </w:rPr>
        <w:br w:type="page"/>
      </w:r>
      <w:bookmarkStart w:id="302" w:name="_Toc2165"/>
      <w:bookmarkStart w:id="303" w:name="_Toc2321"/>
      <w:bookmarkStart w:id="304" w:name="_Toc15319"/>
      <w:bookmarkStart w:id="305" w:name="_Toc2543"/>
      <w:bookmarkStart w:id="306" w:name="_Toc30645"/>
      <w:bookmarkStart w:id="307" w:name="_Toc17201"/>
      <w:bookmarkStart w:id="308" w:name="_Toc1542"/>
      <w:bookmarkStart w:id="309" w:name="_Toc31044"/>
      <w:r>
        <w:rPr>
          <w:rFonts w:hint="eastAsia"/>
          <w:color w:val="auto"/>
        </w:rPr>
        <w:t>第五章 采用的安全评价方法及理由说明</w:t>
      </w:r>
      <w:bookmarkEnd w:id="275"/>
      <w:bookmarkEnd w:id="302"/>
      <w:bookmarkEnd w:id="303"/>
      <w:bookmarkEnd w:id="304"/>
      <w:bookmarkEnd w:id="305"/>
      <w:bookmarkEnd w:id="306"/>
      <w:bookmarkEnd w:id="307"/>
      <w:bookmarkEnd w:id="308"/>
      <w:bookmarkEnd w:id="309"/>
    </w:p>
    <w:p w14:paraId="2F50A340">
      <w:pPr>
        <w:pStyle w:val="4"/>
        <w:spacing w:line="360" w:lineRule="auto"/>
        <w:jc w:val="both"/>
        <w:rPr>
          <w:rFonts w:hint="default" w:ascii="Times New Roman" w:hAnsi="Times New Roman" w:cs="Times New Roman"/>
          <w:color w:val="auto"/>
        </w:rPr>
      </w:pPr>
      <w:bookmarkStart w:id="310" w:name="_Toc27488"/>
      <w:bookmarkStart w:id="311" w:name="_Toc18046"/>
      <w:bookmarkStart w:id="312" w:name="_Toc14317"/>
      <w:bookmarkStart w:id="313" w:name="_Toc25051"/>
      <w:bookmarkStart w:id="314" w:name="_Toc17581"/>
      <w:bookmarkStart w:id="315" w:name="_Toc7736"/>
      <w:bookmarkStart w:id="316" w:name="_Toc22616"/>
      <w:bookmarkStart w:id="317" w:name="_Toc10096"/>
      <w:bookmarkStart w:id="318" w:name="_Toc20219"/>
      <w:r>
        <w:rPr>
          <w:rFonts w:hint="default" w:ascii="Times New Roman" w:hAnsi="Times New Roman" w:cs="Times New Roman"/>
          <w:color w:val="auto"/>
        </w:rPr>
        <w:t>5.1评价方法选择结果</w:t>
      </w:r>
      <w:bookmarkEnd w:id="310"/>
      <w:bookmarkEnd w:id="311"/>
      <w:bookmarkEnd w:id="312"/>
      <w:bookmarkEnd w:id="313"/>
      <w:bookmarkEnd w:id="314"/>
      <w:bookmarkEnd w:id="315"/>
      <w:bookmarkEnd w:id="316"/>
      <w:bookmarkEnd w:id="317"/>
      <w:bookmarkEnd w:id="318"/>
    </w:p>
    <w:p w14:paraId="1B37BF58">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本次安全评价选用的评价方法有：安全检查表法（SCL）、</w:t>
      </w:r>
      <w:r>
        <w:rPr>
          <w:rFonts w:hint="default" w:ascii="Times New Roman" w:hAnsi="Times New Roman" w:cs="Times New Roman"/>
          <w:color w:val="auto"/>
          <w:spacing w:val="-4"/>
          <w:szCs w:val="28"/>
        </w:rPr>
        <w:t>作业条件危险性评价法</w:t>
      </w:r>
      <w:r>
        <w:rPr>
          <w:rFonts w:hint="default" w:ascii="Times New Roman" w:hAnsi="Times New Roman" w:cs="Times New Roman"/>
          <w:color w:val="auto"/>
        </w:rPr>
        <w:t>。</w:t>
      </w:r>
    </w:p>
    <w:p w14:paraId="7102E171">
      <w:pPr>
        <w:pStyle w:val="4"/>
        <w:spacing w:line="360" w:lineRule="auto"/>
        <w:jc w:val="both"/>
        <w:rPr>
          <w:rFonts w:hint="default" w:ascii="Times New Roman" w:hAnsi="Times New Roman" w:cs="Times New Roman"/>
          <w:color w:val="auto"/>
        </w:rPr>
      </w:pPr>
      <w:bookmarkStart w:id="319" w:name="_Toc22182"/>
      <w:bookmarkStart w:id="320" w:name="_Toc5104"/>
      <w:bookmarkStart w:id="321" w:name="_Toc8597"/>
      <w:bookmarkStart w:id="322" w:name="_Toc1933"/>
      <w:bookmarkStart w:id="323" w:name="_Toc32060"/>
      <w:bookmarkStart w:id="324" w:name="_Toc18370"/>
      <w:bookmarkStart w:id="325" w:name="_Toc20109"/>
      <w:bookmarkStart w:id="326" w:name="_Toc20883"/>
      <w:bookmarkStart w:id="327" w:name="_Toc31486"/>
      <w:r>
        <w:rPr>
          <w:rFonts w:hint="default" w:ascii="Times New Roman" w:hAnsi="Times New Roman" w:cs="Times New Roman"/>
          <w:color w:val="auto"/>
        </w:rPr>
        <w:t>5.2采用的评价方法理由</w:t>
      </w:r>
      <w:bookmarkEnd w:id="319"/>
      <w:bookmarkEnd w:id="320"/>
      <w:bookmarkEnd w:id="321"/>
      <w:bookmarkEnd w:id="322"/>
      <w:bookmarkEnd w:id="323"/>
      <w:bookmarkEnd w:id="324"/>
      <w:bookmarkEnd w:id="325"/>
      <w:bookmarkEnd w:id="326"/>
      <w:bookmarkEnd w:id="327"/>
    </w:p>
    <w:p w14:paraId="33520B87">
      <w:pPr>
        <w:spacing w:line="360" w:lineRule="auto"/>
        <w:ind w:firstLine="560"/>
        <w:rPr>
          <w:color w:val="auto"/>
        </w:rPr>
      </w:pPr>
      <w:r>
        <w:rPr>
          <w:rFonts w:ascii="Times New Roman" w:hAnsi="Times New Roman"/>
          <w:color w:val="auto"/>
        </w:rPr>
        <w:t>1</w:t>
      </w:r>
      <w:r>
        <w:rPr>
          <w:color w:val="auto"/>
        </w:rPr>
        <w:t>）</w:t>
      </w:r>
      <w:r>
        <w:rPr>
          <w:rFonts w:hint="eastAsia"/>
          <w:color w:val="auto"/>
        </w:rPr>
        <w:t>综合考虑该加油站</w:t>
      </w:r>
      <w:r>
        <w:rPr>
          <w:color w:val="auto"/>
        </w:rPr>
        <w:t>特点、安全管理状况及评价类别等</w:t>
      </w:r>
      <w:r>
        <w:rPr>
          <w:rFonts w:hint="eastAsia"/>
          <w:color w:val="auto"/>
        </w:rPr>
        <w:t>因素，该加油站</w:t>
      </w:r>
      <w:r>
        <w:rPr>
          <w:color w:val="auto"/>
        </w:rPr>
        <w:t>适宜采用安全检查表法，</w:t>
      </w:r>
      <w:r>
        <w:rPr>
          <w:rFonts w:hint="eastAsia"/>
          <w:color w:val="auto"/>
        </w:rPr>
        <w:t>该法是将一系列分析项目列出检查表进行分析，以确定系统的安全状态。安全检查表内容包括标准、规范和规定等进行安全检查，一种最基础、最简便、广泛应用的系统危险评价方法。把检查对象加以分解，将大系统分割成若干子系统，将检查项目列表逐项检查，可避免遗漏。</w:t>
      </w:r>
    </w:p>
    <w:p w14:paraId="2ACDC06D">
      <w:pPr>
        <w:spacing w:line="360" w:lineRule="auto"/>
        <w:ind w:firstLine="560"/>
        <w:rPr>
          <w:rFonts w:hint="default" w:ascii="Times New Roman" w:hAnsi="Times New Roman" w:cs="Times New Roman"/>
          <w:color w:val="auto"/>
        </w:rPr>
      </w:pPr>
      <w:r>
        <w:rPr>
          <w:rFonts w:hint="eastAsia" w:ascii="Times New Roman" w:hAnsi="Times New Roman"/>
          <w:color w:val="auto"/>
        </w:rPr>
        <w:t>2</w:t>
      </w:r>
      <w:r>
        <w:rPr>
          <w:color w:val="auto"/>
        </w:rPr>
        <w:t>）</w:t>
      </w:r>
      <w:r>
        <w:rPr>
          <w:rFonts w:hint="eastAsia"/>
          <w:color w:val="auto"/>
        </w:rPr>
        <w:t>通</w:t>
      </w:r>
      <w:r>
        <w:rPr>
          <w:rFonts w:hint="default" w:ascii="Times New Roman" w:hAnsi="Times New Roman" w:cs="Times New Roman"/>
          <w:color w:val="auto"/>
        </w:rPr>
        <w:t>过</w:t>
      </w:r>
      <w:r>
        <w:rPr>
          <w:rFonts w:hint="default" w:ascii="Times New Roman" w:hAnsi="Times New Roman" w:cs="Times New Roman"/>
          <w:color w:val="auto"/>
          <w:spacing w:val="-4"/>
          <w:szCs w:val="28"/>
        </w:rPr>
        <w:t>作业条件危险性评价法</w:t>
      </w:r>
      <w:r>
        <w:rPr>
          <w:rFonts w:hint="default" w:ascii="Times New Roman" w:hAnsi="Times New Roman" w:cs="Times New Roman"/>
          <w:color w:val="auto"/>
        </w:rPr>
        <w:t>评价加油作业和卸油作业的危险程度。</w:t>
      </w:r>
    </w:p>
    <w:p w14:paraId="775CB58E">
      <w:pPr>
        <w:pStyle w:val="21"/>
        <w:rPr>
          <w:rFonts w:hint="default" w:ascii="Times New Roman" w:hAnsi="Times New Roman" w:cs="Times New Roman"/>
          <w:color w:val="auto"/>
          <w:lang w:val="zh-CN"/>
        </w:rPr>
      </w:pPr>
      <w:r>
        <w:rPr>
          <w:rFonts w:hint="default" w:ascii="Times New Roman" w:hAnsi="Times New Roman" w:cs="Times New Roman"/>
          <w:color w:val="auto"/>
          <w:lang w:val="zh-CN"/>
        </w:rPr>
        <w:t>表</w:t>
      </w:r>
      <w:r>
        <w:rPr>
          <w:rFonts w:hint="default" w:ascii="Times New Roman" w:hAnsi="Times New Roman" w:cs="Times New Roman"/>
          <w:color w:val="auto"/>
        </w:rPr>
        <w:t>5.2</w:t>
      </w:r>
      <w:r>
        <w:rPr>
          <w:rFonts w:hint="default" w:ascii="Times New Roman" w:hAnsi="Times New Roman" w:cs="Times New Roman"/>
          <w:color w:val="auto"/>
          <w:lang w:val="zh-CN"/>
        </w:rPr>
        <w:t>-1</w:t>
      </w:r>
      <w:r>
        <w:rPr>
          <w:rFonts w:hint="default" w:ascii="Times New Roman" w:hAnsi="Times New Roman" w:cs="Times New Roman"/>
          <w:color w:val="auto"/>
        </w:rPr>
        <w:t xml:space="preserve"> </w:t>
      </w:r>
      <w:r>
        <w:rPr>
          <w:rFonts w:hint="default" w:ascii="Times New Roman" w:hAnsi="Times New Roman" w:cs="Times New Roman"/>
          <w:color w:val="auto"/>
          <w:lang w:val="zh-CN"/>
        </w:rPr>
        <w:t>各评价单元评价方法的选用汇总表</w:t>
      </w:r>
    </w:p>
    <w:tbl>
      <w:tblPr>
        <w:tblStyle w:val="48"/>
        <w:tblW w:w="93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3"/>
        <w:gridCol w:w="3642"/>
        <w:gridCol w:w="4764"/>
      </w:tblGrid>
      <w:tr w14:paraId="026C9F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tblHeader/>
          <w:jc w:val="center"/>
        </w:trPr>
        <w:tc>
          <w:tcPr>
            <w:tcW w:w="953" w:type="dxa"/>
            <w:vAlign w:val="center"/>
          </w:tcPr>
          <w:p w14:paraId="13278A4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3642" w:type="dxa"/>
            <w:vAlign w:val="center"/>
          </w:tcPr>
          <w:p w14:paraId="373B5DB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评价单元</w:t>
            </w:r>
          </w:p>
        </w:tc>
        <w:tc>
          <w:tcPr>
            <w:tcW w:w="4764" w:type="dxa"/>
            <w:vAlign w:val="center"/>
          </w:tcPr>
          <w:p w14:paraId="4607BC7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评价方法</w:t>
            </w:r>
          </w:p>
        </w:tc>
      </w:tr>
      <w:tr w14:paraId="026479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953" w:type="dxa"/>
            <w:vAlign w:val="center"/>
          </w:tcPr>
          <w:p w14:paraId="62ADBAB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1</w:t>
            </w:r>
          </w:p>
        </w:tc>
        <w:tc>
          <w:tcPr>
            <w:tcW w:w="3642" w:type="dxa"/>
            <w:shd w:val="clear" w:color="auto" w:fill="auto"/>
            <w:vAlign w:val="center"/>
          </w:tcPr>
          <w:p w14:paraId="74245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rPr>
              <w:t>站址选择</w:t>
            </w:r>
          </w:p>
        </w:tc>
        <w:tc>
          <w:tcPr>
            <w:tcW w:w="4764" w:type="dxa"/>
            <w:vAlign w:val="center"/>
          </w:tcPr>
          <w:p w14:paraId="41F4C20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安全检查表法</w:t>
            </w:r>
          </w:p>
        </w:tc>
      </w:tr>
      <w:tr w14:paraId="30FECF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953" w:type="dxa"/>
            <w:vAlign w:val="center"/>
          </w:tcPr>
          <w:p w14:paraId="19F5189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2</w:t>
            </w:r>
          </w:p>
        </w:tc>
        <w:tc>
          <w:tcPr>
            <w:tcW w:w="3642" w:type="dxa"/>
            <w:shd w:val="clear" w:color="auto" w:fill="auto"/>
            <w:vAlign w:val="center"/>
          </w:tcPr>
          <w:p w14:paraId="2FF728E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总</w:t>
            </w:r>
            <w:r>
              <w:rPr>
                <w:rFonts w:hint="eastAsia" w:ascii="Times New Roman" w:hAnsi="Times New Roman" w:eastAsia="宋体" w:cs="Times New Roman"/>
                <w:color w:val="auto"/>
              </w:rPr>
              <w:t>平面布置</w:t>
            </w:r>
          </w:p>
        </w:tc>
        <w:tc>
          <w:tcPr>
            <w:tcW w:w="4764" w:type="dxa"/>
            <w:vAlign w:val="center"/>
          </w:tcPr>
          <w:p w14:paraId="69856E7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安全检查表法</w:t>
            </w:r>
          </w:p>
        </w:tc>
      </w:tr>
      <w:tr w14:paraId="634F86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953" w:type="dxa"/>
            <w:vAlign w:val="center"/>
          </w:tcPr>
          <w:p w14:paraId="106F065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p>
        </w:tc>
        <w:tc>
          <w:tcPr>
            <w:tcW w:w="3642" w:type="dxa"/>
            <w:shd w:val="clear" w:color="auto" w:fill="auto"/>
            <w:vAlign w:val="center"/>
          </w:tcPr>
          <w:p w14:paraId="4730687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加油工艺及其他相关设施</w:t>
            </w:r>
          </w:p>
        </w:tc>
        <w:tc>
          <w:tcPr>
            <w:tcW w:w="4764" w:type="dxa"/>
            <w:vAlign w:val="center"/>
          </w:tcPr>
          <w:p w14:paraId="537D31D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安全检查表法</w:t>
            </w:r>
          </w:p>
        </w:tc>
      </w:tr>
      <w:tr w14:paraId="1DCAFB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953" w:type="dxa"/>
            <w:vAlign w:val="center"/>
          </w:tcPr>
          <w:p w14:paraId="34FFB91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4</w:t>
            </w:r>
          </w:p>
        </w:tc>
        <w:tc>
          <w:tcPr>
            <w:tcW w:w="3642" w:type="dxa"/>
            <w:shd w:val="clear" w:color="auto" w:fill="auto"/>
            <w:vAlign w:val="center"/>
          </w:tcPr>
          <w:p w14:paraId="6734F50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消防、给排水</w:t>
            </w:r>
          </w:p>
        </w:tc>
        <w:tc>
          <w:tcPr>
            <w:tcW w:w="4764" w:type="dxa"/>
            <w:vAlign w:val="center"/>
          </w:tcPr>
          <w:p w14:paraId="2B1AA65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安全检查表法</w:t>
            </w:r>
          </w:p>
        </w:tc>
      </w:tr>
      <w:tr w14:paraId="6CFFEC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953" w:type="dxa"/>
            <w:vAlign w:val="center"/>
          </w:tcPr>
          <w:p w14:paraId="3EB66F7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3642" w:type="dxa"/>
            <w:shd w:val="clear" w:color="auto" w:fill="auto"/>
            <w:vAlign w:val="center"/>
          </w:tcPr>
          <w:p w14:paraId="4A50CEB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rPr>
              <w:t>电气、紧急切断</w:t>
            </w:r>
          </w:p>
        </w:tc>
        <w:tc>
          <w:tcPr>
            <w:tcW w:w="4764" w:type="dxa"/>
            <w:vAlign w:val="center"/>
          </w:tcPr>
          <w:p w14:paraId="74457DE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安全检查表法</w:t>
            </w:r>
          </w:p>
        </w:tc>
      </w:tr>
      <w:tr w14:paraId="58AE12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jc w:val="center"/>
        </w:trPr>
        <w:tc>
          <w:tcPr>
            <w:tcW w:w="953" w:type="dxa"/>
            <w:vAlign w:val="center"/>
          </w:tcPr>
          <w:p w14:paraId="0017300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6</w:t>
            </w:r>
          </w:p>
        </w:tc>
        <w:tc>
          <w:tcPr>
            <w:tcW w:w="3642" w:type="dxa"/>
            <w:vAlign w:val="center"/>
          </w:tcPr>
          <w:p w14:paraId="0CA86D5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重大生产安全事故隐患</w:t>
            </w:r>
          </w:p>
        </w:tc>
        <w:tc>
          <w:tcPr>
            <w:tcW w:w="4764" w:type="dxa"/>
            <w:vAlign w:val="center"/>
          </w:tcPr>
          <w:p w14:paraId="4809BC1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eastAsia" w:ascii="Times New Roman" w:hAnsi="Times New Roman" w:eastAsia="宋体" w:cs="Times New Roman"/>
                <w:color w:val="auto"/>
              </w:rPr>
              <w:t>安全检查表法</w:t>
            </w:r>
          </w:p>
        </w:tc>
      </w:tr>
      <w:tr w14:paraId="196B5E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53" w:type="dxa"/>
            <w:vAlign w:val="center"/>
          </w:tcPr>
          <w:p w14:paraId="705752A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7</w:t>
            </w:r>
          </w:p>
        </w:tc>
        <w:tc>
          <w:tcPr>
            <w:tcW w:w="3642" w:type="dxa"/>
            <w:vAlign w:val="center"/>
          </w:tcPr>
          <w:p w14:paraId="44794BD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ascii="Times New Roman" w:hAnsi="Times New Roman" w:eastAsia="宋体" w:cs="Times New Roman"/>
                <w:color w:val="auto"/>
              </w:rPr>
            </w:pPr>
            <w:r>
              <w:rPr>
                <w:rFonts w:hint="eastAsia" w:ascii="Times New Roman" w:hAnsi="Times New Roman" w:eastAsia="宋体" w:cs="Times New Roman"/>
                <w:color w:val="auto"/>
              </w:rPr>
              <w:t>油作业、卸车作业</w:t>
            </w:r>
            <w:r>
              <w:rPr>
                <w:rFonts w:hint="eastAsia" w:ascii="Times New Roman" w:hAnsi="Times New Roman" w:eastAsia="宋体" w:cs="Times New Roman"/>
                <w:color w:val="auto"/>
                <w:lang w:eastAsia="zh-CN"/>
              </w:rPr>
              <w:t>、</w:t>
            </w:r>
            <w:r>
              <w:rPr>
                <w:rFonts w:hint="eastAsia" w:ascii="Times New Roman" w:hAnsi="Times New Roman" w:eastAsia="宋体" w:cs="Times New Roman"/>
                <w:color w:val="auto"/>
                <w:lang w:val="en-US" w:eastAsia="zh-CN"/>
              </w:rPr>
              <w:t>配电作业</w:t>
            </w:r>
          </w:p>
        </w:tc>
        <w:tc>
          <w:tcPr>
            <w:tcW w:w="4764" w:type="dxa"/>
            <w:vAlign w:val="center"/>
          </w:tcPr>
          <w:p w14:paraId="47B7CF2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作业条件危险性评价法</w:t>
            </w:r>
          </w:p>
        </w:tc>
      </w:tr>
    </w:tbl>
    <w:p w14:paraId="69AF0542">
      <w:pPr>
        <w:pStyle w:val="15"/>
        <w:spacing w:line="500" w:lineRule="exact"/>
        <w:ind w:firstLine="0" w:firstLineChars="0"/>
        <w:rPr>
          <w:rFonts w:hint="default" w:ascii="宋体" w:eastAsia="宋体"/>
          <w:color w:val="auto"/>
          <w:sz w:val="28"/>
        </w:rPr>
      </w:pPr>
    </w:p>
    <w:p w14:paraId="13D77B91">
      <w:pPr>
        <w:pStyle w:val="3"/>
        <w:keepNext/>
        <w:keepLines/>
        <w:pageBreakBefore w:val="0"/>
        <w:widowControl/>
        <w:kinsoku/>
        <w:wordWrap/>
        <w:overflowPunct/>
        <w:topLinePunct w:val="0"/>
        <w:autoSpaceDE/>
        <w:autoSpaceDN/>
        <w:bidi w:val="0"/>
        <w:adjustRightInd/>
        <w:snapToGrid w:val="0"/>
        <w:spacing w:line="360" w:lineRule="auto"/>
        <w:textAlignment w:val="auto"/>
        <w:rPr>
          <w:color w:val="auto"/>
        </w:rPr>
      </w:pPr>
      <w:bookmarkStart w:id="328" w:name="_Toc213658055"/>
      <w:r>
        <w:rPr>
          <w:color w:val="auto"/>
        </w:rPr>
        <w:br w:type="page"/>
      </w:r>
      <w:bookmarkEnd w:id="328"/>
      <w:bookmarkStart w:id="329" w:name="_Toc17330"/>
      <w:bookmarkStart w:id="330" w:name="_Toc20004"/>
      <w:bookmarkStart w:id="331" w:name="_Toc8718"/>
      <w:bookmarkStart w:id="332" w:name="_Toc21797"/>
      <w:bookmarkStart w:id="333" w:name="_Toc15912"/>
      <w:bookmarkStart w:id="334" w:name="_Toc207511287"/>
      <w:bookmarkStart w:id="335" w:name="_Toc3091"/>
      <w:bookmarkStart w:id="336" w:name="_Toc2179"/>
      <w:bookmarkStart w:id="337" w:name="_Toc30291"/>
      <w:r>
        <w:rPr>
          <w:rFonts w:hint="eastAsia"/>
          <w:color w:val="auto"/>
        </w:rPr>
        <w:t xml:space="preserve">第六章 </w:t>
      </w:r>
      <w:bookmarkEnd w:id="329"/>
      <w:bookmarkEnd w:id="330"/>
      <w:bookmarkEnd w:id="331"/>
      <w:bookmarkEnd w:id="332"/>
      <w:bookmarkEnd w:id="333"/>
      <w:bookmarkEnd w:id="334"/>
      <w:r>
        <w:rPr>
          <w:rFonts w:hint="eastAsia"/>
          <w:color w:val="auto"/>
        </w:rPr>
        <w:t>定性、定量分析危险、有害程度结果</w:t>
      </w:r>
      <w:bookmarkEnd w:id="335"/>
      <w:bookmarkEnd w:id="336"/>
      <w:bookmarkEnd w:id="337"/>
    </w:p>
    <w:p w14:paraId="24B74270">
      <w:pPr>
        <w:pStyle w:val="4"/>
        <w:keepNext/>
        <w:keepLines/>
        <w:pageBreakBefore w:val="0"/>
        <w:widowControl/>
        <w:kinsoku/>
        <w:wordWrap/>
        <w:overflowPunct/>
        <w:topLinePunct w:val="0"/>
        <w:autoSpaceDE/>
        <w:autoSpaceDN/>
        <w:bidi w:val="0"/>
        <w:adjustRightInd/>
        <w:snapToGrid w:val="0"/>
        <w:spacing w:line="360" w:lineRule="auto"/>
        <w:jc w:val="both"/>
        <w:textAlignment w:val="auto"/>
        <w:rPr>
          <w:rFonts w:ascii="楷体" w:hAnsi="楷体"/>
          <w:color w:val="auto"/>
        </w:rPr>
      </w:pPr>
      <w:bookmarkStart w:id="338" w:name="_Toc27110"/>
      <w:bookmarkStart w:id="339" w:name="_Toc17776"/>
      <w:bookmarkStart w:id="340" w:name="_Toc27342"/>
      <w:r>
        <w:rPr>
          <w:rFonts w:ascii="Times New Roman" w:hAnsi="Times New Roman"/>
          <w:color w:val="auto"/>
        </w:rPr>
        <w:t>6</w:t>
      </w:r>
      <w:r>
        <w:rPr>
          <w:rFonts w:ascii="楷体" w:hAnsi="楷体"/>
          <w:color w:val="auto"/>
        </w:rPr>
        <w:t>.</w:t>
      </w:r>
      <w:r>
        <w:rPr>
          <w:rFonts w:ascii="Times New Roman" w:hAnsi="Times New Roman"/>
          <w:color w:val="auto"/>
        </w:rPr>
        <w:t>1</w:t>
      </w:r>
      <w:r>
        <w:rPr>
          <w:rFonts w:ascii="楷体" w:hAnsi="楷体"/>
          <w:color w:val="auto"/>
        </w:rPr>
        <w:t>安全检查表评价结果</w:t>
      </w:r>
      <w:bookmarkEnd w:id="338"/>
      <w:bookmarkEnd w:id="339"/>
      <w:bookmarkEnd w:id="340"/>
    </w:p>
    <w:p w14:paraId="4FEF2D51">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rPr>
        <w:t>本报告采用安全检查表对该加油站设置了以下检查表：《站址选择安全检查表》、《总平面布置安全检查表》、《加油工艺及设施安全检查表》、《消防设施和给排水安全检查表》、《电气与报警和紧急切断系统安全检查表》、《重大生产安全事故隐患判定检查表》，经过安全检查评价及现场检查，共发现</w:t>
      </w:r>
      <w:r>
        <w:rPr>
          <w:rFonts w:hint="eastAsia"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个不符合项</w:t>
      </w:r>
      <w:r>
        <w:rPr>
          <w:rFonts w:hint="eastAsia" w:cs="Times New Roman"/>
          <w:color w:val="auto"/>
          <w:lang w:eastAsia="zh-CN"/>
        </w:rPr>
        <w:t>，</w:t>
      </w:r>
      <w:r>
        <w:rPr>
          <w:rFonts w:hint="default" w:ascii="Times New Roman" w:hAnsi="Times New Roman" w:cs="Times New Roman"/>
          <w:color w:val="auto"/>
          <w:szCs w:val="28"/>
        </w:rPr>
        <w:t>该加油站已全部整改完毕，整改完成后，</w:t>
      </w:r>
      <w:r>
        <w:rPr>
          <w:rFonts w:hint="default" w:ascii="Times New Roman" w:hAnsi="Times New Roman" w:cs="Times New Roman"/>
          <w:color w:val="auto"/>
        </w:rPr>
        <w:t>该加油站的站址选择、总平面布置、加油工艺及设施、消防设施和给排水、电气与报警和紧急切断系统等均能够满足《汽车加油加气加氢站技术标准》（GB50156-2021）及其相关规范中的安全要求，该加油站不存在重大生产安全事故隐患。</w:t>
      </w:r>
    </w:p>
    <w:p w14:paraId="37F197B1">
      <w:pPr>
        <w:pStyle w:val="4"/>
        <w:keepNext/>
        <w:keepLines/>
        <w:pageBreakBefore w:val="0"/>
        <w:widowControl/>
        <w:kinsoku/>
        <w:wordWrap/>
        <w:overflowPunct/>
        <w:topLinePunct w:val="0"/>
        <w:autoSpaceDE/>
        <w:autoSpaceDN/>
        <w:bidi w:val="0"/>
        <w:adjustRightInd/>
        <w:snapToGrid w:val="0"/>
        <w:spacing w:line="360" w:lineRule="auto"/>
        <w:jc w:val="both"/>
        <w:textAlignment w:val="auto"/>
        <w:rPr>
          <w:rFonts w:hint="default" w:ascii="Times New Roman" w:hAnsi="Times New Roman" w:cs="Times New Roman"/>
          <w:color w:val="auto"/>
        </w:rPr>
      </w:pPr>
      <w:bookmarkStart w:id="341" w:name="_Toc5916"/>
      <w:bookmarkStart w:id="342" w:name="_Toc13914"/>
      <w:bookmarkStart w:id="343" w:name="_Toc21963"/>
      <w:r>
        <w:rPr>
          <w:rFonts w:hint="default" w:ascii="Times New Roman" w:hAnsi="Times New Roman" w:cs="Times New Roman"/>
          <w:color w:val="auto"/>
        </w:rPr>
        <w:t>6.2作业条件分析评价结果</w:t>
      </w:r>
      <w:bookmarkEnd w:id="341"/>
      <w:bookmarkEnd w:id="342"/>
      <w:bookmarkEnd w:id="343"/>
    </w:p>
    <w:p w14:paraId="5CFCD31A">
      <w:pPr>
        <w:pStyle w:val="137"/>
        <w:keepNext w:val="0"/>
        <w:keepLines w:val="0"/>
        <w:pageBreakBefore w:val="0"/>
        <w:widowControl w:val="0"/>
        <w:kinsoku/>
        <w:wordWrap/>
        <w:overflowPunct/>
        <w:topLinePunct w:val="0"/>
        <w:autoSpaceDE/>
        <w:autoSpaceDN/>
        <w:bidi w:val="0"/>
        <w:adjustRightInd/>
        <w:snapToGrid w:val="0"/>
        <w:spacing w:line="520" w:lineRule="exact"/>
        <w:textAlignment w:val="auto"/>
        <w:rPr>
          <w:rFonts w:ascii="宋体" w:hAnsi="宋体"/>
          <w:color w:val="auto"/>
        </w:rPr>
      </w:pPr>
      <w:r>
        <w:rPr>
          <w:rFonts w:hint="eastAsia" w:ascii="宋体" w:hAnsi="宋体"/>
          <w:color w:val="auto"/>
          <w:szCs w:val="28"/>
        </w:rPr>
        <w:t>该加油站加油作业单元火灾爆炸风险为</w:t>
      </w:r>
      <w:r>
        <w:rPr>
          <w:rFonts w:ascii="宋体" w:hAnsi="宋体"/>
          <w:color w:val="auto"/>
          <w:szCs w:val="28"/>
        </w:rPr>
        <w:t>“</w:t>
      </w:r>
      <w:r>
        <w:rPr>
          <w:rFonts w:hint="eastAsia" w:ascii="宋体" w:hAnsi="宋体"/>
          <w:color w:val="auto"/>
          <w:szCs w:val="28"/>
        </w:rPr>
        <w:t>可能危险，需要注意</w:t>
      </w:r>
      <w:r>
        <w:rPr>
          <w:rFonts w:ascii="宋体" w:hAnsi="宋体"/>
          <w:color w:val="auto"/>
          <w:szCs w:val="28"/>
        </w:rPr>
        <w:t>”等级，表明</w:t>
      </w:r>
      <w:r>
        <w:rPr>
          <w:rFonts w:hint="eastAsia" w:ascii="宋体" w:hAnsi="宋体"/>
          <w:color w:val="auto"/>
          <w:szCs w:val="28"/>
        </w:rPr>
        <w:t>该加油站</w:t>
      </w:r>
      <w:r>
        <w:rPr>
          <w:rFonts w:ascii="宋体" w:hAnsi="宋体"/>
          <w:color w:val="auto"/>
          <w:szCs w:val="28"/>
        </w:rPr>
        <w:t>需要引起足够的重视，采取措施，降低安全风险</w:t>
      </w:r>
      <w:r>
        <w:rPr>
          <w:rFonts w:hint="eastAsia" w:ascii="宋体" w:hAnsi="宋体"/>
          <w:color w:val="auto"/>
          <w:szCs w:val="28"/>
        </w:rPr>
        <w:t>。</w:t>
      </w:r>
      <w:r>
        <w:rPr>
          <w:rFonts w:hint="eastAsia" w:ascii="宋体" w:hAnsi="宋体"/>
          <w:color w:val="auto"/>
        </w:rPr>
        <w:t>该站</w:t>
      </w:r>
      <w:r>
        <w:rPr>
          <w:rFonts w:ascii="宋体" w:hAnsi="宋体"/>
          <w:color w:val="auto"/>
        </w:rPr>
        <w:t>已采取以下措施防范事故发生：加油机供油管道设置有剪切阀，当加油机被拉倒或撞倒时剪切阀可自动关闭，防止油品泄漏；加油软管装有拉断阀，如果加油车辆未拨油枪就开车离开，拉断阀可自动关闭，防止油品泄漏；在加油作业区、营业厅等关键位置设置有紧急切断按钮，如果加油作业区因意外发生火灾，可按下紧急切断按钮，切断全站工艺设备的电源，防止事故进一</w:t>
      </w:r>
      <w:r>
        <w:rPr>
          <w:rFonts w:hint="eastAsia" w:ascii="宋体" w:hAnsi="宋体"/>
          <w:color w:val="auto"/>
          <w:lang w:eastAsia="zh-CN"/>
        </w:rPr>
        <w:t>步</w:t>
      </w:r>
      <w:r>
        <w:rPr>
          <w:rFonts w:ascii="宋体" w:hAnsi="宋体"/>
          <w:color w:val="auto"/>
        </w:rPr>
        <w:t>扩大；该站没有开设自助加油，加油作业由经验丰富的工作人员负责，杜绝车主自己加油的情况</w:t>
      </w:r>
      <w:r>
        <w:rPr>
          <w:rFonts w:hint="eastAsia" w:ascii="宋体" w:hAnsi="宋体"/>
          <w:color w:val="auto"/>
        </w:rPr>
        <w:t>，同时，现场张贴有明显的安全警示标志，提醒现场人员注意防火安全；通过以上各种措施，可有效防止加油作业火灾爆炸事故发生。</w:t>
      </w:r>
    </w:p>
    <w:p w14:paraId="1064218F">
      <w:pPr>
        <w:pStyle w:val="136"/>
        <w:keepNext w:val="0"/>
        <w:keepLines w:val="0"/>
        <w:pageBreakBefore w:val="0"/>
        <w:widowControl w:val="0"/>
        <w:kinsoku/>
        <w:wordWrap/>
        <w:overflowPunct/>
        <w:topLinePunct w:val="0"/>
        <w:autoSpaceDE/>
        <w:autoSpaceDN/>
        <w:bidi w:val="0"/>
        <w:adjustRightInd/>
        <w:snapToGrid w:val="0"/>
        <w:spacing w:line="520" w:lineRule="exact"/>
        <w:textAlignment w:val="auto"/>
        <w:rPr>
          <w:color w:val="auto"/>
          <w:szCs w:val="28"/>
        </w:rPr>
      </w:pPr>
      <w:r>
        <w:rPr>
          <w:rFonts w:hint="eastAsia"/>
          <w:color w:val="auto"/>
          <w:szCs w:val="28"/>
        </w:rPr>
        <w:t>其他</w:t>
      </w:r>
      <w:r>
        <w:rPr>
          <w:color w:val="auto"/>
          <w:szCs w:val="28"/>
        </w:rPr>
        <w:t>作业单元的风险等级为“</w:t>
      </w:r>
      <w:r>
        <w:rPr>
          <w:rFonts w:hint="eastAsia"/>
          <w:color w:val="auto"/>
          <w:szCs w:val="28"/>
        </w:rPr>
        <w:t>可能危险，需要注意</w:t>
      </w:r>
      <w:r>
        <w:rPr>
          <w:color w:val="auto"/>
          <w:szCs w:val="28"/>
        </w:rPr>
        <w:t>”或“稍有危险，可以接受”</w:t>
      </w:r>
      <w:r>
        <w:rPr>
          <w:color w:val="auto"/>
        </w:rPr>
        <w:t>，</w:t>
      </w:r>
      <w:r>
        <w:rPr>
          <w:rFonts w:hint="eastAsia"/>
          <w:color w:val="auto"/>
          <w:szCs w:val="28"/>
        </w:rPr>
        <w:t>因此，</w:t>
      </w:r>
      <w:r>
        <w:rPr>
          <w:color w:val="auto"/>
          <w:szCs w:val="28"/>
        </w:rPr>
        <w:t>企业</w:t>
      </w:r>
      <w:r>
        <w:rPr>
          <w:rFonts w:hint="eastAsia"/>
          <w:color w:val="auto"/>
          <w:szCs w:val="28"/>
          <w:lang w:eastAsia="zh-CN"/>
        </w:rPr>
        <w:t>必须</w:t>
      </w:r>
      <w:r>
        <w:rPr>
          <w:color w:val="auto"/>
          <w:szCs w:val="28"/>
        </w:rPr>
        <w:t>加强对生产过程中的安全管理，遵守安全操作规程，分主次认真做好作业场所管理、设备安全检修及人员的安全教育培训工作，并做好事故应急预案的演练，提高从业人员应急处置能力。</w:t>
      </w:r>
    </w:p>
    <w:p w14:paraId="2D9ABE7D">
      <w:pPr>
        <w:pStyle w:val="4"/>
        <w:keepNext/>
        <w:keepLines/>
        <w:pageBreakBefore w:val="0"/>
        <w:widowControl/>
        <w:kinsoku/>
        <w:wordWrap/>
        <w:overflowPunct/>
        <w:topLinePunct w:val="0"/>
        <w:autoSpaceDE/>
        <w:autoSpaceDN/>
        <w:bidi w:val="0"/>
        <w:adjustRightInd/>
        <w:snapToGrid w:val="0"/>
        <w:spacing w:line="560" w:lineRule="exact"/>
        <w:jc w:val="both"/>
        <w:textAlignment w:val="auto"/>
        <w:rPr>
          <w:rFonts w:hint="default" w:ascii="Times New Roman" w:hAnsi="Times New Roman" w:cs="Times New Roman"/>
          <w:color w:val="auto"/>
        </w:rPr>
      </w:pPr>
      <w:bookmarkStart w:id="344" w:name="_Toc2696"/>
      <w:bookmarkStart w:id="345" w:name="_Toc21745"/>
      <w:bookmarkStart w:id="346" w:name="_Toc11083"/>
      <w:bookmarkStart w:id="347" w:name="_Toc10697"/>
      <w:bookmarkStart w:id="348" w:name="_Toc9392"/>
      <w:bookmarkStart w:id="349" w:name="_Toc30263"/>
      <w:bookmarkStart w:id="350" w:name="_Toc21410"/>
      <w:bookmarkStart w:id="351" w:name="_Toc24692"/>
      <w:bookmarkStart w:id="352" w:name="_Toc207511288"/>
      <w:r>
        <w:rPr>
          <w:rFonts w:hint="default" w:ascii="Times New Roman" w:hAnsi="Times New Roman" w:cs="Times New Roman"/>
          <w:color w:val="auto"/>
        </w:rPr>
        <w:t>6.</w:t>
      </w:r>
      <w:r>
        <w:rPr>
          <w:rFonts w:hint="default" w:ascii="Times New Roman" w:hAnsi="Times New Roman" w:cs="Times New Roman"/>
          <w:color w:val="auto"/>
          <w:lang w:val="en-US" w:eastAsia="zh-CN"/>
        </w:rPr>
        <w:t>3</w:t>
      </w:r>
      <w:r>
        <w:rPr>
          <w:rFonts w:hint="default" w:ascii="Times New Roman" w:hAnsi="Times New Roman" w:cs="Times New Roman"/>
          <w:color w:val="auto"/>
        </w:rPr>
        <w:t>固有危险程度分析结果</w:t>
      </w:r>
      <w:bookmarkEnd w:id="344"/>
      <w:bookmarkEnd w:id="345"/>
      <w:bookmarkEnd w:id="346"/>
      <w:bookmarkEnd w:id="347"/>
      <w:bookmarkEnd w:id="348"/>
      <w:bookmarkEnd w:id="349"/>
      <w:bookmarkEnd w:id="350"/>
      <w:bookmarkEnd w:id="351"/>
      <w:bookmarkEnd w:id="352"/>
    </w:p>
    <w:p w14:paraId="678BBDF0">
      <w:pPr>
        <w:keepNext w:val="0"/>
        <w:keepLines w:val="0"/>
        <w:pageBreakBefore w:val="0"/>
        <w:widowControl/>
        <w:shd w:val="clear"/>
        <w:kinsoku/>
        <w:wordWrap/>
        <w:overflowPunct/>
        <w:topLinePunct w:val="0"/>
        <w:autoSpaceDE/>
        <w:autoSpaceDN/>
        <w:bidi w:val="0"/>
        <w:adjustRightInd/>
        <w:snapToGrid w:val="0"/>
        <w:spacing w:line="50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该加油站涉及的危险化学品定量分析结果如下。采用计算易燃危险化学品燃烧后放出的热量及易燃危险化学品燃烧并发生爆炸后的TNT当量来定量分析其固有危险程度，计算结果见下表：</w:t>
      </w:r>
    </w:p>
    <w:p w14:paraId="0FAFBAE2">
      <w:pPr>
        <w:pStyle w:val="21"/>
        <w:shd w:val="clear"/>
        <w:rPr>
          <w:rFonts w:hint="default" w:ascii="Times New Roman" w:hAnsi="Times New Roman" w:cs="Times New Roman"/>
          <w:color w:val="auto"/>
        </w:rPr>
      </w:pPr>
      <w:r>
        <w:rPr>
          <w:rFonts w:hint="default" w:ascii="Times New Roman" w:hAnsi="Times New Roman" w:cs="Times New Roman"/>
          <w:color w:val="auto"/>
        </w:rPr>
        <w:t>表6.</w:t>
      </w:r>
      <w:r>
        <w:rPr>
          <w:rFonts w:hint="default" w:ascii="Times New Roman" w:hAnsi="Times New Roman" w:cs="Times New Roman"/>
          <w:color w:val="auto"/>
          <w:lang w:val="en-US" w:eastAsia="zh-CN"/>
        </w:rPr>
        <w:t>3</w:t>
      </w:r>
      <w:r>
        <w:rPr>
          <w:rFonts w:hint="default" w:ascii="Times New Roman" w:hAnsi="Times New Roman" w:cs="Times New Roman"/>
          <w:color w:val="auto"/>
        </w:rPr>
        <w:t>-1  原料及产品可燃性化学品质量及燃烧后放出热量计算</w:t>
      </w:r>
    </w:p>
    <w:tbl>
      <w:tblPr>
        <w:tblStyle w:val="48"/>
        <w:tblW w:w="97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5"/>
        <w:gridCol w:w="682"/>
        <w:gridCol w:w="846"/>
        <w:gridCol w:w="1044"/>
        <w:gridCol w:w="1530"/>
        <w:gridCol w:w="914"/>
        <w:gridCol w:w="659"/>
        <w:gridCol w:w="719"/>
        <w:gridCol w:w="719"/>
        <w:gridCol w:w="1893"/>
      </w:tblGrid>
      <w:tr w14:paraId="6477EA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7" w:hRule="atLeast"/>
          <w:tblHeader/>
          <w:jc w:val="center"/>
        </w:trPr>
        <w:tc>
          <w:tcPr>
            <w:tcW w:w="695" w:type="dxa"/>
            <w:tcBorders>
              <w:tl2br w:val="nil"/>
              <w:tr2bl w:val="nil"/>
            </w:tcBorders>
            <w:vAlign w:val="center"/>
          </w:tcPr>
          <w:p w14:paraId="595A338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品名</w:t>
            </w:r>
          </w:p>
        </w:tc>
        <w:tc>
          <w:tcPr>
            <w:tcW w:w="682" w:type="dxa"/>
            <w:tcBorders>
              <w:tl2br w:val="nil"/>
              <w:tr2bl w:val="nil"/>
            </w:tcBorders>
            <w:vAlign w:val="center"/>
          </w:tcPr>
          <w:p w14:paraId="3D49AB9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位置</w:t>
            </w:r>
          </w:p>
        </w:tc>
        <w:tc>
          <w:tcPr>
            <w:tcW w:w="846" w:type="dxa"/>
            <w:tcBorders>
              <w:tl2br w:val="nil"/>
              <w:tr2bl w:val="nil"/>
            </w:tcBorders>
            <w:vAlign w:val="center"/>
          </w:tcPr>
          <w:p w14:paraId="48DE20BD">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数量（t）</w:t>
            </w:r>
          </w:p>
        </w:tc>
        <w:tc>
          <w:tcPr>
            <w:tcW w:w="1044" w:type="dxa"/>
            <w:tcBorders>
              <w:tl2br w:val="nil"/>
              <w:tr2bl w:val="nil"/>
            </w:tcBorders>
            <w:vAlign w:val="center"/>
          </w:tcPr>
          <w:p w14:paraId="6064BD6A">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燃烧热（kJ/kg）</w:t>
            </w:r>
          </w:p>
        </w:tc>
        <w:tc>
          <w:tcPr>
            <w:tcW w:w="1530" w:type="dxa"/>
            <w:tcBorders>
              <w:tl2br w:val="nil"/>
              <w:tr2bl w:val="nil"/>
            </w:tcBorders>
            <w:vAlign w:val="center"/>
          </w:tcPr>
          <w:p w14:paraId="3D209BC6">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完全燃烧产生的热量（kJ）</w:t>
            </w:r>
          </w:p>
        </w:tc>
        <w:tc>
          <w:tcPr>
            <w:tcW w:w="914" w:type="dxa"/>
            <w:tcBorders>
              <w:tl2br w:val="nil"/>
              <w:tr2bl w:val="nil"/>
            </w:tcBorders>
            <w:vAlign w:val="center"/>
          </w:tcPr>
          <w:p w14:paraId="4F0B1306">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TNT当量（t）</w:t>
            </w:r>
          </w:p>
        </w:tc>
        <w:tc>
          <w:tcPr>
            <w:tcW w:w="659" w:type="dxa"/>
            <w:tcBorders>
              <w:tl2br w:val="nil"/>
              <w:tr2bl w:val="nil"/>
            </w:tcBorders>
            <w:vAlign w:val="center"/>
          </w:tcPr>
          <w:p w14:paraId="3751FF9E">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状态</w:t>
            </w:r>
          </w:p>
        </w:tc>
        <w:tc>
          <w:tcPr>
            <w:tcW w:w="719" w:type="dxa"/>
            <w:tcBorders>
              <w:tl2br w:val="nil"/>
              <w:tr2bl w:val="nil"/>
            </w:tcBorders>
            <w:vAlign w:val="center"/>
          </w:tcPr>
          <w:p w14:paraId="08F4B259">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温度</w:t>
            </w:r>
          </w:p>
        </w:tc>
        <w:tc>
          <w:tcPr>
            <w:tcW w:w="719" w:type="dxa"/>
            <w:tcBorders>
              <w:tl2br w:val="nil"/>
              <w:tr2bl w:val="nil"/>
            </w:tcBorders>
            <w:vAlign w:val="center"/>
          </w:tcPr>
          <w:p w14:paraId="649621DA">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压力</w:t>
            </w:r>
          </w:p>
        </w:tc>
        <w:tc>
          <w:tcPr>
            <w:tcW w:w="1893" w:type="dxa"/>
            <w:tcBorders>
              <w:tl2br w:val="nil"/>
              <w:tr2bl w:val="nil"/>
            </w:tcBorders>
            <w:vAlign w:val="center"/>
          </w:tcPr>
          <w:p w14:paraId="4A72A3A2">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szCs w:val="21"/>
              </w:rPr>
            </w:pPr>
            <w:r>
              <w:rPr>
                <w:rFonts w:hint="default" w:ascii="Times New Roman" w:hAnsi="Times New Roman" w:cs="Times New Roman"/>
                <w:b/>
                <w:bCs/>
                <w:color w:val="auto"/>
                <w:szCs w:val="21"/>
              </w:rPr>
              <w:t>主要危险性</w:t>
            </w:r>
          </w:p>
        </w:tc>
      </w:tr>
      <w:tr w14:paraId="7804D5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95" w:type="dxa"/>
            <w:tcBorders>
              <w:tl2br w:val="nil"/>
              <w:tr2bl w:val="nil"/>
            </w:tcBorders>
            <w:vAlign w:val="center"/>
          </w:tcPr>
          <w:p w14:paraId="2E7ED145">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汽油</w:t>
            </w:r>
          </w:p>
        </w:tc>
        <w:tc>
          <w:tcPr>
            <w:tcW w:w="682" w:type="dxa"/>
            <w:tcBorders>
              <w:tl2br w:val="nil"/>
              <w:tr2bl w:val="nil"/>
            </w:tcBorders>
            <w:vAlign w:val="center"/>
          </w:tcPr>
          <w:p w14:paraId="188DDD57">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埋地油罐</w:t>
            </w:r>
          </w:p>
        </w:tc>
        <w:tc>
          <w:tcPr>
            <w:tcW w:w="846" w:type="dxa"/>
            <w:tcBorders>
              <w:tl2br w:val="nil"/>
              <w:tr2bl w:val="nil"/>
            </w:tcBorders>
            <w:vAlign w:val="center"/>
          </w:tcPr>
          <w:p w14:paraId="15BA0806">
            <w:pPr>
              <w:pStyle w:val="22"/>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64.125</w:t>
            </w:r>
          </w:p>
        </w:tc>
        <w:tc>
          <w:tcPr>
            <w:tcW w:w="1044" w:type="dxa"/>
            <w:tcBorders>
              <w:tl2br w:val="nil"/>
              <w:tr2bl w:val="nil"/>
            </w:tcBorders>
            <w:vAlign w:val="center"/>
          </w:tcPr>
          <w:p w14:paraId="4644AE4C">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rPr>
              <w:t>4.6×10</w:t>
            </w:r>
            <w:r>
              <w:rPr>
                <w:rFonts w:hint="default" w:ascii="Times New Roman" w:hAnsi="Times New Roman" w:cs="Times New Roman"/>
                <w:color w:val="auto"/>
                <w:szCs w:val="21"/>
                <w:vertAlign w:val="superscript"/>
              </w:rPr>
              <w:t>4</w:t>
            </w:r>
          </w:p>
        </w:tc>
        <w:tc>
          <w:tcPr>
            <w:tcW w:w="1530" w:type="dxa"/>
            <w:tcBorders>
              <w:tl2br w:val="nil"/>
              <w:tr2bl w:val="nil"/>
            </w:tcBorders>
            <w:vAlign w:val="center"/>
          </w:tcPr>
          <w:p w14:paraId="4310BD3E">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2.95</w:t>
            </w:r>
            <w:r>
              <w:rPr>
                <w:rFonts w:hint="default" w:ascii="Times New Roman" w:hAnsi="Times New Roman" w:cs="Times New Roman"/>
                <w:color w:val="auto"/>
                <w:szCs w:val="21"/>
              </w:rPr>
              <w:t>×10</w:t>
            </w:r>
            <w:r>
              <w:rPr>
                <w:rFonts w:hint="default" w:ascii="Times New Roman" w:hAnsi="Times New Roman" w:cs="Times New Roman"/>
                <w:color w:val="auto"/>
                <w:szCs w:val="21"/>
                <w:vertAlign w:val="superscript"/>
              </w:rPr>
              <w:t>9</w:t>
            </w:r>
          </w:p>
        </w:tc>
        <w:tc>
          <w:tcPr>
            <w:tcW w:w="914" w:type="dxa"/>
            <w:tcBorders>
              <w:tl2br w:val="nil"/>
              <w:tr2bl w:val="nil"/>
            </w:tcBorders>
            <w:vAlign w:val="center"/>
          </w:tcPr>
          <w:p w14:paraId="739DD62E">
            <w:pPr>
              <w:pStyle w:val="22"/>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47.196</w:t>
            </w:r>
          </w:p>
        </w:tc>
        <w:tc>
          <w:tcPr>
            <w:tcW w:w="659" w:type="dxa"/>
            <w:tcBorders>
              <w:tl2br w:val="nil"/>
              <w:tr2bl w:val="nil"/>
            </w:tcBorders>
            <w:vAlign w:val="center"/>
          </w:tcPr>
          <w:p w14:paraId="112EFEFF">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液态</w:t>
            </w:r>
          </w:p>
        </w:tc>
        <w:tc>
          <w:tcPr>
            <w:tcW w:w="719" w:type="dxa"/>
            <w:tcBorders>
              <w:tl2br w:val="nil"/>
              <w:tr2bl w:val="nil"/>
            </w:tcBorders>
            <w:vAlign w:val="center"/>
          </w:tcPr>
          <w:p w14:paraId="7FD3634F">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常温</w:t>
            </w:r>
          </w:p>
        </w:tc>
        <w:tc>
          <w:tcPr>
            <w:tcW w:w="719" w:type="dxa"/>
            <w:tcBorders>
              <w:tl2br w:val="nil"/>
              <w:tr2bl w:val="nil"/>
            </w:tcBorders>
            <w:vAlign w:val="center"/>
          </w:tcPr>
          <w:p w14:paraId="7FFA3F4D">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常压</w:t>
            </w:r>
          </w:p>
        </w:tc>
        <w:tc>
          <w:tcPr>
            <w:tcW w:w="1893" w:type="dxa"/>
            <w:tcBorders>
              <w:tl2br w:val="nil"/>
              <w:tr2bl w:val="nil"/>
            </w:tcBorders>
            <w:vAlign w:val="center"/>
          </w:tcPr>
          <w:p w14:paraId="6325BC9A">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火灾、爆炸、中毒</w:t>
            </w:r>
          </w:p>
        </w:tc>
      </w:tr>
      <w:tr w14:paraId="2E839B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701" w:type="dxa"/>
            <w:gridSpan w:val="10"/>
            <w:tcBorders>
              <w:tl2br w:val="nil"/>
              <w:tr2bl w:val="nil"/>
            </w:tcBorders>
            <w:vAlign w:val="center"/>
          </w:tcPr>
          <w:p w14:paraId="139C5728">
            <w:pPr>
              <w:keepNext w:val="0"/>
              <w:keepLines w:val="0"/>
              <w:widowControl/>
              <w:suppressLineNumbers w:val="0"/>
              <w:spacing w:before="0" w:beforeAutospacing="0" w:after="0" w:afterAutospacing="0" w:line="240" w:lineRule="auto"/>
              <w:ind w:left="0" w:right="0" w:firstLine="0" w:firstLine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备注：数量为日常最大储存量，按照充装系数0</w:t>
            </w:r>
            <w:r>
              <w:rPr>
                <w:rFonts w:hint="default" w:ascii="Times New Roman" w:hAnsi="Times New Roman" w:eastAsia="宋体" w:cs="Times New Roman"/>
                <w:b/>
                <w:bCs/>
                <w:color w:val="auto"/>
                <w:sz w:val="21"/>
                <w:szCs w:val="21"/>
                <w:lang w:val="en-US" w:eastAsia="zh-CN"/>
              </w:rPr>
              <w:t>.</w:t>
            </w:r>
            <w:r>
              <w:rPr>
                <w:rFonts w:hint="default" w:ascii="Times New Roman" w:hAnsi="Times New Roman" w:cs="Times New Roman"/>
                <w:b/>
                <w:bCs/>
                <w:color w:val="auto"/>
                <w:sz w:val="21"/>
                <w:szCs w:val="21"/>
              </w:rPr>
              <w:t>9</w:t>
            </w:r>
            <w:r>
              <w:rPr>
                <w:rFonts w:hint="default" w:ascii="Times New Roman" w:hAnsi="Times New Roman" w:eastAsia="宋体" w:cs="Times New Roman"/>
                <w:b/>
                <w:bCs/>
                <w:color w:val="auto"/>
                <w:sz w:val="21"/>
                <w:szCs w:val="21"/>
                <w:lang w:val="en-US" w:eastAsia="zh-CN"/>
              </w:rPr>
              <w:t>5</w:t>
            </w:r>
            <w:r>
              <w:rPr>
                <w:rFonts w:hint="default" w:ascii="Times New Roman" w:hAnsi="Times New Roman" w:cs="Times New Roman"/>
                <w:b/>
                <w:bCs/>
                <w:color w:val="auto"/>
                <w:sz w:val="21"/>
                <w:szCs w:val="21"/>
              </w:rPr>
              <w:t>计算得出。</w:t>
            </w:r>
          </w:p>
        </w:tc>
      </w:tr>
    </w:tbl>
    <w:p w14:paraId="30B8CA95">
      <w:pPr>
        <w:shd w:val="clear"/>
        <w:spacing w:line="360" w:lineRule="auto"/>
        <w:ind w:firstLine="240" w:firstLineChars="100"/>
        <w:rPr>
          <w:rFonts w:hint="default" w:ascii="Times New Roman" w:hAnsi="Times New Roman" w:cs="Times New Roman"/>
          <w:color w:val="auto"/>
          <w:sz w:val="24"/>
        </w:rPr>
      </w:pPr>
      <w:r>
        <w:rPr>
          <w:rFonts w:hint="default" w:ascii="Times New Roman" w:hAnsi="Times New Roman" w:cs="Times New Roman"/>
          <w:color w:val="auto"/>
          <w:sz w:val="24"/>
        </w:rPr>
        <w:t>备注：数量为日常最大储存量，按照设计的充装系数0.9</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计算得出。</w:t>
      </w:r>
    </w:p>
    <w:p w14:paraId="4058B179">
      <w:pPr>
        <w:pStyle w:val="37"/>
        <w:shd w:val="clear"/>
        <w:ind w:firstLine="0" w:firstLineChars="0"/>
        <w:rPr>
          <w:rFonts w:hint="default" w:ascii="Times New Roman" w:hAnsi="Times New Roman" w:cs="Times New Roman"/>
          <w:color w:val="auto"/>
          <w:sz w:val="24"/>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0" w:charSpace="0"/>
        </w:sectPr>
      </w:pPr>
    </w:p>
    <w:p w14:paraId="2915D914">
      <w:pPr>
        <w:spacing w:line="360" w:lineRule="auto"/>
        <w:ind w:firstLine="0" w:firstLineChars="0"/>
        <w:jc w:val="center"/>
        <w:outlineLvl w:val="0"/>
        <w:rPr>
          <w:rFonts w:hint="default" w:ascii="Times New Roman" w:hAnsi="Times New Roman" w:cs="Times New Roman"/>
          <w:color w:val="auto"/>
        </w:rPr>
      </w:pPr>
      <w:bookmarkStart w:id="353" w:name="_Toc20046"/>
      <w:bookmarkStart w:id="354" w:name="_Toc18605"/>
      <w:bookmarkStart w:id="355" w:name="_Toc13942"/>
      <w:bookmarkStart w:id="356" w:name="_Toc15564"/>
      <w:bookmarkStart w:id="357" w:name="_Toc22640"/>
      <w:bookmarkStart w:id="358" w:name="_Toc4163"/>
      <w:bookmarkStart w:id="359" w:name="_Toc24845"/>
      <w:bookmarkStart w:id="360" w:name="_Toc9397"/>
      <w:bookmarkStart w:id="361" w:name="_Toc18575"/>
      <w:bookmarkStart w:id="362" w:name="_Toc207511293"/>
      <w:r>
        <w:rPr>
          <w:rStyle w:val="63"/>
          <w:rFonts w:hint="default" w:ascii="Times New Roman" w:hAnsi="Times New Roman" w:cs="Times New Roman"/>
          <w:color w:val="auto"/>
        </w:rPr>
        <w:t>第七章 建设项目安全条件和安全生产条件分析结果</w:t>
      </w:r>
      <w:bookmarkEnd w:id="353"/>
      <w:bookmarkEnd w:id="354"/>
      <w:bookmarkEnd w:id="355"/>
      <w:bookmarkEnd w:id="356"/>
    </w:p>
    <w:p w14:paraId="3327ECFD">
      <w:pPr>
        <w:pStyle w:val="4"/>
        <w:spacing w:line="360" w:lineRule="auto"/>
        <w:jc w:val="both"/>
        <w:rPr>
          <w:rFonts w:hint="default" w:ascii="Times New Roman" w:hAnsi="Times New Roman" w:cs="Times New Roman"/>
          <w:color w:val="auto"/>
        </w:rPr>
      </w:pPr>
      <w:bookmarkStart w:id="363" w:name="_Toc28324"/>
      <w:bookmarkStart w:id="364" w:name="_Toc14107"/>
      <w:bookmarkStart w:id="365" w:name="_Toc17561"/>
      <w:bookmarkStart w:id="366" w:name="_Toc25768"/>
      <w:bookmarkStart w:id="367" w:name="_Toc2691641"/>
      <w:bookmarkStart w:id="368" w:name="OLE_LINK560"/>
      <w:bookmarkStart w:id="369" w:name="OLE_LINK562"/>
      <w:bookmarkStart w:id="370" w:name="OLE_LINK563"/>
      <w:bookmarkStart w:id="371" w:name="OLE_LINK561"/>
      <w:bookmarkStart w:id="372" w:name="OLE_LINK564"/>
      <w:r>
        <w:rPr>
          <w:rFonts w:hint="default" w:ascii="Times New Roman" w:hAnsi="Times New Roman" w:cs="Times New Roman"/>
          <w:color w:val="auto"/>
        </w:rPr>
        <w:t>7.1建设项目的安全条件分析结果</w:t>
      </w:r>
      <w:bookmarkEnd w:id="363"/>
      <w:bookmarkEnd w:id="364"/>
      <w:bookmarkEnd w:id="365"/>
      <w:bookmarkEnd w:id="366"/>
    </w:p>
    <w:bookmarkEnd w:id="367"/>
    <w:bookmarkEnd w:id="368"/>
    <w:bookmarkEnd w:id="369"/>
    <w:bookmarkEnd w:id="370"/>
    <w:bookmarkEnd w:id="371"/>
    <w:bookmarkEnd w:id="372"/>
    <w:p w14:paraId="0252DB2E">
      <w:pPr>
        <w:pStyle w:val="5"/>
        <w:spacing w:line="360" w:lineRule="auto"/>
        <w:ind w:left="0" w:leftChars="0" w:firstLine="0" w:firstLineChars="0"/>
        <w:rPr>
          <w:rFonts w:hint="default" w:ascii="Times New Roman" w:hAnsi="Times New Roman" w:cs="Times New Roman"/>
          <w:color w:val="auto"/>
        </w:rPr>
      </w:pPr>
      <w:bookmarkStart w:id="373" w:name="_Toc13628"/>
      <w:bookmarkStart w:id="374" w:name="_Toc2691658"/>
      <w:bookmarkStart w:id="375" w:name="_Toc7014"/>
      <w:r>
        <w:rPr>
          <w:rFonts w:hint="default" w:ascii="Times New Roman" w:hAnsi="Times New Roman" w:cs="Times New Roman"/>
          <w:color w:val="auto"/>
        </w:rPr>
        <w:t>7.1.</w:t>
      </w:r>
      <w:r>
        <w:rPr>
          <w:rFonts w:hint="default" w:ascii="Times New Roman" w:hAnsi="Times New Roman" w:cs="Times New Roman"/>
          <w:color w:val="auto"/>
          <w:lang w:val="en-US" w:eastAsia="zh-CN"/>
        </w:rPr>
        <w:t>1</w:t>
      </w:r>
      <w:r>
        <w:rPr>
          <w:rFonts w:hint="default" w:ascii="Times New Roman" w:hAnsi="Times New Roman" w:cs="Times New Roman"/>
          <w:color w:val="auto"/>
        </w:rPr>
        <w:t>当地自然条件对建设项目的影响</w:t>
      </w:r>
      <w:bookmarkEnd w:id="373"/>
    </w:p>
    <w:p w14:paraId="34CA6165">
      <w:pPr>
        <w:spacing w:line="360" w:lineRule="auto"/>
        <w:ind w:firstLine="560"/>
        <w:rPr>
          <w:color w:val="auto"/>
          <w:szCs w:val="28"/>
        </w:rPr>
      </w:pPr>
      <w:r>
        <w:rPr>
          <w:rFonts w:hint="default" w:ascii="Times New Roman" w:hAnsi="Times New Roman" w:cs="Times New Roman"/>
          <w:color w:val="auto"/>
          <w:szCs w:val="28"/>
        </w:rPr>
        <w:t>1）雷暴影响：该地区全年雷暴天数较多，若防雷设施失效，雷雨天气里，建筑物、</w:t>
      </w:r>
      <w:r>
        <w:rPr>
          <w:color w:val="auto"/>
          <w:szCs w:val="28"/>
        </w:rPr>
        <w:t>工艺装置、设施和人员有遭受雷击的危险；</w:t>
      </w:r>
    </w:p>
    <w:p w14:paraId="77D73ED9">
      <w:pPr>
        <w:spacing w:line="360" w:lineRule="auto"/>
        <w:ind w:firstLine="560"/>
        <w:rPr>
          <w:color w:val="auto"/>
          <w:szCs w:val="28"/>
        </w:rPr>
      </w:pPr>
      <w:r>
        <w:rPr>
          <w:rFonts w:ascii="Times New Roman" w:hAnsi="Times New Roman"/>
          <w:color w:val="auto"/>
          <w:szCs w:val="28"/>
        </w:rPr>
        <w:t>2</w:t>
      </w:r>
      <w:r>
        <w:rPr>
          <w:color w:val="auto"/>
          <w:szCs w:val="28"/>
        </w:rPr>
        <w:t>）暴雨影响：该地区</w:t>
      </w:r>
      <w:r>
        <w:rPr>
          <w:rFonts w:hint="eastAsia"/>
          <w:color w:val="auto"/>
          <w:szCs w:val="28"/>
          <w:lang w:eastAsia="zh-CN"/>
        </w:rPr>
        <w:t>处于</w:t>
      </w:r>
      <w:r>
        <w:rPr>
          <w:color w:val="auto"/>
          <w:szCs w:val="28"/>
        </w:rPr>
        <w:t>中亚热带季风湿润气候，雨量丰沛，夏季多暴雨，如下水道阻塞，水泄不及，可能造成内涝积水。</w:t>
      </w:r>
    </w:p>
    <w:p w14:paraId="2450F9C4">
      <w:pPr>
        <w:spacing w:line="360" w:lineRule="auto"/>
        <w:ind w:firstLine="560"/>
        <w:rPr>
          <w:color w:val="auto"/>
          <w:szCs w:val="28"/>
        </w:rPr>
      </w:pPr>
      <w:r>
        <w:rPr>
          <w:rFonts w:ascii="Times New Roman" w:hAnsi="Times New Roman"/>
          <w:color w:val="auto"/>
          <w:szCs w:val="28"/>
        </w:rPr>
        <w:t>3</w:t>
      </w:r>
      <w:r>
        <w:rPr>
          <w:color w:val="auto"/>
          <w:szCs w:val="28"/>
        </w:rPr>
        <w:t>）洪水影响：洪水一般都由暴雨引起，短时间的大强度降雨，有时可能引起山洪暴发，形成洪水径流。在局部地区，如沟、洼地或河流，洪水有很强的冲蚀能力，可形成侵蚀沟或造成坍塌，对加油站的安全运行构成威胁；</w:t>
      </w:r>
    </w:p>
    <w:p w14:paraId="5756B334">
      <w:pPr>
        <w:spacing w:line="360" w:lineRule="auto"/>
        <w:ind w:firstLine="560"/>
        <w:rPr>
          <w:color w:val="auto"/>
          <w:szCs w:val="28"/>
        </w:rPr>
      </w:pPr>
      <w:r>
        <w:rPr>
          <w:rFonts w:ascii="Times New Roman" w:hAnsi="Times New Roman"/>
          <w:color w:val="auto"/>
          <w:szCs w:val="28"/>
        </w:rPr>
        <w:t>4</w:t>
      </w:r>
      <w:r>
        <w:rPr>
          <w:color w:val="auto"/>
          <w:szCs w:val="28"/>
        </w:rPr>
        <w:t>）高温天气影响：本地区夏季极端最高气温可达</w:t>
      </w:r>
      <w:r>
        <w:rPr>
          <w:rFonts w:hint="eastAsia"/>
          <w:color w:val="auto"/>
          <w:szCs w:val="28"/>
          <w:lang w:val="en-US" w:eastAsia="zh-CN"/>
        </w:rPr>
        <w:t>39.8℃</w:t>
      </w:r>
      <w:r>
        <w:rPr>
          <w:color w:val="auto"/>
          <w:szCs w:val="28"/>
        </w:rPr>
        <w:t>左右，高气温会使密闭容器内压增加，易发生爆裂，另外，高温天气容易引起人员中暑。</w:t>
      </w:r>
    </w:p>
    <w:p w14:paraId="5CD02981">
      <w:pPr>
        <w:spacing w:line="360" w:lineRule="auto"/>
        <w:ind w:firstLine="560"/>
        <w:rPr>
          <w:rFonts w:hint="default" w:ascii="Times New Roman" w:hAnsi="Times New Roman" w:cs="Times New Roman"/>
          <w:color w:val="auto"/>
          <w:szCs w:val="28"/>
        </w:rPr>
      </w:pPr>
      <w:r>
        <w:rPr>
          <w:rFonts w:ascii="Times New Roman" w:hAnsi="Times New Roman"/>
          <w:color w:val="auto"/>
          <w:szCs w:val="28"/>
        </w:rPr>
        <w:t>5</w:t>
      </w:r>
      <w:r>
        <w:rPr>
          <w:color w:val="auto"/>
          <w:szCs w:val="28"/>
        </w:rPr>
        <w:t>）地质灾害及地震影响：</w:t>
      </w:r>
      <w:r>
        <w:rPr>
          <w:color w:val="auto"/>
          <w:szCs w:val="28"/>
          <w:shd w:val="clear"/>
        </w:rPr>
        <w:t>该加油站所</w:t>
      </w:r>
      <w:r>
        <w:rPr>
          <w:rFonts w:hint="eastAsia"/>
          <w:color w:val="auto"/>
          <w:szCs w:val="28"/>
          <w:shd w:val="clear"/>
          <w:lang w:val="en-US" w:eastAsia="zh-CN"/>
        </w:rPr>
        <w:t>在县无不良地质</w:t>
      </w:r>
      <w:r>
        <w:rPr>
          <w:color w:val="auto"/>
          <w:szCs w:val="28"/>
          <w:shd w:val="clear"/>
        </w:rPr>
        <w:t>。该加油站所在地区域的地震设防烈度为</w:t>
      </w:r>
      <w:r>
        <w:rPr>
          <w:rFonts w:ascii="Times New Roman" w:hAnsi="Times New Roman"/>
          <w:color w:val="auto"/>
          <w:szCs w:val="28"/>
          <w:shd w:val="clear"/>
        </w:rPr>
        <w:t>6</w:t>
      </w:r>
      <w:r>
        <w:rPr>
          <w:color w:val="auto"/>
          <w:shd w:val="clear"/>
        </w:rPr>
        <w:t>度</w:t>
      </w:r>
      <w:r>
        <w:rPr>
          <w:color w:val="auto"/>
          <w:szCs w:val="28"/>
          <w:shd w:val="clear"/>
        </w:rPr>
        <w:t>，已</w:t>
      </w:r>
      <w:r>
        <w:rPr>
          <w:color w:val="auto"/>
          <w:szCs w:val="28"/>
        </w:rPr>
        <w:t>按照当地房屋建筑的抗震设防要求进行设</w:t>
      </w:r>
      <w:r>
        <w:rPr>
          <w:rFonts w:hint="default" w:ascii="Times New Roman" w:hAnsi="Times New Roman" w:cs="Times New Roman"/>
          <w:color w:val="auto"/>
          <w:szCs w:val="28"/>
        </w:rPr>
        <w:t>计。</w:t>
      </w:r>
    </w:p>
    <w:p w14:paraId="08BED98E">
      <w:pPr>
        <w:pStyle w:val="4"/>
        <w:spacing w:line="360" w:lineRule="auto"/>
        <w:jc w:val="both"/>
        <w:rPr>
          <w:rFonts w:hint="default" w:ascii="Times New Roman" w:hAnsi="Times New Roman" w:cs="Times New Roman"/>
          <w:color w:val="auto"/>
        </w:rPr>
      </w:pPr>
      <w:bookmarkStart w:id="376" w:name="_Toc21034"/>
      <w:bookmarkStart w:id="377" w:name="_Toc17729"/>
      <w:bookmarkStart w:id="378" w:name="_Toc12810"/>
      <w:r>
        <w:rPr>
          <w:rFonts w:hint="default" w:ascii="Times New Roman" w:hAnsi="Times New Roman" w:cs="Times New Roman"/>
          <w:color w:val="auto"/>
        </w:rPr>
        <w:t>7.2建设项目安全生产条件分析</w:t>
      </w:r>
      <w:bookmarkEnd w:id="374"/>
      <w:r>
        <w:rPr>
          <w:rFonts w:hint="default" w:ascii="Times New Roman" w:hAnsi="Times New Roman" w:cs="Times New Roman"/>
          <w:color w:val="auto"/>
        </w:rPr>
        <w:t>结果</w:t>
      </w:r>
      <w:bookmarkEnd w:id="375"/>
      <w:bookmarkEnd w:id="376"/>
      <w:bookmarkEnd w:id="377"/>
      <w:bookmarkEnd w:id="378"/>
    </w:p>
    <w:p w14:paraId="7C267C44">
      <w:pPr>
        <w:pStyle w:val="5"/>
        <w:spacing w:line="360" w:lineRule="auto"/>
        <w:ind w:left="0" w:leftChars="0" w:firstLine="0" w:firstLineChars="0"/>
        <w:rPr>
          <w:rFonts w:hint="default" w:ascii="Times New Roman" w:hAnsi="Times New Roman" w:cs="Times New Roman"/>
          <w:color w:val="auto"/>
        </w:rPr>
      </w:pPr>
      <w:bookmarkStart w:id="379" w:name="_Toc2691659"/>
      <w:bookmarkStart w:id="380" w:name="_Toc16441"/>
      <w:r>
        <w:rPr>
          <w:rFonts w:hint="default" w:ascii="Times New Roman" w:hAnsi="Times New Roman" w:cs="Times New Roman"/>
          <w:color w:val="auto"/>
        </w:rPr>
        <w:t>7.2.1建设项目采取的安全设施</w:t>
      </w:r>
      <w:bookmarkEnd w:id="379"/>
      <w:r>
        <w:rPr>
          <w:rFonts w:hint="default" w:ascii="Times New Roman" w:hAnsi="Times New Roman" w:cs="Times New Roman"/>
          <w:color w:val="auto"/>
        </w:rPr>
        <w:t>落实情况</w:t>
      </w:r>
      <w:bookmarkEnd w:id="380"/>
    </w:p>
    <w:p w14:paraId="06EF6F91">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根据该加油站安全设施设计的安全设施一览表，评价组编制了建设项目安全设施落实情况一览表，详见表7.2-1。</w:t>
      </w:r>
    </w:p>
    <w:p w14:paraId="40605A06">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表7.2-1 该加油站安全设施落实情况一览表</w:t>
      </w:r>
    </w:p>
    <w:tbl>
      <w:tblPr>
        <w:tblStyle w:val="48"/>
        <w:tblW w:w="4935" w:type="pct"/>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Layout w:type="autofit"/>
        <w:tblCellMar>
          <w:top w:w="0" w:type="dxa"/>
          <w:left w:w="108" w:type="dxa"/>
          <w:bottom w:w="0" w:type="dxa"/>
          <w:right w:w="108" w:type="dxa"/>
        </w:tblCellMar>
      </w:tblPr>
      <w:tblGrid>
        <w:gridCol w:w="427"/>
        <w:gridCol w:w="1752"/>
        <w:gridCol w:w="1785"/>
        <w:gridCol w:w="856"/>
        <w:gridCol w:w="1720"/>
        <w:gridCol w:w="1826"/>
        <w:gridCol w:w="911"/>
      </w:tblGrid>
      <w:tr w14:paraId="7CDDD30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638" w:hRule="atLeast"/>
          <w:tblHeader/>
        </w:trPr>
        <w:tc>
          <w:tcPr>
            <w:tcW w:w="230" w:type="pct"/>
            <w:tcBorders>
              <w:tl2br w:val="nil"/>
              <w:tr2bl w:val="nil"/>
            </w:tcBorders>
            <w:noWrap w:val="0"/>
            <w:vAlign w:val="center"/>
          </w:tcPr>
          <w:p w14:paraId="64EA9A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序号</w:t>
            </w:r>
          </w:p>
        </w:tc>
        <w:tc>
          <w:tcPr>
            <w:tcW w:w="1906" w:type="pct"/>
            <w:gridSpan w:val="2"/>
            <w:tcBorders>
              <w:tl2br w:val="nil"/>
              <w:tr2bl w:val="nil"/>
            </w:tcBorders>
            <w:noWrap w:val="0"/>
            <w:vAlign w:val="center"/>
          </w:tcPr>
          <w:p w14:paraId="7FED4D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安全设施类别</w:t>
            </w:r>
          </w:p>
        </w:tc>
        <w:tc>
          <w:tcPr>
            <w:tcW w:w="461" w:type="pct"/>
            <w:tcBorders>
              <w:tl2br w:val="nil"/>
              <w:tr2bl w:val="nil"/>
            </w:tcBorders>
            <w:noWrap w:val="0"/>
            <w:vAlign w:val="center"/>
          </w:tcPr>
          <w:p w14:paraId="327376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数量</w:t>
            </w:r>
          </w:p>
        </w:tc>
        <w:tc>
          <w:tcPr>
            <w:tcW w:w="927" w:type="pct"/>
            <w:tcBorders>
              <w:tl2br w:val="nil"/>
              <w:tr2bl w:val="nil"/>
            </w:tcBorders>
            <w:noWrap w:val="0"/>
            <w:vAlign w:val="center"/>
          </w:tcPr>
          <w:p w14:paraId="797CBA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安全设施名称</w:t>
            </w:r>
          </w:p>
        </w:tc>
        <w:tc>
          <w:tcPr>
            <w:tcW w:w="984" w:type="pct"/>
            <w:tcBorders>
              <w:tl2br w:val="nil"/>
              <w:tr2bl w:val="nil"/>
            </w:tcBorders>
            <w:noWrap w:val="0"/>
            <w:vAlign w:val="center"/>
          </w:tcPr>
          <w:p w14:paraId="6DCD70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安装位置</w:t>
            </w:r>
          </w:p>
        </w:tc>
        <w:tc>
          <w:tcPr>
            <w:tcW w:w="489" w:type="pct"/>
            <w:tcBorders>
              <w:tl2br w:val="nil"/>
              <w:tr2bl w:val="nil"/>
            </w:tcBorders>
            <w:noWrap w:val="0"/>
            <w:vAlign w:val="center"/>
          </w:tcPr>
          <w:p w14:paraId="4EEA49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auto"/>
                <w:kern w:val="2"/>
                <w:sz w:val="21"/>
                <w:szCs w:val="21"/>
                <w:highlight w:val="none"/>
                <w:lang w:val="en-US" w:eastAsia="zh-CN" w:bidi="ar-SA"/>
              </w:rPr>
            </w:pPr>
            <w:r>
              <w:rPr>
                <w:rFonts w:hint="default" w:ascii="Times New Roman" w:hAnsi="Times New Roman" w:eastAsia="宋体" w:cs="Times New Roman"/>
                <w:b/>
                <w:color w:val="auto"/>
                <w:kern w:val="2"/>
                <w:sz w:val="21"/>
                <w:szCs w:val="21"/>
                <w:highlight w:val="none"/>
                <w:lang w:val="en-US" w:eastAsia="zh-CN" w:bidi="ar-SA"/>
              </w:rPr>
              <w:t>结论</w:t>
            </w:r>
          </w:p>
        </w:tc>
      </w:tr>
      <w:tr w14:paraId="7342B547">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7C2925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一</w:t>
            </w:r>
          </w:p>
        </w:tc>
        <w:tc>
          <w:tcPr>
            <w:tcW w:w="4769" w:type="pct"/>
            <w:gridSpan w:val="6"/>
            <w:tcBorders>
              <w:tl2br w:val="nil"/>
              <w:tr2bl w:val="nil"/>
            </w:tcBorders>
            <w:noWrap w:val="0"/>
            <w:vAlign w:val="center"/>
          </w:tcPr>
          <w:p w14:paraId="20AA3731">
            <w:pPr>
              <w:keepNext w:val="0"/>
              <w:keepLines w:val="0"/>
              <w:pageBreakBefore w:val="0"/>
              <w:widowControl w:val="0"/>
              <w:suppressLineNumbers w:val="0"/>
              <w:tabs>
                <w:tab w:val="center" w:pos="4316"/>
                <w:tab w:val="left" w:pos="6047"/>
              </w:tabs>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预防事故设施</w:t>
            </w:r>
          </w:p>
        </w:tc>
      </w:tr>
      <w:tr w14:paraId="0D9DA97D">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vMerge w:val="restart"/>
            <w:tcBorders>
              <w:tl2br w:val="nil"/>
              <w:tr2bl w:val="nil"/>
            </w:tcBorders>
            <w:noWrap w:val="0"/>
            <w:vAlign w:val="center"/>
          </w:tcPr>
          <w:p w14:paraId="6CEBCC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44" w:type="pct"/>
            <w:vMerge w:val="restart"/>
            <w:tcBorders>
              <w:tl2br w:val="nil"/>
              <w:tr2bl w:val="nil"/>
            </w:tcBorders>
            <w:noWrap w:val="0"/>
            <w:vAlign w:val="center"/>
          </w:tcPr>
          <w:p w14:paraId="703267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油罐液位检测</w:t>
            </w:r>
          </w:p>
        </w:tc>
        <w:tc>
          <w:tcPr>
            <w:tcW w:w="962" w:type="pct"/>
            <w:tcBorders>
              <w:tl2br w:val="nil"/>
              <w:tr2bl w:val="nil"/>
            </w:tcBorders>
            <w:noWrap w:val="0"/>
            <w:vAlign w:val="center"/>
          </w:tcPr>
          <w:p w14:paraId="027A64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防爆型磁致伸缩液位探棒</w:t>
            </w:r>
          </w:p>
        </w:tc>
        <w:tc>
          <w:tcPr>
            <w:tcW w:w="461" w:type="pct"/>
            <w:tcBorders>
              <w:tl2br w:val="nil"/>
              <w:tr2bl w:val="nil"/>
            </w:tcBorders>
            <w:noWrap w:val="0"/>
            <w:vAlign w:val="center"/>
          </w:tcPr>
          <w:p w14:paraId="1AF26C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个</w:t>
            </w:r>
          </w:p>
        </w:tc>
        <w:tc>
          <w:tcPr>
            <w:tcW w:w="927" w:type="pct"/>
            <w:tcBorders>
              <w:tl2br w:val="nil"/>
              <w:tr2bl w:val="nil"/>
            </w:tcBorders>
            <w:noWrap w:val="0"/>
            <w:vAlign w:val="center"/>
          </w:tcPr>
          <w:p w14:paraId="6B704C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液位监测</w:t>
            </w:r>
          </w:p>
        </w:tc>
        <w:tc>
          <w:tcPr>
            <w:tcW w:w="984" w:type="pct"/>
            <w:tcBorders>
              <w:tl2br w:val="nil"/>
              <w:tr2bl w:val="nil"/>
            </w:tcBorders>
            <w:noWrap w:val="0"/>
            <w:vAlign w:val="center"/>
          </w:tcPr>
          <w:p w14:paraId="178654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油罐区</w:t>
            </w:r>
          </w:p>
        </w:tc>
        <w:tc>
          <w:tcPr>
            <w:tcW w:w="489" w:type="pct"/>
            <w:tcBorders>
              <w:tl2br w:val="nil"/>
              <w:tr2bl w:val="nil"/>
            </w:tcBorders>
            <w:noWrap w:val="0"/>
            <w:vAlign w:val="center"/>
          </w:tcPr>
          <w:p w14:paraId="1A1FDB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5615B3B8">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5A85F2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03E3AA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noWrap w:val="0"/>
            <w:vAlign w:val="center"/>
          </w:tcPr>
          <w:p w14:paraId="026F1E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TLS-4</w:t>
            </w:r>
          </w:p>
        </w:tc>
        <w:tc>
          <w:tcPr>
            <w:tcW w:w="461" w:type="pct"/>
            <w:tcBorders>
              <w:tl2br w:val="nil"/>
              <w:tr2bl w:val="nil"/>
            </w:tcBorders>
            <w:noWrap w:val="0"/>
            <w:vAlign w:val="center"/>
          </w:tcPr>
          <w:p w14:paraId="44A672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1套</w:t>
            </w:r>
          </w:p>
        </w:tc>
        <w:tc>
          <w:tcPr>
            <w:tcW w:w="927" w:type="pct"/>
            <w:tcBorders>
              <w:tl2br w:val="nil"/>
              <w:tr2bl w:val="nil"/>
            </w:tcBorders>
            <w:noWrap w:val="0"/>
            <w:vAlign w:val="center"/>
          </w:tcPr>
          <w:p w14:paraId="4990DA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液位监测、报警</w:t>
            </w:r>
          </w:p>
        </w:tc>
        <w:tc>
          <w:tcPr>
            <w:tcW w:w="984" w:type="pct"/>
            <w:tcBorders>
              <w:tl2br w:val="nil"/>
              <w:tr2bl w:val="nil"/>
            </w:tcBorders>
            <w:noWrap w:val="0"/>
            <w:vAlign w:val="center"/>
          </w:tcPr>
          <w:p w14:paraId="61AC5F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办公室</w:t>
            </w:r>
          </w:p>
        </w:tc>
        <w:tc>
          <w:tcPr>
            <w:tcW w:w="489" w:type="pct"/>
            <w:tcBorders>
              <w:tl2br w:val="nil"/>
              <w:tr2bl w:val="nil"/>
            </w:tcBorders>
            <w:noWrap w:val="0"/>
            <w:vAlign w:val="center"/>
          </w:tcPr>
          <w:p w14:paraId="6F3602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685194DE">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7C66E5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6E506D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2E014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高液位报警</w:t>
            </w:r>
          </w:p>
        </w:tc>
        <w:tc>
          <w:tcPr>
            <w:tcW w:w="461" w:type="pct"/>
            <w:tcBorders>
              <w:tl2br w:val="nil"/>
              <w:tr2bl w:val="nil"/>
            </w:tcBorders>
            <w:shd w:val="clear" w:color="auto" w:fill="auto"/>
            <w:noWrap w:val="0"/>
            <w:vAlign w:val="center"/>
          </w:tcPr>
          <w:p w14:paraId="50400B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w:t>
            </w:r>
            <w:r>
              <w:rPr>
                <w:rFonts w:hint="eastAsia" w:ascii="Times New Roman" w:hAnsi="Times New Roman" w:eastAsia="宋体" w:cs="Times New Roman"/>
                <w:color w:val="auto"/>
                <w:sz w:val="21"/>
                <w:szCs w:val="21"/>
                <w:highlight w:val="none"/>
              </w:rPr>
              <w:t>处</w:t>
            </w:r>
          </w:p>
        </w:tc>
        <w:tc>
          <w:tcPr>
            <w:tcW w:w="927" w:type="pct"/>
            <w:tcBorders>
              <w:tl2br w:val="nil"/>
              <w:tr2bl w:val="nil"/>
            </w:tcBorders>
            <w:noWrap w:val="0"/>
            <w:vAlign w:val="center"/>
          </w:tcPr>
          <w:p w14:paraId="19F447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84" w:type="pct"/>
            <w:tcBorders>
              <w:tl2br w:val="nil"/>
              <w:tr2bl w:val="nil"/>
            </w:tcBorders>
            <w:noWrap w:val="0"/>
            <w:vAlign w:val="center"/>
          </w:tcPr>
          <w:p w14:paraId="15FDEB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卸油口</w:t>
            </w:r>
            <w:r>
              <w:rPr>
                <w:rFonts w:hint="default" w:ascii="Times New Roman" w:hAnsi="Times New Roman" w:eastAsia="宋体" w:cs="Times New Roman"/>
                <w:color w:val="auto"/>
                <w:sz w:val="21"/>
                <w:szCs w:val="21"/>
                <w:highlight w:val="none"/>
              </w:rPr>
              <w:t>旁、收银台</w:t>
            </w:r>
          </w:p>
        </w:tc>
        <w:tc>
          <w:tcPr>
            <w:tcW w:w="489" w:type="pct"/>
            <w:tcBorders>
              <w:tl2br w:val="nil"/>
              <w:tr2bl w:val="nil"/>
            </w:tcBorders>
            <w:noWrap w:val="0"/>
            <w:vAlign w:val="center"/>
          </w:tcPr>
          <w:p w14:paraId="785CE4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6D3439E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4DA8C3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7CE6E6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22E3A2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渗漏检测系统</w:t>
            </w:r>
          </w:p>
        </w:tc>
        <w:tc>
          <w:tcPr>
            <w:tcW w:w="461" w:type="pct"/>
            <w:tcBorders>
              <w:tl2br w:val="nil"/>
              <w:tr2bl w:val="nil"/>
            </w:tcBorders>
            <w:shd w:val="clear" w:color="auto" w:fill="auto"/>
            <w:noWrap w:val="0"/>
            <w:vAlign w:val="center"/>
          </w:tcPr>
          <w:p w14:paraId="53DB3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1套</w:t>
            </w:r>
          </w:p>
        </w:tc>
        <w:tc>
          <w:tcPr>
            <w:tcW w:w="927" w:type="pct"/>
            <w:tcBorders>
              <w:tl2br w:val="nil"/>
              <w:tr2bl w:val="nil"/>
            </w:tcBorders>
            <w:shd w:val="clear" w:color="auto" w:fill="auto"/>
            <w:noWrap w:val="0"/>
            <w:vAlign w:val="center"/>
          </w:tcPr>
          <w:p w14:paraId="7C17A1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渗漏检测</w:t>
            </w:r>
          </w:p>
        </w:tc>
        <w:tc>
          <w:tcPr>
            <w:tcW w:w="984" w:type="pct"/>
            <w:tcBorders>
              <w:tl2br w:val="nil"/>
              <w:tr2bl w:val="nil"/>
            </w:tcBorders>
            <w:shd w:val="clear" w:color="auto" w:fill="auto"/>
            <w:noWrap w:val="0"/>
            <w:vAlign w:val="center"/>
          </w:tcPr>
          <w:p w14:paraId="39C904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油罐</w:t>
            </w:r>
          </w:p>
        </w:tc>
        <w:tc>
          <w:tcPr>
            <w:tcW w:w="489" w:type="pct"/>
            <w:tcBorders>
              <w:tl2br w:val="nil"/>
              <w:tr2bl w:val="nil"/>
            </w:tcBorders>
            <w:noWrap w:val="0"/>
            <w:vAlign w:val="center"/>
          </w:tcPr>
          <w:p w14:paraId="59F92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740C3B87">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4DA205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5A5686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640543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渗漏监测控制器</w:t>
            </w:r>
          </w:p>
        </w:tc>
        <w:tc>
          <w:tcPr>
            <w:tcW w:w="461" w:type="pct"/>
            <w:tcBorders>
              <w:tl2br w:val="nil"/>
              <w:tr2bl w:val="nil"/>
            </w:tcBorders>
            <w:shd w:val="clear" w:color="auto" w:fill="auto"/>
            <w:noWrap w:val="0"/>
            <w:vAlign w:val="center"/>
          </w:tcPr>
          <w:p w14:paraId="6B239A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1台</w:t>
            </w:r>
          </w:p>
        </w:tc>
        <w:tc>
          <w:tcPr>
            <w:tcW w:w="927" w:type="pct"/>
            <w:tcBorders>
              <w:tl2br w:val="nil"/>
              <w:tr2bl w:val="nil"/>
            </w:tcBorders>
            <w:shd w:val="clear" w:color="auto" w:fill="auto"/>
            <w:noWrap w:val="0"/>
            <w:vAlign w:val="center"/>
          </w:tcPr>
          <w:p w14:paraId="360BB1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监测、报警</w:t>
            </w:r>
          </w:p>
        </w:tc>
        <w:tc>
          <w:tcPr>
            <w:tcW w:w="984" w:type="pct"/>
            <w:tcBorders>
              <w:tl2br w:val="nil"/>
              <w:tr2bl w:val="nil"/>
            </w:tcBorders>
            <w:shd w:val="clear" w:color="auto" w:fill="auto"/>
            <w:noWrap w:val="0"/>
            <w:vAlign w:val="center"/>
          </w:tcPr>
          <w:p w14:paraId="72B2E8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办公室</w:t>
            </w:r>
          </w:p>
        </w:tc>
        <w:tc>
          <w:tcPr>
            <w:tcW w:w="489" w:type="pct"/>
            <w:tcBorders>
              <w:tl2br w:val="nil"/>
              <w:tr2bl w:val="nil"/>
            </w:tcBorders>
            <w:noWrap w:val="0"/>
            <w:vAlign w:val="center"/>
          </w:tcPr>
          <w:p w14:paraId="3602BA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699F7D79">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1AA1B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12BF5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防雨型阻火器</w:t>
            </w:r>
          </w:p>
        </w:tc>
        <w:tc>
          <w:tcPr>
            <w:tcW w:w="962" w:type="pct"/>
            <w:tcBorders>
              <w:tl2br w:val="nil"/>
              <w:tr2bl w:val="nil"/>
            </w:tcBorders>
            <w:shd w:val="clear" w:color="auto" w:fill="auto"/>
            <w:noWrap w:val="0"/>
            <w:vAlign w:val="center"/>
          </w:tcPr>
          <w:p w14:paraId="4D60B7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DN</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0</w:t>
            </w:r>
          </w:p>
        </w:tc>
        <w:tc>
          <w:tcPr>
            <w:tcW w:w="461" w:type="pct"/>
            <w:tcBorders>
              <w:tl2br w:val="nil"/>
              <w:tr2bl w:val="nil"/>
            </w:tcBorders>
            <w:shd w:val="clear" w:color="auto" w:fill="auto"/>
            <w:noWrap w:val="0"/>
            <w:vAlign w:val="center"/>
          </w:tcPr>
          <w:p w14:paraId="3A67D0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rPr>
              <w:t>个</w:t>
            </w:r>
          </w:p>
        </w:tc>
        <w:tc>
          <w:tcPr>
            <w:tcW w:w="927" w:type="pct"/>
            <w:tcBorders>
              <w:tl2br w:val="nil"/>
              <w:tr2bl w:val="nil"/>
            </w:tcBorders>
            <w:shd w:val="clear" w:color="auto" w:fill="auto"/>
            <w:noWrap w:val="0"/>
            <w:vAlign w:val="center"/>
          </w:tcPr>
          <w:p w14:paraId="752EBB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防雨</w:t>
            </w:r>
          </w:p>
        </w:tc>
        <w:tc>
          <w:tcPr>
            <w:tcW w:w="984" w:type="pct"/>
            <w:tcBorders>
              <w:tl2br w:val="nil"/>
              <w:tr2bl w:val="nil"/>
            </w:tcBorders>
            <w:shd w:val="clear" w:color="auto" w:fill="auto"/>
            <w:noWrap w:val="0"/>
            <w:vAlign w:val="center"/>
          </w:tcPr>
          <w:p w14:paraId="345FC1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油罐区</w:t>
            </w:r>
          </w:p>
        </w:tc>
        <w:tc>
          <w:tcPr>
            <w:tcW w:w="489" w:type="pct"/>
            <w:tcBorders>
              <w:tl2br w:val="nil"/>
              <w:tr2bl w:val="nil"/>
            </w:tcBorders>
            <w:noWrap w:val="0"/>
            <w:vAlign w:val="center"/>
          </w:tcPr>
          <w:p w14:paraId="483422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06268B5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294" w:hRule="atLeast"/>
        </w:trPr>
        <w:tc>
          <w:tcPr>
            <w:tcW w:w="230" w:type="pct"/>
            <w:vMerge w:val="continue"/>
            <w:tcBorders>
              <w:tl2br w:val="nil"/>
              <w:tr2bl w:val="nil"/>
            </w:tcBorders>
            <w:noWrap w:val="0"/>
            <w:vAlign w:val="center"/>
          </w:tcPr>
          <w:p w14:paraId="177C38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2C203B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机械呼吸阀</w:t>
            </w:r>
          </w:p>
        </w:tc>
        <w:tc>
          <w:tcPr>
            <w:tcW w:w="962" w:type="pct"/>
            <w:tcBorders>
              <w:tl2br w:val="nil"/>
              <w:tr2bl w:val="nil"/>
            </w:tcBorders>
            <w:shd w:val="clear" w:color="auto" w:fill="auto"/>
            <w:noWrap w:val="0"/>
            <w:vAlign w:val="center"/>
          </w:tcPr>
          <w:p w14:paraId="6F42C9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DN</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0</w:t>
            </w:r>
          </w:p>
        </w:tc>
        <w:tc>
          <w:tcPr>
            <w:tcW w:w="461" w:type="pct"/>
            <w:tcBorders>
              <w:tl2br w:val="nil"/>
              <w:tr2bl w:val="nil"/>
            </w:tcBorders>
            <w:shd w:val="clear" w:color="auto" w:fill="auto"/>
            <w:noWrap w:val="0"/>
            <w:vAlign w:val="center"/>
          </w:tcPr>
          <w:p w14:paraId="38F90B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1个</w:t>
            </w:r>
          </w:p>
        </w:tc>
        <w:tc>
          <w:tcPr>
            <w:tcW w:w="927" w:type="pct"/>
            <w:tcBorders>
              <w:tl2br w:val="nil"/>
              <w:tr2bl w:val="nil"/>
            </w:tcBorders>
            <w:shd w:val="clear" w:color="auto" w:fill="auto"/>
            <w:noWrap w:val="0"/>
            <w:vAlign w:val="center"/>
          </w:tcPr>
          <w:p w14:paraId="30E18F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防雨</w:t>
            </w:r>
          </w:p>
        </w:tc>
        <w:tc>
          <w:tcPr>
            <w:tcW w:w="984" w:type="pct"/>
            <w:tcBorders>
              <w:tl2br w:val="nil"/>
              <w:tr2bl w:val="nil"/>
            </w:tcBorders>
            <w:shd w:val="clear" w:color="auto" w:fill="auto"/>
            <w:noWrap w:val="0"/>
            <w:vAlign w:val="center"/>
          </w:tcPr>
          <w:p w14:paraId="08B2DF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油罐区</w:t>
            </w:r>
          </w:p>
        </w:tc>
        <w:tc>
          <w:tcPr>
            <w:tcW w:w="489" w:type="pct"/>
            <w:tcBorders>
              <w:tl2br w:val="nil"/>
              <w:tr2bl w:val="nil"/>
            </w:tcBorders>
            <w:noWrap w:val="0"/>
            <w:vAlign w:val="center"/>
          </w:tcPr>
          <w:p w14:paraId="7CCA23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635CD5A2">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294" w:hRule="atLeast"/>
        </w:trPr>
        <w:tc>
          <w:tcPr>
            <w:tcW w:w="230" w:type="pct"/>
            <w:vMerge w:val="continue"/>
            <w:tcBorders>
              <w:tl2br w:val="nil"/>
              <w:tr2bl w:val="nil"/>
            </w:tcBorders>
            <w:noWrap w:val="0"/>
            <w:vAlign w:val="center"/>
          </w:tcPr>
          <w:p w14:paraId="15BC1C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46EBED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密闭卸油口箱</w:t>
            </w:r>
          </w:p>
        </w:tc>
        <w:tc>
          <w:tcPr>
            <w:tcW w:w="962" w:type="pct"/>
            <w:tcBorders>
              <w:tl2br w:val="nil"/>
              <w:tr2bl w:val="nil"/>
            </w:tcBorders>
            <w:shd w:val="clear" w:color="auto" w:fill="auto"/>
            <w:noWrap w:val="0"/>
            <w:vAlign w:val="center"/>
          </w:tcPr>
          <w:p w14:paraId="32AE2C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3AFBB8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1个</w:t>
            </w:r>
          </w:p>
        </w:tc>
        <w:tc>
          <w:tcPr>
            <w:tcW w:w="927" w:type="pct"/>
            <w:tcBorders>
              <w:tl2br w:val="nil"/>
              <w:tr2bl w:val="nil"/>
            </w:tcBorders>
            <w:shd w:val="clear" w:color="auto" w:fill="auto"/>
            <w:noWrap w:val="0"/>
            <w:vAlign w:val="center"/>
          </w:tcPr>
          <w:p w14:paraId="476C42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5CB2D8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卸油区</w:t>
            </w:r>
          </w:p>
        </w:tc>
        <w:tc>
          <w:tcPr>
            <w:tcW w:w="489" w:type="pct"/>
            <w:tcBorders>
              <w:tl2br w:val="nil"/>
              <w:tr2bl w:val="nil"/>
            </w:tcBorders>
            <w:noWrap w:val="0"/>
            <w:vAlign w:val="center"/>
          </w:tcPr>
          <w:p w14:paraId="37CD3F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36972E9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vMerge w:val="continue"/>
            <w:tcBorders>
              <w:tl2br w:val="nil"/>
              <w:tr2bl w:val="nil"/>
            </w:tcBorders>
            <w:noWrap w:val="0"/>
            <w:vAlign w:val="center"/>
          </w:tcPr>
          <w:p w14:paraId="59D381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0E1408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加油油气回收系统</w:t>
            </w:r>
          </w:p>
        </w:tc>
        <w:tc>
          <w:tcPr>
            <w:tcW w:w="962" w:type="pct"/>
            <w:tcBorders>
              <w:tl2br w:val="nil"/>
              <w:tr2bl w:val="nil"/>
            </w:tcBorders>
            <w:shd w:val="clear" w:color="auto" w:fill="auto"/>
            <w:noWrap w:val="0"/>
            <w:vAlign w:val="center"/>
          </w:tcPr>
          <w:p w14:paraId="021522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114EEE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1套</w:t>
            </w:r>
          </w:p>
        </w:tc>
        <w:tc>
          <w:tcPr>
            <w:tcW w:w="927" w:type="pct"/>
            <w:tcBorders>
              <w:tl2br w:val="nil"/>
              <w:tr2bl w:val="nil"/>
            </w:tcBorders>
            <w:shd w:val="clear" w:color="auto" w:fill="auto"/>
            <w:noWrap w:val="0"/>
            <w:vAlign w:val="center"/>
          </w:tcPr>
          <w:p w14:paraId="7581D1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7BCDF7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加油机</w:t>
            </w:r>
          </w:p>
        </w:tc>
        <w:tc>
          <w:tcPr>
            <w:tcW w:w="489" w:type="pct"/>
            <w:tcBorders>
              <w:tl2br w:val="nil"/>
              <w:tr2bl w:val="nil"/>
            </w:tcBorders>
            <w:noWrap w:val="0"/>
            <w:vAlign w:val="center"/>
          </w:tcPr>
          <w:p w14:paraId="0E6DE2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3688518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vMerge w:val="continue"/>
            <w:tcBorders>
              <w:tl2br w:val="nil"/>
              <w:tr2bl w:val="nil"/>
            </w:tcBorders>
            <w:noWrap w:val="0"/>
            <w:vAlign w:val="center"/>
          </w:tcPr>
          <w:p w14:paraId="04E4C8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6A956C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卸油油气回收系统</w:t>
            </w:r>
          </w:p>
        </w:tc>
        <w:tc>
          <w:tcPr>
            <w:tcW w:w="962" w:type="pct"/>
            <w:tcBorders>
              <w:tl2br w:val="nil"/>
              <w:tr2bl w:val="nil"/>
            </w:tcBorders>
            <w:shd w:val="clear" w:color="auto" w:fill="auto"/>
            <w:noWrap w:val="0"/>
            <w:vAlign w:val="center"/>
          </w:tcPr>
          <w:p w14:paraId="1EEB94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6EE8FD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1套</w:t>
            </w:r>
          </w:p>
        </w:tc>
        <w:tc>
          <w:tcPr>
            <w:tcW w:w="927" w:type="pct"/>
            <w:tcBorders>
              <w:tl2br w:val="nil"/>
              <w:tr2bl w:val="nil"/>
            </w:tcBorders>
            <w:shd w:val="clear" w:color="auto" w:fill="auto"/>
            <w:noWrap w:val="0"/>
            <w:vAlign w:val="center"/>
          </w:tcPr>
          <w:p w14:paraId="3C2AA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201173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油罐区</w:t>
            </w:r>
          </w:p>
        </w:tc>
        <w:tc>
          <w:tcPr>
            <w:tcW w:w="489" w:type="pct"/>
            <w:tcBorders>
              <w:tl2br w:val="nil"/>
              <w:tr2bl w:val="nil"/>
            </w:tcBorders>
            <w:noWrap w:val="0"/>
            <w:vAlign w:val="center"/>
          </w:tcPr>
          <w:p w14:paraId="40C3C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5ED85C01">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45484F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tcBorders>
              <w:tl2br w:val="nil"/>
              <w:tr2bl w:val="nil"/>
            </w:tcBorders>
            <w:shd w:val="clear" w:color="auto" w:fill="auto"/>
            <w:noWrap w:val="0"/>
            <w:vAlign w:val="center"/>
          </w:tcPr>
          <w:p w14:paraId="292989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防撞柱</w:t>
            </w:r>
          </w:p>
        </w:tc>
        <w:tc>
          <w:tcPr>
            <w:tcW w:w="962" w:type="pct"/>
            <w:tcBorders>
              <w:tl2br w:val="nil"/>
              <w:tr2bl w:val="nil"/>
            </w:tcBorders>
            <w:shd w:val="clear" w:color="auto" w:fill="auto"/>
            <w:noWrap w:val="0"/>
            <w:vAlign w:val="center"/>
          </w:tcPr>
          <w:p w14:paraId="334B94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0DCE27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套</w:t>
            </w:r>
          </w:p>
        </w:tc>
        <w:tc>
          <w:tcPr>
            <w:tcW w:w="927" w:type="pct"/>
            <w:tcBorders>
              <w:tl2br w:val="nil"/>
              <w:tr2bl w:val="nil"/>
            </w:tcBorders>
            <w:shd w:val="clear" w:color="auto" w:fill="auto"/>
            <w:noWrap w:val="0"/>
            <w:vAlign w:val="center"/>
          </w:tcPr>
          <w:p w14:paraId="62F395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525622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加油岛</w:t>
            </w:r>
          </w:p>
        </w:tc>
        <w:tc>
          <w:tcPr>
            <w:tcW w:w="489" w:type="pct"/>
            <w:tcBorders>
              <w:tl2br w:val="nil"/>
              <w:tr2bl w:val="nil"/>
            </w:tcBorders>
            <w:noWrap w:val="0"/>
            <w:vAlign w:val="center"/>
          </w:tcPr>
          <w:p w14:paraId="26800B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02E19338">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restart"/>
            <w:tcBorders>
              <w:tl2br w:val="nil"/>
              <w:tr2bl w:val="nil"/>
            </w:tcBorders>
            <w:noWrap w:val="0"/>
            <w:vAlign w:val="center"/>
          </w:tcPr>
          <w:p w14:paraId="343FE2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944" w:type="pct"/>
            <w:vMerge w:val="restart"/>
            <w:tcBorders>
              <w:tl2br w:val="nil"/>
              <w:tr2bl w:val="nil"/>
            </w:tcBorders>
            <w:noWrap w:val="0"/>
            <w:vAlign w:val="center"/>
          </w:tcPr>
          <w:p w14:paraId="2781B5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防雷防静电</w:t>
            </w:r>
          </w:p>
        </w:tc>
        <w:tc>
          <w:tcPr>
            <w:tcW w:w="962" w:type="pct"/>
            <w:tcBorders>
              <w:tl2br w:val="nil"/>
              <w:tr2bl w:val="nil"/>
            </w:tcBorders>
            <w:shd w:val="clear" w:color="auto" w:fill="auto"/>
            <w:noWrap w:val="0"/>
            <w:vAlign w:val="center"/>
          </w:tcPr>
          <w:p w14:paraId="62DEFA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Φ10热镀锌圆钢</w:t>
            </w:r>
          </w:p>
        </w:tc>
        <w:tc>
          <w:tcPr>
            <w:tcW w:w="461" w:type="pct"/>
            <w:tcBorders>
              <w:tl2br w:val="nil"/>
              <w:tr2bl w:val="nil"/>
            </w:tcBorders>
            <w:shd w:val="clear" w:color="auto" w:fill="auto"/>
            <w:noWrap w:val="0"/>
            <w:tcMar>
              <w:left w:w="11" w:type="dxa"/>
              <w:right w:w="11" w:type="dxa"/>
            </w:tcMar>
            <w:vAlign w:val="center"/>
          </w:tcPr>
          <w:p w14:paraId="3D7580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若干</w:t>
            </w:r>
          </w:p>
        </w:tc>
        <w:tc>
          <w:tcPr>
            <w:tcW w:w="927" w:type="pct"/>
            <w:tcBorders>
              <w:tl2br w:val="nil"/>
              <w:tr2bl w:val="nil"/>
            </w:tcBorders>
            <w:shd w:val="clear" w:color="auto" w:fill="auto"/>
            <w:noWrap w:val="0"/>
            <w:vAlign w:val="center"/>
          </w:tcPr>
          <w:p w14:paraId="3511B1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3785A1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罩棚、站房</w:t>
            </w:r>
          </w:p>
        </w:tc>
        <w:tc>
          <w:tcPr>
            <w:tcW w:w="489" w:type="pct"/>
            <w:vMerge w:val="restart"/>
            <w:tcBorders>
              <w:tl2br w:val="nil"/>
              <w:tr2bl w:val="nil"/>
            </w:tcBorders>
            <w:noWrap w:val="0"/>
            <w:vAlign w:val="center"/>
          </w:tcPr>
          <w:p w14:paraId="5E1E10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49B060CE">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034E3E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4C36C6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62" w:type="pct"/>
            <w:vMerge w:val="restart"/>
            <w:tcBorders>
              <w:tl2br w:val="nil"/>
              <w:tr2bl w:val="nil"/>
            </w:tcBorders>
            <w:noWrap w:val="0"/>
            <w:vAlign w:val="center"/>
          </w:tcPr>
          <w:p w14:paraId="34CB65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静电接地设施</w:t>
            </w:r>
          </w:p>
        </w:tc>
        <w:tc>
          <w:tcPr>
            <w:tcW w:w="461" w:type="pct"/>
            <w:tcBorders>
              <w:tl2br w:val="nil"/>
              <w:tr2bl w:val="nil"/>
            </w:tcBorders>
            <w:shd w:val="clear" w:color="auto" w:fill="auto"/>
            <w:noWrap w:val="0"/>
            <w:vAlign w:val="center"/>
          </w:tcPr>
          <w:p w14:paraId="0ACD79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若干</w:t>
            </w:r>
          </w:p>
        </w:tc>
        <w:tc>
          <w:tcPr>
            <w:tcW w:w="927" w:type="pct"/>
            <w:tcBorders>
              <w:tl2br w:val="nil"/>
              <w:tr2bl w:val="nil"/>
            </w:tcBorders>
            <w:shd w:val="clear" w:color="auto" w:fill="auto"/>
            <w:noWrap w:val="0"/>
            <w:vAlign w:val="center"/>
          </w:tcPr>
          <w:p w14:paraId="52B4A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接地线、跨接线</w:t>
            </w:r>
          </w:p>
        </w:tc>
        <w:tc>
          <w:tcPr>
            <w:tcW w:w="984" w:type="pct"/>
            <w:tcBorders>
              <w:tl2br w:val="nil"/>
              <w:tr2bl w:val="nil"/>
            </w:tcBorders>
            <w:shd w:val="clear" w:color="auto" w:fill="auto"/>
            <w:noWrap w:val="0"/>
            <w:vAlign w:val="center"/>
          </w:tcPr>
          <w:p w14:paraId="22AF82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加油机、油罐</w:t>
            </w:r>
          </w:p>
        </w:tc>
        <w:tc>
          <w:tcPr>
            <w:tcW w:w="489" w:type="pct"/>
            <w:vMerge w:val="continue"/>
            <w:tcBorders>
              <w:tl2br w:val="nil"/>
              <w:tr2bl w:val="nil"/>
            </w:tcBorders>
            <w:noWrap w:val="0"/>
            <w:vAlign w:val="center"/>
          </w:tcPr>
          <w:p w14:paraId="1D390A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14:paraId="53E34F1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5ADBFD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02227A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vMerge w:val="continue"/>
            <w:tcBorders>
              <w:tl2br w:val="nil"/>
              <w:tr2bl w:val="nil"/>
            </w:tcBorders>
            <w:noWrap w:val="0"/>
            <w:vAlign w:val="center"/>
          </w:tcPr>
          <w:p w14:paraId="36B6F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61" w:type="pct"/>
            <w:tcBorders>
              <w:tl2br w:val="nil"/>
              <w:tr2bl w:val="nil"/>
            </w:tcBorders>
            <w:shd w:val="clear" w:color="auto" w:fill="auto"/>
            <w:noWrap w:val="0"/>
            <w:vAlign w:val="center"/>
          </w:tcPr>
          <w:p w14:paraId="68B4DB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若干</w:t>
            </w:r>
          </w:p>
        </w:tc>
        <w:tc>
          <w:tcPr>
            <w:tcW w:w="927" w:type="pct"/>
            <w:tcBorders>
              <w:tl2br w:val="nil"/>
              <w:tr2bl w:val="nil"/>
            </w:tcBorders>
            <w:shd w:val="clear" w:color="auto" w:fill="auto"/>
            <w:noWrap w:val="0"/>
            <w:vAlign w:val="center"/>
          </w:tcPr>
          <w:p w14:paraId="041696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接地测试卡</w:t>
            </w:r>
          </w:p>
        </w:tc>
        <w:tc>
          <w:tcPr>
            <w:tcW w:w="984" w:type="pct"/>
            <w:tcBorders>
              <w:tl2br w:val="nil"/>
              <w:tr2bl w:val="nil"/>
            </w:tcBorders>
            <w:shd w:val="clear" w:color="auto" w:fill="auto"/>
            <w:noWrap w:val="0"/>
            <w:vAlign w:val="center"/>
          </w:tcPr>
          <w:p w14:paraId="36260A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油罐、站房、罩棚</w:t>
            </w:r>
          </w:p>
        </w:tc>
        <w:tc>
          <w:tcPr>
            <w:tcW w:w="489" w:type="pct"/>
            <w:vMerge w:val="continue"/>
            <w:tcBorders>
              <w:tl2br w:val="nil"/>
              <w:tr2bl w:val="nil"/>
            </w:tcBorders>
            <w:noWrap w:val="0"/>
            <w:vAlign w:val="center"/>
          </w:tcPr>
          <w:p w14:paraId="571B31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14:paraId="69F07FA2">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vMerge w:val="continue"/>
            <w:tcBorders>
              <w:tl2br w:val="nil"/>
              <w:tr2bl w:val="nil"/>
            </w:tcBorders>
            <w:noWrap w:val="0"/>
            <w:vAlign w:val="center"/>
          </w:tcPr>
          <w:p w14:paraId="7D06C9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55FE83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vMerge w:val="continue"/>
            <w:tcBorders>
              <w:tl2br w:val="nil"/>
              <w:tr2bl w:val="nil"/>
            </w:tcBorders>
            <w:noWrap w:val="0"/>
            <w:vAlign w:val="center"/>
          </w:tcPr>
          <w:p w14:paraId="21521D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61" w:type="pct"/>
            <w:tcBorders>
              <w:tl2br w:val="nil"/>
              <w:tr2bl w:val="nil"/>
            </w:tcBorders>
            <w:shd w:val="clear" w:color="auto" w:fill="auto"/>
            <w:noWrap w:val="0"/>
            <w:vAlign w:val="center"/>
          </w:tcPr>
          <w:p w14:paraId="5F0866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1个</w:t>
            </w:r>
          </w:p>
        </w:tc>
        <w:tc>
          <w:tcPr>
            <w:tcW w:w="927" w:type="pct"/>
            <w:tcBorders>
              <w:tl2br w:val="nil"/>
              <w:tr2bl w:val="nil"/>
            </w:tcBorders>
            <w:shd w:val="clear" w:color="auto" w:fill="auto"/>
            <w:noWrap w:val="0"/>
            <w:vAlign w:val="center"/>
          </w:tcPr>
          <w:p w14:paraId="06C64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人体静电释放装置</w:t>
            </w:r>
          </w:p>
        </w:tc>
        <w:tc>
          <w:tcPr>
            <w:tcW w:w="984" w:type="pct"/>
            <w:tcBorders>
              <w:tl2br w:val="nil"/>
              <w:tr2bl w:val="nil"/>
            </w:tcBorders>
            <w:shd w:val="clear" w:color="auto" w:fill="auto"/>
            <w:noWrap w:val="0"/>
            <w:vAlign w:val="center"/>
          </w:tcPr>
          <w:p w14:paraId="0B6C01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卸油口</w:t>
            </w:r>
          </w:p>
        </w:tc>
        <w:tc>
          <w:tcPr>
            <w:tcW w:w="489" w:type="pct"/>
            <w:vMerge w:val="continue"/>
            <w:tcBorders>
              <w:tl2br w:val="nil"/>
              <w:tr2bl w:val="nil"/>
            </w:tcBorders>
            <w:noWrap w:val="0"/>
            <w:vAlign w:val="center"/>
          </w:tcPr>
          <w:p w14:paraId="5E13BB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14:paraId="2508F35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15EEB9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15A020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vMerge w:val="continue"/>
            <w:tcBorders>
              <w:tl2br w:val="nil"/>
              <w:tr2bl w:val="nil"/>
            </w:tcBorders>
            <w:noWrap w:val="0"/>
            <w:vAlign w:val="center"/>
          </w:tcPr>
          <w:p w14:paraId="08EBA6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61" w:type="pct"/>
            <w:tcBorders>
              <w:tl2br w:val="nil"/>
              <w:tr2bl w:val="nil"/>
            </w:tcBorders>
            <w:shd w:val="clear" w:color="auto" w:fill="auto"/>
            <w:noWrap w:val="0"/>
            <w:vAlign w:val="center"/>
          </w:tcPr>
          <w:p w14:paraId="7C12E8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1个</w:t>
            </w:r>
          </w:p>
        </w:tc>
        <w:tc>
          <w:tcPr>
            <w:tcW w:w="927" w:type="pct"/>
            <w:tcBorders>
              <w:tl2br w:val="nil"/>
              <w:tr2bl w:val="nil"/>
            </w:tcBorders>
            <w:shd w:val="clear" w:color="auto" w:fill="auto"/>
            <w:noWrap w:val="0"/>
            <w:vAlign w:val="center"/>
          </w:tcPr>
          <w:p w14:paraId="1A5471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静电接地报警器</w:t>
            </w:r>
          </w:p>
        </w:tc>
        <w:tc>
          <w:tcPr>
            <w:tcW w:w="984" w:type="pct"/>
            <w:tcBorders>
              <w:tl2br w:val="nil"/>
              <w:tr2bl w:val="nil"/>
            </w:tcBorders>
            <w:shd w:val="clear" w:color="auto" w:fill="auto"/>
            <w:noWrap w:val="0"/>
            <w:vAlign w:val="center"/>
          </w:tcPr>
          <w:p w14:paraId="356927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卸油口</w:t>
            </w:r>
          </w:p>
        </w:tc>
        <w:tc>
          <w:tcPr>
            <w:tcW w:w="489" w:type="pct"/>
            <w:vMerge w:val="continue"/>
            <w:tcBorders>
              <w:tl2br w:val="nil"/>
              <w:tr2bl w:val="nil"/>
            </w:tcBorders>
            <w:noWrap w:val="0"/>
            <w:vAlign w:val="center"/>
          </w:tcPr>
          <w:p w14:paraId="70BD53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14:paraId="3B98584A">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42CF92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944" w:type="pct"/>
            <w:tcBorders>
              <w:tl2br w:val="nil"/>
              <w:tr2bl w:val="nil"/>
            </w:tcBorders>
            <w:shd w:val="clear" w:color="auto" w:fill="auto"/>
            <w:noWrap w:val="0"/>
            <w:vAlign w:val="center"/>
          </w:tcPr>
          <w:p w14:paraId="68A21F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警示标志</w:t>
            </w:r>
          </w:p>
        </w:tc>
        <w:tc>
          <w:tcPr>
            <w:tcW w:w="962" w:type="pct"/>
            <w:tcBorders>
              <w:tl2br w:val="nil"/>
              <w:tr2bl w:val="nil"/>
            </w:tcBorders>
            <w:shd w:val="clear" w:color="auto" w:fill="auto"/>
            <w:noWrap w:val="0"/>
            <w:vAlign w:val="center"/>
          </w:tcPr>
          <w:p w14:paraId="2D1D1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0190E6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1套</w:t>
            </w:r>
          </w:p>
        </w:tc>
        <w:tc>
          <w:tcPr>
            <w:tcW w:w="927" w:type="pct"/>
            <w:tcBorders>
              <w:tl2br w:val="nil"/>
              <w:tr2bl w:val="nil"/>
            </w:tcBorders>
            <w:shd w:val="clear" w:color="auto" w:fill="auto"/>
            <w:noWrap w:val="0"/>
            <w:vAlign w:val="center"/>
          </w:tcPr>
          <w:p w14:paraId="3A01EB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5DD617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站区</w:t>
            </w:r>
          </w:p>
        </w:tc>
        <w:tc>
          <w:tcPr>
            <w:tcW w:w="489" w:type="pct"/>
            <w:tcBorders>
              <w:tl2br w:val="nil"/>
              <w:tr2bl w:val="nil"/>
            </w:tcBorders>
            <w:noWrap w:val="0"/>
            <w:vAlign w:val="center"/>
          </w:tcPr>
          <w:p w14:paraId="34A94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7DFC681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tcBorders>
              <w:tl2br w:val="nil"/>
              <w:tr2bl w:val="nil"/>
            </w:tcBorders>
            <w:noWrap w:val="0"/>
            <w:vAlign w:val="center"/>
          </w:tcPr>
          <w:p w14:paraId="012C48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w:t>
            </w:r>
          </w:p>
        </w:tc>
        <w:tc>
          <w:tcPr>
            <w:tcW w:w="944" w:type="pct"/>
            <w:tcBorders>
              <w:tl2br w:val="nil"/>
              <w:tr2bl w:val="nil"/>
            </w:tcBorders>
            <w:shd w:val="clear" w:color="auto" w:fill="auto"/>
            <w:noWrap w:val="0"/>
            <w:vAlign w:val="center"/>
          </w:tcPr>
          <w:p w14:paraId="7700BE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防腐蚀</w:t>
            </w:r>
          </w:p>
        </w:tc>
        <w:tc>
          <w:tcPr>
            <w:tcW w:w="962" w:type="pct"/>
            <w:tcBorders>
              <w:tl2br w:val="nil"/>
              <w:tr2bl w:val="nil"/>
            </w:tcBorders>
            <w:shd w:val="clear" w:color="auto" w:fill="auto"/>
            <w:noWrap w:val="0"/>
            <w:vAlign w:val="center"/>
          </w:tcPr>
          <w:p w14:paraId="5B716F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6DDF0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27" w:type="pct"/>
            <w:tcBorders>
              <w:tl2br w:val="nil"/>
              <w:tr2bl w:val="nil"/>
            </w:tcBorders>
            <w:shd w:val="clear" w:color="auto" w:fill="auto"/>
            <w:noWrap w:val="0"/>
            <w:vAlign w:val="center"/>
          </w:tcPr>
          <w:p w14:paraId="0E8772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油罐抱带防腐，工艺管线防腐</w:t>
            </w:r>
          </w:p>
        </w:tc>
        <w:tc>
          <w:tcPr>
            <w:tcW w:w="984" w:type="pct"/>
            <w:tcBorders>
              <w:tl2br w:val="nil"/>
              <w:tr2bl w:val="nil"/>
            </w:tcBorders>
            <w:shd w:val="clear" w:color="auto" w:fill="auto"/>
            <w:noWrap w:val="0"/>
            <w:vAlign w:val="center"/>
          </w:tcPr>
          <w:p w14:paraId="07CD38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站区</w:t>
            </w:r>
          </w:p>
        </w:tc>
        <w:tc>
          <w:tcPr>
            <w:tcW w:w="489" w:type="pct"/>
            <w:tcBorders>
              <w:tl2br w:val="nil"/>
              <w:tr2bl w:val="nil"/>
            </w:tcBorders>
            <w:noWrap w:val="0"/>
            <w:vAlign w:val="center"/>
          </w:tcPr>
          <w:p w14:paraId="39B0DA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1088008F">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241094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c>
          <w:tcPr>
            <w:tcW w:w="944" w:type="pct"/>
            <w:tcBorders>
              <w:tl2br w:val="nil"/>
              <w:tr2bl w:val="nil"/>
            </w:tcBorders>
            <w:shd w:val="clear" w:color="auto" w:fill="auto"/>
            <w:noWrap w:val="0"/>
            <w:vAlign w:val="center"/>
          </w:tcPr>
          <w:p w14:paraId="7E8798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防泄漏</w:t>
            </w:r>
          </w:p>
        </w:tc>
        <w:tc>
          <w:tcPr>
            <w:tcW w:w="962" w:type="pct"/>
            <w:tcBorders>
              <w:tl2br w:val="nil"/>
              <w:tr2bl w:val="nil"/>
            </w:tcBorders>
            <w:shd w:val="clear" w:color="auto" w:fill="auto"/>
            <w:noWrap w:val="0"/>
            <w:vAlign w:val="center"/>
          </w:tcPr>
          <w:p w14:paraId="2E57BB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3512DC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3个</w:t>
            </w:r>
          </w:p>
        </w:tc>
        <w:tc>
          <w:tcPr>
            <w:tcW w:w="927" w:type="pct"/>
            <w:tcBorders>
              <w:tl2br w:val="nil"/>
              <w:tr2bl w:val="nil"/>
            </w:tcBorders>
            <w:shd w:val="clear" w:color="auto" w:fill="auto"/>
            <w:noWrap w:val="0"/>
            <w:vAlign w:val="center"/>
          </w:tcPr>
          <w:p w14:paraId="15BF7E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油罐液位仪</w:t>
            </w:r>
          </w:p>
        </w:tc>
        <w:tc>
          <w:tcPr>
            <w:tcW w:w="984" w:type="pct"/>
            <w:tcBorders>
              <w:tl2br w:val="nil"/>
              <w:tr2bl w:val="nil"/>
            </w:tcBorders>
            <w:shd w:val="clear" w:color="auto" w:fill="auto"/>
            <w:noWrap w:val="0"/>
            <w:vAlign w:val="center"/>
          </w:tcPr>
          <w:p w14:paraId="22294A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站区</w:t>
            </w:r>
          </w:p>
        </w:tc>
        <w:tc>
          <w:tcPr>
            <w:tcW w:w="489" w:type="pct"/>
            <w:tcBorders>
              <w:tl2br w:val="nil"/>
              <w:tr2bl w:val="nil"/>
            </w:tcBorders>
            <w:noWrap w:val="0"/>
            <w:vAlign w:val="center"/>
          </w:tcPr>
          <w:p w14:paraId="241425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已落实</w:t>
            </w:r>
          </w:p>
        </w:tc>
      </w:tr>
      <w:tr w14:paraId="28105E1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tcBorders>
              <w:tl2br w:val="nil"/>
              <w:tr2bl w:val="nil"/>
            </w:tcBorders>
            <w:noWrap w:val="0"/>
            <w:vAlign w:val="center"/>
          </w:tcPr>
          <w:p w14:paraId="7E92CF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944" w:type="pct"/>
            <w:tcBorders>
              <w:tl2br w:val="nil"/>
              <w:tr2bl w:val="nil"/>
            </w:tcBorders>
            <w:shd w:val="clear" w:color="auto" w:fill="auto"/>
            <w:noWrap w:val="0"/>
            <w:vAlign w:val="center"/>
          </w:tcPr>
          <w:p w14:paraId="154893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卸油</w:t>
            </w:r>
          </w:p>
          <w:p w14:paraId="7E1CA1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防溢阀</w:t>
            </w:r>
          </w:p>
        </w:tc>
        <w:tc>
          <w:tcPr>
            <w:tcW w:w="962" w:type="pct"/>
            <w:tcBorders>
              <w:tl2br w:val="nil"/>
              <w:tr2bl w:val="nil"/>
            </w:tcBorders>
            <w:shd w:val="clear" w:color="auto" w:fill="auto"/>
            <w:noWrap w:val="0"/>
            <w:vAlign w:val="center"/>
          </w:tcPr>
          <w:p w14:paraId="4821A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2D0AC1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3套</w:t>
            </w:r>
          </w:p>
        </w:tc>
        <w:tc>
          <w:tcPr>
            <w:tcW w:w="927" w:type="pct"/>
            <w:tcBorders>
              <w:tl2br w:val="nil"/>
              <w:tr2bl w:val="nil"/>
            </w:tcBorders>
            <w:shd w:val="clear" w:color="auto" w:fill="auto"/>
            <w:noWrap w:val="0"/>
            <w:vAlign w:val="center"/>
          </w:tcPr>
          <w:p w14:paraId="57702B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卸油防溢阀</w:t>
            </w:r>
          </w:p>
        </w:tc>
        <w:tc>
          <w:tcPr>
            <w:tcW w:w="984" w:type="pct"/>
            <w:tcBorders>
              <w:tl2br w:val="nil"/>
              <w:tr2bl w:val="nil"/>
            </w:tcBorders>
            <w:shd w:val="clear" w:color="auto" w:fill="auto"/>
            <w:noWrap w:val="0"/>
            <w:vAlign w:val="center"/>
          </w:tcPr>
          <w:p w14:paraId="67A41F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油罐内</w:t>
            </w:r>
          </w:p>
        </w:tc>
        <w:tc>
          <w:tcPr>
            <w:tcW w:w="489" w:type="pct"/>
            <w:tcBorders>
              <w:tl2br w:val="nil"/>
              <w:tr2bl w:val="nil"/>
            </w:tcBorders>
            <w:noWrap w:val="0"/>
            <w:vAlign w:val="center"/>
          </w:tcPr>
          <w:p w14:paraId="317FCB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已落实</w:t>
            </w:r>
          </w:p>
        </w:tc>
      </w:tr>
      <w:tr w14:paraId="78FC213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restart"/>
            <w:tcBorders>
              <w:tl2br w:val="nil"/>
              <w:tr2bl w:val="nil"/>
            </w:tcBorders>
            <w:noWrap w:val="0"/>
            <w:vAlign w:val="center"/>
          </w:tcPr>
          <w:p w14:paraId="23813D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7</w:t>
            </w:r>
          </w:p>
        </w:tc>
        <w:tc>
          <w:tcPr>
            <w:tcW w:w="944" w:type="pct"/>
            <w:vMerge w:val="restart"/>
            <w:tcBorders>
              <w:tl2br w:val="nil"/>
              <w:tr2bl w:val="nil"/>
            </w:tcBorders>
            <w:shd w:val="clear" w:color="auto" w:fill="auto"/>
            <w:noWrap w:val="0"/>
            <w:vAlign w:val="center"/>
          </w:tcPr>
          <w:p w14:paraId="339621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紧急切断油路</w:t>
            </w:r>
          </w:p>
        </w:tc>
        <w:tc>
          <w:tcPr>
            <w:tcW w:w="962" w:type="pct"/>
            <w:tcBorders>
              <w:tl2br w:val="nil"/>
              <w:tr2bl w:val="nil"/>
            </w:tcBorders>
            <w:shd w:val="clear" w:color="auto" w:fill="auto"/>
            <w:noWrap w:val="0"/>
            <w:vAlign w:val="center"/>
          </w:tcPr>
          <w:p w14:paraId="22C138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剪切阀</w:t>
            </w:r>
          </w:p>
        </w:tc>
        <w:tc>
          <w:tcPr>
            <w:tcW w:w="461" w:type="pct"/>
            <w:tcBorders>
              <w:tl2br w:val="nil"/>
              <w:tr2bl w:val="nil"/>
            </w:tcBorders>
            <w:shd w:val="clear" w:color="auto" w:fill="auto"/>
            <w:noWrap w:val="0"/>
            <w:vAlign w:val="center"/>
          </w:tcPr>
          <w:p w14:paraId="0AE32B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8个</w:t>
            </w:r>
          </w:p>
        </w:tc>
        <w:tc>
          <w:tcPr>
            <w:tcW w:w="927" w:type="pct"/>
            <w:tcBorders>
              <w:tl2br w:val="nil"/>
              <w:tr2bl w:val="nil"/>
            </w:tcBorders>
            <w:shd w:val="clear" w:color="auto" w:fill="auto"/>
            <w:noWrap w:val="0"/>
            <w:vAlign w:val="center"/>
          </w:tcPr>
          <w:p w14:paraId="7CC20F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紧急切断阀</w:t>
            </w:r>
          </w:p>
        </w:tc>
        <w:tc>
          <w:tcPr>
            <w:tcW w:w="984" w:type="pct"/>
            <w:tcBorders>
              <w:tl2br w:val="nil"/>
              <w:tr2bl w:val="nil"/>
            </w:tcBorders>
            <w:shd w:val="clear" w:color="auto" w:fill="auto"/>
            <w:noWrap w:val="0"/>
            <w:vAlign w:val="center"/>
          </w:tcPr>
          <w:p w14:paraId="5BD56E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加油机</w:t>
            </w:r>
          </w:p>
        </w:tc>
        <w:tc>
          <w:tcPr>
            <w:tcW w:w="489" w:type="pct"/>
            <w:tcBorders>
              <w:tl2br w:val="nil"/>
              <w:tr2bl w:val="nil"/>
            </w:tcBorders>
            <w:noWrap w:val="0"/>
            <w:vAlign w:val="center"/>
          </w:tcPr>
          <w:p w14:paraId="21FD4F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5D6DFF07">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7A22D5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cs="Times New Roman"/>
                <w:color w:val="auto"/>
                <w:sz w:val="21"/>
                <w:szCs w:val="21"/>
                <w:highlight w:val="none"/>
                <w:lang w:val="en-US" w:eastAsia="zh-CN"/>
              </w:rPr>
            </w:pPr>
          </w:p>
        </w:tc>
        <w:tc>
          <w:tcPr>
            <w:tcW w:w="944" w:type="pct"/>
            <w:vMerge w:val="continue"/>
            <w:tcBorders>
              <w:tl2br w:val="nil"/>
              <w:tr2bl w:val="nil"/>
            </w:tcBorders>
            <w:shd w:val="clear" w:color="auto" w:fill="auto"/>
            <w:noWrap w:val="0"/>
            <w:vAlign w:val="center"/>
          </w:tcPr>
          <w:p w14:paraId="1E5E29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962" w:type="pct"/>
            <w:tcBorders>
              <w:tl2br w:val="nil"/>
              <w:tr2bl w:val="nil"/>
            </w:tcBorders>
            <w:shd w:val="clear" w:color="auto" w:fill="auto"/>
            <w:noWrap w:val="0"/>
            <w:vAlign w:val="center"/>
          </w:tcPr>
          <w:p w14:paraId="317EF1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拉断阀</w:t>
            </w:r>
          </w:p>
        </w:tc>
        <w:tc>
          <w:tcPr>
            <w:tcW w:w="461" w:type="pct"/>
            <w:tcBorders>
              <w:tl2br w:val="nil"/>
              <w:tr2bl w:val="nil"/>
            </w:tcBorders>
            <w:shd w:val="clear" w:color="auto" w:fill="auto"/>
            <w:noWrap w:val="0"/>
            <w:vAlign w:val="center"/>
          </w:tcPr>
          <w:p w14:paraId="3FF5C7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8个</w:t>
            </w:r>
          </w:p>
        </w:tc>
        <w:tc>
          <w:tcPr>
            <w:tcW w:w="927" w:type="pct"/>
            <w:tcBorders>
              <w:tl2br w:val="nil"/>
              <w:tr2bl w:val="nil"/>
            </w:tcBorders>
            <w:shd w:val="clear" w:color="auto" w:fill="auto"/>
            <w:noWrap w:val="0"/>
            <w:vAlign w:val="center"/>
          </w:tcPr>
          <w:p w14:paraId="774A70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拉断阀</w:t>
            </w:r>
          </w:p>
        </w:tc>
        <w:tc>
          <w:tcPr>
            <w:tcW w:w="984" w:type="pct"/>
            <w:tcBorders>
              <w:tl2br w:val="nil"/>
              <w:tr2bl w:val="nil"/>
            </w:tcBorders>
            <w:shd w:val="clear" w:color="auto" w:fill="auto"/>
            <w:noWrap w:val="0"/>
            <w:vAlign w:val="center"/>
          </w:tcPr>
          <w:p w14:paraId="021F21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加油机</w:t>
            </w:r>
          </w:p>
        </w:tc>
        <w:tc>
          <w:tcPr>
            <w:tcW w:w="489" w:type="pct"/>
            <w:tcBorders>
              <w:tl2br w:val="nil"/>
              <w:tr2bl w:val="nil"/>
            </w:tcBorders>
            <w:noWrap w:val="0"/>
            <w:vAlign w:val="center"/>
          </w:tcPr>
          <w:p w14:paraId="5ED6E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288802FB">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576D30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二</w:t>
            </w:r>
          </w:p>
        </w:tc>
        <w:tc>
          <w:tcPr>
            <w:tcW w:w="4769" w:type="pct"/>
            <w:gridSpan w:val="6"/>
            <w:tcBorders>
              <w:tl2br w:val="nil"/>
              <w:tr2bl w:val="nil"/>
            </w:tcBorders>
            <w:noWrap w:val="0"/>
            <w:vAlign w:val="center"/>
          </w:tcPr>
          <w:p w14:paraId="3CAEA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zh-CN" w:eastAsia="zh-CN" w:bidi="ar-SA"/>
              </w:rPr>
              <w:t>控制事故设施</w:t>
            </w:r>
          </w:p>
        </w:tc>
      </w:tr>
      <w:tr w14:paraId="4AECEE29">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2E80B4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44" w:type="pct"/>
            <w:tcBorders>
              <w:tl2br w:val="nil"/>
              <w:tr2bl w:val="nil"/>
            </w:tcBorders>
            <w:shd w:val="clear" w:color="auto" w:fill="auto"/>
            <w:noWrap w:val="0"/>
            <w:vAlign w:val="center"/>
          </w:tcPr>
          <w:p w14:paraId="5AEDC3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防爆电气</w:t>
            </w:r>
          </w:p>
        </w:tc>
        <w:tc>
          <w:tcPr>
            <w:tcW w:w="962" w:type="pct"/>
            <w:tcBorders>
              <w:tl2br w:val="nil"/>
              <w:tr2bl w:val="nil"/>
            </w:tcBorders>
            <w:shd w:val="clear" w:color="auto" w:fill="auto"/>
            <w:noWrap w:val="0"/>
            <w:vAlign w:val="center"/>
          </w:tcPr>
          <w:p w14:paraId="4D5E2A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罐区和加油区</w:t>
            </w:r>
          </w:p>
        </w:tc>
        <w:tc>
          <w:tcPr>
            <w:tcW w:w="461" w:type="pct"/>
            <w:tcBorders>
              <w:tl2br w:val="nil"/>
              <w:tr2bl w:val="nil"/>
            </w:tcBorders>
            <w:shd w:val="clear" w:color="auto" w:fill="auto"/>
            <w:noWrap w:val="0"/>
            <w:vAlign w:val="center"/>
          </w:tcPr>
          <w:p w14:paraId="66441E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若干</w:t>
            </w:r>
          </w:p>
        </w:tc>
        <w:tc>
          <w:tcPr>
            <w:tcW w:w="927" w:type="pct"/>
            <w:tcBorders>
              <w:tl2br w:val="nil"/>
              <w:tr2bl w:val="nil"/>
            </w:tcBorders>
            <w:shd w:val="clear" w:color="auto" w:fill="auto"/>
            <w:noWrap w:val="0"/>
            <w:vAlign w:val="center"/>
          </w:tcPr>
          <w:p w14:paraId="6E07E4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防爆接头</w:t>
            </w:r>
          </w:p>
        </w:tc>
        <w:tc>
          <w:tcPr>
            <w:tcW w:w="984" w:type="pct"/>
            <w:tcBorders>
              <w:tl2br w:val="nil"/>
              <w:tr2bl w:val="nil"/>
            </w:tcBorders>
            <w:shd w:val="clear" w:color="auto" w:fill="auto"/>
            <w:noWrap w:val="0"/>
            <w:vAlign w:val="center"/>
          </w:tcPr>
          <w:p w14:paraId="71D34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罐区、加油区</w:t>
            </w:r>
          </w:p>
        </w:tc>
        <w:tc>
          <w:tcPr>
            <w:tcW w:w="489" w:type="pct"/>
            <w:tcBorders>
              <w:tl2br w:val="nil"/>
              <w:tr2bl w:val="nil"/>
            </w:tcBorders>
            <w:noWrap w:val="0"/>
            <w:vAlign w:val="center"/>
          </w:tcPr>
          <w:p w14:paraId="2251FB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已落实</w:t>
            </w:r>
          </w:p>
        </w:tc>
      </w:tr>
      <w:tr w14:paraId="5B2F74F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631CFD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944" w:type="pct"/>
            <w:tcBorders>
              <w:tl2br w:val="nil"/>
              <w:tr2bl w:val="nil"/>
            </w:tcBorders>
            <w:shd w:val="clear" w:color="auto" w:fill="auto"/>
            <w:noWrap w:val="0"/>
            <w:vAlign w:val="center"/>
          </w:tcPr>
          <w:p w14:paraId="3D3EE2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紧急切断系统</w:t>
            </w:r>
          </w:p>
        </w:tc>
        <w:tc>
          <w:tcPr>
            <w:tcW w:w="962" w:type="pct"/>
            <w:tcBorders>
              <w:tl2br w:val="nil"/>
              <w:tr2bl w:val="nil"/>
            </w:tcBorders>
            <w:shd w:val="clear" w:color="auto" w:fill="auto"/>
            <w:noWrap w:val="0"/>
            <w:vAlign w:val="center"/>
          </w:tcPr>
          <w:p w14:paraId="712229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461" w:type="pct"/>
            <w:tcBorders>
              <w:tl2br w:val="nil"/>
              <w:tr2bl w:val="nil"/>
            </w:tcBorders>
            <w:shd w:val="clear" w:color="auto" w:fill="auto"/>
            <w:noWrap w:val="0"/>
            <w:vAlign w:val="center"/>
          </w:tcPr>
          <w:p w14:paraId="2E73C4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2处</w:t>
            </w:r>
          </w:p>
        </w:tc>
        <w:tc>
          <w:tcPr>
            <w:tcW w:w="927" w:type="pct"/>
            <w:tcBorders>
              <w:tl2br w:val="nil"/>
              <w:tr2bl w:val="nil"/>
            </w:tcBorders>
            <w:shd w:val="clear" w:color="auto" w:fill="auto"/>
            <w:noWrap w:val="0"/>
            <w:vAlign w:val="center"/>
          </w:tcPr>
          <w:p w14:paraId="60816C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shd w:val="clear" w:color="auto" w:fill="auto"/>
            <w:noWrap w:val="0"/>
            <w:vAlign w:val="center"/>
          </w:tcPr>
          <w:p w14:paraId="06A17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收银台、</w:t>
            </w:r>
            <w:r>
              <w:rPr>
                <w:rFonts w:hint="default" w:ascii="Times New Roman" w:hAnsi="Times New Roman" w:eastAsia="宋体" w:cs="Times New Roman"/>
                <w:color w:val="auto"/>
                <w:sz w:val="21"/>
                <w:szCs w:val="21"/>
                <w:highlight w:val="none"/>
                <w:lang w:val="en-US" w:eastAsia="zh-CN"/>
              </w:rPr>
              <w:t>站房外墙</w:t>
            </w:r>
          </w:p>
        </w:tc>
        <w:tc>
          <w:tcPr>
            <w:tcW w:w="489" w:type="pct"/>
            <w:tcBorders>
              <w:tl2br w:val="nil"/>
              <w:tr2bl w:val="nil"/>
            </w:tcBorders>
            <w:noWrap w:val="0"/>
            <w:vAlign w:val="center"/>
          </w:tcPr>
          <w:p w14:paraId="22B35B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已落实</w:t>
            </w:r>
          </w:p>
        </w:tc>
      </w:tr>
      <w:tr w14:paraId="07EC2593">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tcBorders>
              <w:tl2br w:val="nil"/>
              <w:tr2bl w:val="nil"/>
            </w:tcBorders>
            <w:noWrap w:val="0"/>
            <w:vAlign w:val="center"/>
          </w:tcPr>
          <w:p w14:paraId="564E90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三</w:t>
            </w:r>
          </w:p>
        </w:tc>
        <w:tc>
          <w:tcPr>
            <w:tcW w:w="4769" w:type="pct"/>
            <w:gridSpan w:val="6"/>
            <w:tcBorders>
              <w:tl2br w:val="nil"/>
              <w:tr2bl w:val="nil"/>
            </w:tcBorders>
            <w:noWrap w:val="0"/>
            <w:vAlign w:val="center"/>
          </w:tcPr>
          <w:p w14:paraId="622B0A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减少与消除事故影响设施</w:t>
            </w:r>
          </w:p>
        </w:tc>
      </w:tr>
      <w:tr w14:paraId="5444852E">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tcBorders>
              <w:tl2br w:val="nil"/>
              <w:tr2bl w:val="nil"/>
            </w:tcBorders>
            <w:noWrap w:val="0"/>
            <w:vAlign w:val="center"/>
          </w:tcPr>
          <w:p w14:paraId="2C9EE1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944" w:type="pct"/>
            <w:tcBorders>
              <w:tl2br w:val="nil"/>
              <w:tr2bl w:val="nil"/>
            </w:tcBorders>
            <w:shd w:val="clear" w:color="auto" w:fill="auto"/>
            <w:noWrap w:val="0"/>
            <w:vAlign w:val="center"/>
          </w:tcPr>
          <w:p w14:paraId="56D811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应急救援设施</w:t>
            </w:r>
          </w:p>
        </w:tc>
        <w:tc>
          <w:tcPr>
            <w:tcW w:w="962" w:type="pct"/>
            <w:tcBorders>
              <w:tl2br w:val="nil"/>
              <w:tr2bl w:val="nil"/>
            </w:tcBorders>
            <w:shd w:val="clear" w:color="auto" w:fill="auto"/>
            <w:noWrap w:val="0"/>
            <w:vAlign w:val="center"/>
          </w:tcPr>
          <w:p w14:paraId="6706B8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现场受伤人员医疗抢救装备</w:t>
            </w:r>
          </w:p>
        </w:tc>
        <w:tc>
          <w:tcPr>
            <w:tcW w:w="461" w:type="pct"/>
            <w:tcBorders>
              <w:tl2br w:val="nil"/>
              <w:tr2bl w:val="nil"/>
            </w:tcBorders>
            <w:shd w:val="clear" w:color="auto" w:fill="auto"/>
            <w:noWrap w:val="0"/>
            <w:vAlign w:val="center"/>
          </w:tcPr>
          <w:p w14:paraId="474848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1套</w:t>
            </w:r>
          </w:p>
        </w:tc>
        <w:tc>
          <w:tcPr>
            <w:tcW w:w="927" w:type="pct"/>
            <w:tcBorders>
              <w:tl2br w:val="nil"/>
              <w:tr2bl w:val="nil"/>
            </w:tcBorders>
            <w:shd w:val="clear" w:color="auto" w:fill="auto"/>
            <w:noWrap w:val="0"/>
            <w:vAlign w:val="center"/>
          </w:tcPr>
          <w:p w14:paraId="04D866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急救箱</w:t>
            </w:r>
          </w:p>
        </w:tc>
        <w:tc>
          <w:tcPr>
            <w:tcW w:w="984" w:type="pct"/>
            <w:tcBorders>
              <w:tl2br w:val="nil"/>
              <w:tr2bl w:val="nil"/>
            </w:tcBorders>
            <w:noWrap w:val="0"/>
            <w:vAlign w:val="center"/>
          </w:tcPr>
          <w:p w14:paraId="2AB0B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489" w:type="pct"/>
            <w:tcBorders>
              <w:tl2br w:val="nil"/>
              <w:tr2bl w:val="nil"/>
            </w:tcBorders>
            <w:noWrap w:val="0"/>
            <w:vAlign w:val="center"/>
          </w:tcPr>
          <w:p w14:paraId="7098D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已落实</w:t>
            </w:r>
          </w:p>
        </w:tc>
      </w:tr>
      <w:tr w14:paraId="3117236A">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restart"/>
            <w:tcBorders>
              <w:tl2br w:val="nil"/>
              <w:tr2bl w:val="nil"/>
            </w:tcBorders>
            <w:noWrap w:val="0"/>
            <w:vAlign w:val="center"/>
          </w:tcPr>
          <w:p w14:paraId="07E777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944" w:type="pct"/>
            <w:vMerge w:val="restart"/>
            <w:tcBorders>
              <w:tl2br w:val="nil"/>
              <w:tr2bl w:val="nil"/>
            </w:tcBorders>
            <w:noWrap w:val="0"/>
            <w:vAlign w:val="center"/>
          </w:tcPr>
          <w:p w14:paraId="10E645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劳动防</w:t>
            </w:r>
          </w:p>
          <w:p w14:paraId="3DC362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护用品</w:t>
            </w:r>
          </w:p>
          <w:p w14:paraId="317398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和装备</w:t>
            </w:r>
          </w:p>
        </w:tc>
        <w:tc>
          <w:tcPr>
            <w:tcW w:w="962" w:type="pct"/>
            <w:tcBorders>
              <w:tl2br w:val="nil"/>
              <w:tr2bl w:val="nil"/>
            </w:tcBorders>
            <w:shd w:val="clear" w:color="auto" w:fill="auto"/>
            <w:noWrap w:val="0"/>
            <w:vAlign w:val="center"/>
          </w:tcPr>
          <w:p w14:paraId="67547A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工作服</w:t>
            </w:r>
          </w:p>
        </w:tc>
        <w:tc>
          <w:tcPr>
            <w:tcW w:w="461" w:type="pct"/>
            <w:tcBorders>
              <w:tl2br w:val="nil"/>
              <w:tr2bl w:val="nil"/>
            </w:tcBorders>
            <w:shd w:val="clear" w:color="auto" w:fill="auto"/>
            <w:noWrap w:val="0"/>
            <w:vAlign w:val="center"/>
          </w:tcPr>
          <w:p w14:paraId="77F3A8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3DA193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防静电工作服</w:t>
            </w:r>
          </w:p>
        </w:tc>
        <w:tc>
          <w:tcPr>
            <w:tcW w:w="984" w:type="pct"/>
            <w:tcBorders>
              <w:tl2br w:val="nil"/>
              <w:tr2bl w:val="nil"/>
            </w:tcBorders>
            <w:noWrap w:val="0"/>
            <w:vAlign w:val="center"/>
          </w:tcPr>
          <w:p w14:paraId="0920AE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p>
        </w:tc>
        <w:tc>
          <w:tcPr>
            <w:tcW w:w="489" w:type="pct"/>
            <w:vMerge w:val="restart"/>
            <w:tcBorders>
              <w:tl2br w:val="nil"/>
              <w:tr2bl w:val="nil"/>
            </w:tcBorders>
            <w:noWrap w:val="0"/>
            <w:vAlign w:val="center"/>
          </w:tcPr>
          <w:p w14:paraId="54419F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已落实</w:t>
            </w:r>
          </w:p>
        </w:tc>
      </w:tr>
      <w:tr w14:paraId="52EBF8B0">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459BC8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44" w:type="pct"/>
            <w:vMerge w:val="continue"/>
            <w:tcBorders>
              <w:tl2br w:val="nil"/>
              <w:tr2bl w:val="nil"/>
            </w:tcBorders>
            <w:noWrap w:val="0"/>
            <w:vAlign w:val="center"/>
          </w:tcPr>
          <w:p w14:paraId="688B8E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62" w:type="pct"/>
            <w:tcBorders>
              <w:tl2br w:val="nil"/>
              <w:tr2bl w:val="nil"/>
            </w:tcBorders>
            <w:shd w:val="clear" w:color="auto" w:fill="auto"/>
            <w:noWrap w:val="0"/>
            <w:vAlign w:val="center"/>
          </w:tcPr>
          <w:p w14:paraId="6F9C39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工作帽</w:t>
            </w:r>
          </w:p>
        </w:tc>
        <w:tc>
          <w:tcPr>
            <w:tcW w:w="461" w:type="pct"/>
            <w:tcBorders>
              <w:tl2br w:val="nil"/>
              <w:tr2bl w:val="nil"/>
            </w:tcBorders>
            <w:shd w:val="clear" w:color="auto" w:fill="auto"/>
            <w:noWrap w:val="0"/>
            <w:vAlign w:val="center"/>
          </w:tcPr>
          <w:p w14:paraId="17A8D6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7C9291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防静电工作帽</w:t>
            </w:r>
          </w:p>
        </w:tc>
        <w:tc>
          <w:tcPr>
            <w:tcW w:w="984" w:type="pct"/>
            <w:tcBorders>
              <w:tl2br w:val="nil"/>
              <w:tr2bl w:val="nil"/>
            </w:tcBorders>
            <w:noWrap w:val="0"/>
            <w:vAlign w:val="center"/>
          </w:tcPr>
          <w:p w14:paraId="7E29F7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89" w:type="pct"/>
            <w:vMerge w:val="continue"/>
            <w:tcBorders>
              <w:tl2br w:val="nil"/>
              <w:tr2bl w:val="nil"/>
            </w:tcBorders>
            <w:noWrap w:val="0"/>
            <w:vAlign w:val="center"/>
          </w:tcPr>
          <w:p w14:paraId="75D883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6D44C415">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579" w:hRule="atLeast"/>
        </w:trPr>
        <w:tc>
          <w:tcPr>
            <w:tcW w:w="230" w:type="pct"/>
            <w:vMerge w:val="continue"/>
            <w:tcBorders>
              <w:tl2br w:val="nil"/>
              <w:tr2bl w:val="nil"/>
            </w:tcBorders>
            <w:noWrap w:val="0"/>
            <w:vAlign w:val="center"/>
          </w:tcPr>
          <w:p w14:paraId="1F7475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44" w:type="pct"/>
            <w:vMerge w:val="continue"/>
            <w:tcBorders>
              <w:tl2br w:val="nil"/>
              <w:tr2bl w:val="nil"/>
            </w:tcBorders>
            <w:noWrap w:val="0"/>
            <w:vAlign w:val="center"/>
          </w:tcPr>
          <w:p w14:paraId="1A6F16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62" w:type="pct"/>
            <w:tcBorders>
              <w:tl2br w:val="nil"/>
              <w:tr2bl w:val="nil"/>
            </w:tcBorders>
            <w:shd w:val="clear" w:color="auto" w:fill="auto"/>
            <w:noWrap w:val="0"/>
            <w:vAlign w:val="center"/>
          </w:tcPr>
          <w:p w14:paraId="3A0848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工作鞋</w:t>
            </w:r>
          </w:p>
        </w:tc>
        <w:tc>
          <w:tcPr>
            <w:tcW w:w="461" w:type="pct"/>
            <w:tcBorders>
              <w:tl2br w:val="nil"/>
              <w:tr2bl w:val="nil"/>
            </w:tcBorders>
            <w:shd w:val="clear" w:color="auto" w:fill="auto"/>
            <w:noWrap w:val="0"/>
            <w:vAlign w:val="center"/>
          </w:tcPr>
          <w:p w14:paraId="3172F5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710B64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防砸、耐油、防静电工作鞋</w:t>
            </w:r>
          </w:p>
        </w:tc>
        <w:tc>
          <w:tcPr>
            <w:tcW w:w="984" w:type="pct"/>
            <w:tcBorders>
              <w:tl2br w:val="nil"/>
              <w:tr2bl w:val="nil"/>
            </w:tcBorders>
            <w:noWrap w:val="0"/>
            <w:vAlign w:val="center"/>
          </w:tcPr>
          <w:p w14:paraId="20552F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89" w:type="pct"/>
            <w:vMerge w:val="continue"/>
            <w:tcBorders>
              <w:tl2br w:val="nil"/>
              <w:tr2bl w:val="nil"/>
            </w:tcBorders>
            <w:noWrap w:val="0"/>
            <w:vAlign w:val="center"/>
          </w:tcPr>
          <w:p w14:paraId="4A4BCA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2907119C">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20A692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642781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16FD00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劳防手套</w:t>
            </w:r>
          </w:p>
        </w:tc>
        <w:tc>
          <w:tcPr>
            <w:tcW w:w="461" w:type="pct"/>
            <w:tcBorders>
              <w:tl2br w:val="nil"/>
              <w:tr2bl w:val="nil"/>
            </w:tcBorders>
            <w:shd w:val="clear" w:color="auto" w:fill="auto"/>
            <w:noWrap w:val="0"/>
            <w:vAlign w:val="center"/>
          </w:tcPr>
          <w:p w14:paraId="15C5DC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133CEF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984" w:type="pct"/>
            <w:tcBorders>
              <w:tl2br w:val="nil"/>
              <w:tr2bl w:val="nil"/>
            </w:tcBorders>
            <w:noWrap w:val="0"/>
            <w:vAlign w:val="center"/>
          </w:tcPr>
          <w:p w14:paraId="018DF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89" w:type="pct"/>
            <w:vMerge w:val="continue"/>
            <w:tcBorders>
              <w:tl2br w:val="nil"/>
              <w:tr2bl w:val="nil"/>
            </w:tcBorders>
            <w:noWrap w:val="0"/>
            <w:vAlign w:val="center"/>
          </w:tcPr>
          <w:p w14:paraId="32D21B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4F86B7DE">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337" w:hRule="atLeast"/>
        </w:trPr>
        <w:tc>
          <w:tcPr>
            <w:tcW w:w="230" w:type="pct"/>
            <w:vMerge w:val="continue"/>
            <w:tcBorders>
              <w:tl2br w:val="nil"/>
              <w:tr2bl w:val="nil"/>
            </w:tcBorders>
            <w:noWrap w:val="0"/>
            <w:vAlign w:val="center"/>
          </w:tcPr>
          <w:p w14:paraId="65D603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4D8B75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038BE8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防寒服</w:t>
            </w:r>
          </w:p>
        </w:tc>
        <w:tc>
          <w:tcPr>
            <w:tcW w:w="461" w:type="pct"/>
            <w:tcBorders>
              <w:tl2br w:val="nil"/>
              <w:tr2bl w:val="nil"/>
            </w:tcBorders>
            <w:shd w:val="clear" w:color="auto" w:fill="auto"/>
            <w:noWrap w:val="0"/>
            <w:vAlign w:val="center"/>
          </w:tcPr>
          <w:p w14:paraId="4A59BF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563BEF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防静电防寒服</w:t>
            </w:r>
          </w:p>
        </w:tc>
        <w:tc>
          <w:tcPr>
            <w:tcW w:w="984" w:type="pct"/>
            <w:tcBorders>
              <w:tl2br w:val="nil"/>
              <w:tr2bl w:val="nil"/>
            </w:tcBorders>
            <w:noWrap w:val="0"/>
            <w:vAlign w:val="center"/>
          </w:tcPr>
          <w:p w14:paraId="7FF729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89" w:type="pct"/>
            <w:vMerge w:val="continue"/>
            <w:tcBorders>
              <w:tl2br w:val="nil"/>
              <w:tr2bl w:val="nil"/>
            </w:tcBorders>
            <w:noWrap w:val="0"/>
            <w:vAlign w:val="center"/>
          </w:tcPr>
          <w:p w14:paraId="3D0A58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1323AD44">
        <w:tblPrEx>
          <w:tblBorders>
            <w:top w:val="single" w:color="auto" w:sz="12" w:space="0"/>
            <w:left w:val="single" w:color="auto" w:sz="12" w:space="0"/>
            <w:bottom w:val="single" w:color="auto" w:sz="12" w:space="0"/>
            <w:right w:val="single" w:color="auto" w:sz="12" w:space="0"/>
            <w:insideH w:val="single" w:color="auto" w:sz="2" w:space="0"/>
            <w:insideV w:val="single" w:color="auto" w:sz="4" w:space="0"/>
          </w:tblBorders>
          <w:tblCellMar>
            <w:top w:w="0" w:type="dxa"/>
            <w:left w:w="108" w:type="dxa"/>
            <w:bottom w:w="0" w:type="dxa"/>
            <w:right w:w="108" w:type="dxa"/>
          </w:tblCellMar>
        </w:tblPrEx>
        <w:trPr>
          <w:trHeight w:val="459" w:hRule="atLeast"/>
        </w:trPr>
        <w:tc>
          <w:tcPr>
            <w:tcW w:w="230" w:type="pct"/>
            <w:vMerge w:val="continue"/>
            <w:tcBorders>
              <w:tl2br w:val="nil"/>
              <w:tr2bl w:val="nil"/>
            </w:tcBorders>
            <w:noWrap w:val="0"/>
            <w:vAlign w:val="center"/>
          </w:tcPr>
          <w:p w14:paraId="4037A1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44" w:type="pct"/>
            <w:vMerge w:val="continue"/>
            <w:tcBorders>
              <w:tl2br w:val="nil"/>
              <w:tr2bl w:val="nil"/>
            </w:tcBorders>
            <w:noWrap w:val="0"/>
            <w:vAlign w:val="center"/>
          </w:tcPr>
          <w:p w14:paraId="6B841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962" w:type="pct"/>
            <w:tcBorders>
              <w:tl2br w:val="nil"/>
              <w:tr2bl w:val="nil"/>
            </w:tcBorders>
            <w:shd w:val="clear" w:color="auto" w:fill="auto"/>
            <w:noWrap w:val="0"/>
            <w:vAlign w:val="center"/>
          </w:tcPr>
          <w:p w14:paraId="5D87D7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胶鞋</w:t>
            </w:r>
          </w:p>
        </w:tc>
        <w:tc>
          <w:tcPr>
            <w:tcW w:w="461" w:type="pct"/>
            <w:tcBorders>
              <w:tl2br w:val="nil"/>
              <w:tr2bl w:val="nil"/>
            </w:tcBorders>
            <w:shd w:val="clear" w:color="auto" w:fill="auto"/>
            <w:noWrap w:val="0"/>
            <w:vAlign w:val="center"/>
          </w:tcPr>
          <w:p w14:paraId="56709E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4套</w:t>
            </w:r>
          </w:p>
        </w:tc>
        <w:tc>
          <w:tcPr>
            <w:tcW w:w="927" w:type="pct"/>
            <w:tcBorders>
              <w:tl2br w:val="nil"/>
              <w:tr2bl w:val="nil"/>
            </w:tcBorders>
            <w:shd w:val="clear" w:color="auto" w:fill="auto"/>
            <w:noWrap w:val="0"/>
            <w:vAlign w:val="center"/>
          </w:tcPr>
          <w:p w14:paraId="0A52E3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防静电、耐油</w:t>
            </w:r>
          </w:p>
        </w:tc>
        <w:tc>
          <w:tcPr>
            <w:tcW w:w="984" w:type="pct"/>
            <w:tcBorders>
              <w:tl2br w:val="nil"/>
              <w:tr2bl w:val="nil"/>
            </w:tcBorders>
            <w:noWrap w:val="0"/>
            <w:vAlign w:val="center"/>
          </w:tcPr>
          <w:p w14:paraId="0765C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489" w:type="pct"/>
            <w:vMerge w:val="continue"/>
            <w:tcBorders>
              <w:tl2br w:val="nil"/>
              <w:tr2bl w:val="nil"/>
            </w:tcBorders>
            <w:noWrap w:val="0"/>
            <w:vAlign w:val="center"/>
          </w:tcPr>
          <w:p w14:paraId="556E2B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bl>
    <w:p w14:paraId="3B272E64">
      <w:pPr>
        <w:pStyle w:val="5"/>
        <w:spacing w:line="360" w:lineRule="auto"/>
        <w:ind w:left="0" w:leftChars="0" w:firstLine="0" w:firstLineChars="0"/>
        <w:rPr>
          <w:rFonts w:hint="default" w:ascii="Times New Roman" w:hAnsi="Times New Roman" w:cs="Times New Roman"/>
          <w:color w:val="auto"/>
          <w:highlight w:val="none"/>
        </w:rPr>
      </w:pPr>
      <w:bookmarkStart w:id="381" w:name="_Toc2691660"/>
      <w:bookmarkStart w:id="382" w:name="_Toc7284"/>
      <w:r>
        <w:rPr>
          <w:rFonts w:hint="default" w:ascii="Times New Roman" w:hAnsi="Times New Roman" w:cs="Times New Roman"/>
          <w:color w:val="auto"/>
          <w:highlight w:val="none"/>
        </w:rPr>
        <w:t>7.2.2建设项目采取的主要安全技术措施</w:t>
      </w:r>
      <w:bookmarkEnd w:id="381"/>
      <w:r>
        <w:rPr>
          <w:rFonts w:hint="default" w:ascii="Times New Roman" w:hAnsi="Times New Roman" w:cs="Times New Roman"/>
          <w:color w:val="auto"/>
          <w:highlight w:val="none"/>
        </w:rPr>
        <w:t>落实情况</w:t>
      </w:r>
      <w:bookmarkEnd w:id="382"/>
    </w:p>
    <w:p w14:paraId="0EEE60E5">
      <w:pPr>
        <w:snapToGrid w:val="0"/>
        <w:spacing w:line="360" w:lineRule="auto"/>
        <w:ind w:firstLine="560"/>
        <w:rPr>
          <w:rFonts w:hint="default" w:ascii="Times New Roman" w:hAnsi="Times New Roman" w:cs="Times New Roman"/>
          <w:color w:val="auto"/>
          <w:highlight w:val="none"/>
        </w:rPr>
      </w:pPr>
      <w:bookmarkStart w:id="383" w:name="OLE_LINK504"/>
      <w:bookmarkStart w:id="384" w:name="_Toc2691661"/>
      <w:bookmarkStart w:id="385" w:name="OLE_LINK505"/>
      <w:r>
        <w:rPr>
          <w:rFonts w:hint="default" w:ascii="Times New Roman" w:hAnsi="Times New Roman" w:cs="Times New Roman"/>
          <w:color w:val="auto"/>
          <w:highlight w:val="none"/>
        </w:rPr>
        <w:t>根据该加油站安全设施设计的相关内容，评价组编制了该加油站安全措施落实情况如下所述：</w:t>
      </w:r>
    </w:p>
    <w:p w14:paraId="0B765BD5">
      <w:pPr>
        <w:snapToGrid w:val="0"/>
        <w:spacing w:line="360" w:lineRule="auto"/>
        <w:ind w:firstLine="560"/>
        <w:rPr>
          <w:rFonts w:hint="default" w:ascii="Times New Roman" w:hAnsi="Times New Roman" w:cs="Times New Roman"/>
          <w:color w:val="auto"/>
          <w:highlight w:val="none"/>
        </w:rPr>
      </w:pPr>
    </w:p>
    <w:p w14:paraId="24E2034E">
      <w:pPr>
        <w:pStyle w:val="21"/>
        <w:rPr>
          <w:rFonts w:hint="default" w:ascii="Times New Roman" w:hAnsi="Times New Roman" w:cs="Times New Roman"/>
          <w:color w:val="auto"/>
          <w:szCs w:val="21"/>
          <w:highlight w:val="none"/>
        </w:rPr>
      </w:pPr>
    </w:p>
    <w:p w14:paraId="5BFBF53C">
      <w:pPr>
        <w:pStyle w:val="21"/>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表7.2-2 安全措施检查表</w:t>
      </w:r>
    </w:p>
    <w:bookmarkEnd w:id="383"/>
    <w:bookmarkEnd w:id="384"/>
    <w:bookmarkEnd w:id="385"/>
    <w:tbl>
      <w:tblPr>
        <w:tblStyle w:val="48"/>
        <w:tblW w:w="535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0"/>
        <w:gridCol w:w="6711"/>
        <w:gridCol w:w="1757"/>
        <w:gridCol w:w="910"/>
      </w:tblGrid>
      <w:tr w14:paraId="172824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center"/>
          </w:tcPr>
          <w:p w14:paraId="09AF576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18"/>
                <w:szCs w:val="18"/>
              </w:rPr>
            </w:pPr>
            <w:bookmarkStart w:id="386" w:name="_Toc30143"/>
            <w:bookmarkStart w:id="387" w:name="_Toc2691667"/>
            <w:bookmarkStart w:id="388" w:name="OLE_LINK89"/>
            <w:bookmarkStart w:id="389" w:name="OLE_LINK88"/>
            <w:r>
              <w:rPr>
                <w:rFonts w:hint="default" w:ascii="Times New Roman" w:hAnsi="Times New Roman" w:eastAsia="宋体" w:cs="Times New Roman"/>
                <w:b/>
                <w:bCs/>
                <w:color w:val="auto"/>
                <w:sz w:val="18"/>
                <w:szCs w:val="18"/>
              </w:rPr>
              <w:t>序号</w:t>
            </w:r>
          </w:p>
        </w:tc>
        <w:tc>
          <w:tcPr>
            <w:tcW w:w="6085" w:type="dxa"/>
            <w:noWrap w:val="0"/>
            <w:vAlign w:val="center"/>
          </w:tcPr>
          <w:p w14:paraId="230F7B4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安全设施设计中提出的安全对策措施</w:t>
            </w:r>
          </w:p>
        </w:tc>
        <w:tc>
          <w:tcPr>
            <w:tcW w:w="1593" w:type="dxa"/>
            <w:noWrap w:val="0"/>
            <w:vAlign w:val="center"/>
          </w:tcPr>
          <w:p w14:paraId="6341340A">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现场情况</w:t>
            </w:r>
          </w:p>
        </w:tc>
        <w:tc>
          <w:tcPr>
            <w:tcW w:w="825" w:type="dxa"/>
            <w:noWrap w:val="0"/>
            <w:vAlign w:val="center"/>
          </w:tcPr>
          <w:p w14:paraId="74BC7E1B">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采纳</w:t>
            </w:r>
          </w:p>
          <w:p w14:paraId="1E297692">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情况</w:t>
            </w:r>
          </w:p>
        </w:tc>
      </w:tr>
      <w:tr w14:paraId="4CFA2F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626" w:type="dxa"/>
            <w:noWrap w:val="0"/>
            <w:vAlign w:val="top"/>
          </w:tcPr>
          <w:p w14:paraId="4D3E4E4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222DD8F7">
            <w:pPr>
              <w:keepNext w:val="0"/>
              <w:keepLines w:val="0"/>
              <w:widowControl w:val="0"/>
              <w:suppressLineNumbers w:val="0"/>
              <w:spacing w:before="0" w:beforeAutospacing="0" w:after="0" w:afterAutospacing="0" w:line="200" w:lineRule="exact"/>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4.1 工艺系统的安全设施设计</w:t>
            </w:r>
          </w:p>
        </w:tc>
      </w:tr>
      <w:tr w14:paraId="258D1F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626" w:type="dxa"/>
            <w:noWrap w:val="0"/>
            <w:vAlign w:val="top"/>
          </w:tcPr>
          <w:p w14:paraId="588C5961">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1DA70B63">
            <w:pPr>
              <w:keepNext w:val="0"/>
              <w:keepLines w:val="0"/>
              <w:widowControl w:val="0"/>
              <w:suppressLineNumbers w:val="0"/>
              <w:spacing w:before="0" w:beforeAutospacing="0" w:after="0" w:afterAutospacing="0" w:line="200" w:lineRule="exact"/>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4.1.1 工艺过程采取的防泄漏、防火、防爆、防尘、防毒、防腐蚀等主要 措施</w:t>
            </w:r>
          </w:p>
        </w:tc>
      </w:tr>
      <w:tr w14:paraId="3F7842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626" w:type="dxa"/>
            <w:vMerge w:val="restart"/>
            <w:noWrap w:val="0"/>
            <w:vAlign w:val="center"/>
          </w:tcPr>
          <w:p w14:paraId="4F890681">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sz w:val="18"/>
                <w:szCs w:val="18"/>
              </w:rPr>
            </w:pPr>
            <w:r>
              <w:rPr>
                <w:rFonts w:hint="default" w:ascii="Times New Roman" w:hAnsi="Times New Roman" w:eastAsia="宋体" w:cs="Times New Roman"/>
                <w:color w:val="auto"/>
                <w:sz w:val="18"/>
                <w:szCs w:val="18"/>
              </w:rPr>
              <w:t>工艺过程采取的主要措施</w:t>
            </w:r>
          </w:p>
        </w:tc>
        <w:tc>
          <w:tcPr>
            <w:tcW w:w="6085" w:type="dxa"/>
            <w:noWrap w:val="0"/>
            <w:vAlign w:val="center"/>
          </w:tcPr>
          <w:p w14:paraId="33FEDB3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（1）油罐为双层埋地卧式油罐，油罐周围回填细沙（级配砂石），罐顶覆沙厚度为1.4m。</w:t>
            </w:r>
          </w:p>
        </w:tc>
        <w:tc>
          <w:tcPr>
            <w:tcW w:w="1593" w:type="dxa"/>
            <w:noWrap w:val="0"/>
            <w:vAlign w:val="center"/>
          </w:tcPr>
          <w:p w14:paraId="30C6F9D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油罐为双层埋地卧式油罐，油罐周围回填细沙</w:t>
            </w:r>
          </w:p>
        </w:tc>
        <w:tc>
          <w:tcPr>
            <w:tcW w:w="825" w:type="dxa"/>
            <w:noWrap w:val="0"/>
            <w:vAlign w:val="center"/>
          </w:tcPr>
          <w:p w14:paraId="4A8FEAC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已落实</w:t>
            </w:r>
          </w:p>
        </w:tc>
      </w:tr>
      <w:tr w14:paraId="58EA3C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626" w:type="dxa"/>
            <w:vMerge w:val="continue"/>
            <w:noWrap w:val="0"/>
            <w:vAlign w:val="center"/>
          </w:tcPr>
          <w:p w14:paraId="4FA91E9F">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0FCA70D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埋地油罐设置带高低液位报警的液位仪及卸油防溢阀，及时监测油罐内液位。当油品达到油罐容量90%时，能触动高液位报警装置；油品达到油罐容量95%时，卸油防溢阀关闭进油管线，自动停止油品继续进罐。油罐液位仪接管和量油接管设在油罐筒体轴线上，量油孔设带锁的量油帽，量油帽下部的接合管向下伸至罐内距离罐底0.2m处。</w:t>
            </w:r>
          </w:p>
        </w:tc>
        <w:tc>
          <w:tcPr>
            <w:tcW w:w="1593" w:type="dxa"/>
            <w:noWrap w:val="0"/>
            <w:vAlign w:val="center"/>
          </w:tcPr>
          <w:p w14:paraId="613D253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油罐设有液位报警</w:t>
            </w:r>
          </w:p>
        </w:tc>
        <w:tc>
          <w:tcPr>
            <w:tcW w:w="825" w:type="dxa"/>
            <w:noWrap w:val="0"/>
            <w:vAlign w:val="center"/>
          </w:tcPr>
          <w:p w14:paraId="66A57F2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19CE04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626" w:type="dxa"/>
            <w:vMerge w:val="continue"/>
            <w:noWrap w:val="0"/>
            <w:vAlign w:val="center"/>
          </w:tcPr>
          <w:p w14:paraId="65E2FDD8">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1A49460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（3）汽油卸油采用了密闭卸油方式。每个油罐各自设置卸油管道和卸油接口。各卸油接口及油气回收接口有明显的标识。卸油接口安装了阀门、快速接头及密封盖。</w:t>
            </w:r>
          </w:p>
        </w:tc>
        <w:tc>
          <w:tcPr>
            <w:tcW w:w="1593" w:type="dxa"/>
            <w:noWrap w:val="0"/>
            <w:vAlign w:val="center"/>
          </w:tcPr>
          <w:p w14:paraId="6CEA046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采用了密闭卸油</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rPr>
              <w:t>各油罐分别有卸油管道和卸油</w:t>
            </w:r>
            <w:r>
              <w:rPr>
                <w:rFonts w:hint="eastAsia" w:ascii="Times New Roman" w:hAnsi="Times New Roman" w:eastAsia="宋体" w:cs="Times New Roman"/>
                <w:color w:val="auto"/>
                <w:sz w:val="18"/>
                <w:szCs w:val="18"/>
                <w:lang w:val="en-US" w:eastAsia="zh-CN"/>
              </w:rPr>
              <w:t>接</w:t>
            </w:r>
            <w:r>
              <w:rPr>
                <w:rFonts w:hint="eastAsia" w:ascii="Times New Roman" w:hAnsi="Times New Roman" w:eastAsia="宋体" w:cs="Times New Roman"/>
                <w:color w:val="auto"/>
                <w:sz w:val="18"/>
                <w:szCs w:val="18"/>
              </w:rPr>
              <w:t>口，均标有标识</w:t>
            </w:r>
          </w:p>
        </w:tc>
        <w:tc>
          <w:tcPr>
            <w:tcW w:w="825" w:type="dxa"/>
            <w:noWrap w:val="0"/>
            <w:vAlign w:val="center"/>
          </w:tcPr>
          <w:p w14:paraId="07FF089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4672CB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626" w:type="dxa"/>
            <w:vMerge w:val="continue"/>
            <w:noWrap w:val="0"/>
            <w:vAlign w:val="center"/>
          </w:tcPr>
          <w:p w14:paraId="25651BAF">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1B52D3B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汽油加油机系统安装了真空辅助式油气回收系统。油气回收管径为DN100。每台汽油加油机的底部与油气回收立管安装一个用于检测液阻和系统密闭性的丝接三通，其旁通短管上设置了公称直径为DN25的球阀及丝堵。在不用时阀门后的丝堵口应加丝堵闷头。加油机为有资质厂家成套提供，在加油机内设有气体单向阀，可保障油气不回流到加油枪。</w:t>
            </w:r>
          </w:p>
        </w:tc>
        <w:tc>
          <w:tcPr>
            <w:tcW w:w="1593" w:type="dxa"/>
            <w:noWrap w:val="0"/>
            <w:vAlign w:val="center"/>
          </w:tcPr>
          <w:p w14:paraId="31C0BD5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有</w:t>
            </w:r>
            <w:r>
              <w:rPr>
                <w:rFonts w:hint="eastAsia" w:ascii="Times New Roman" w:hAnsi="Times New Roman" w:eastAsia="宋体" w:cs="Times New Roman"/>
                <w:color w:val="auto"/>
                <w:sz w:val="18"/>
                <w:szCs w:val="18"/>
              </w:rPr>
              <w:t>油气回收系统</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lang w:val="en-US" w:eastAsia="zh-CN"/>
              </w:rPr>
              <w:t>加油机有合格证</w:t>
            </w:r>
          </w:p>
        </w:tc>
        <w:tc>
          <w:tcPr>
            <w:tcW w:w="825" w:type="dxa"/>
            <w:noWrap w:val="0"/>
            <w:vAlign w:val="center"/>
          </w:tcPr>
          <w:p w14:paraId="3812C63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53C968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vMerge w:val="continue"/>
            <w:noWrap w:val="0"/>
            <w:vAlign w:val="center"/>
          </w:tcPr>
          <w:p w14:paraId="30F00F8B">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00818EF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5）油罐的管口全部设在人孔盖上，并用操作井与土壤和地下水隔绝。人孔盖上的管口与引出操作井外管道的连接采用金属软管柔性过度连接，管道穿越井壁时设防水套管。进油管伸至罐内距罐底100mm处，底端为45°斜口。量油孔下部接合管向下伸至罐内距罐底200mm处，量油孔设置带锁的量油帽。</w:t>
            </w:r>
          </w:p>
        </w:tc>
        <w:tc>
          <w:tcPr>
            <w:tcW w:w="1593" w:type="dxa"/>
            <w:noWrap w:val="0"/>
            <w:vAlign w:val="center"/>
          </w:tcPr>
          <w:p w14:paraId="6560175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rPr>
              <w:t>油罐的管口全部设在人孔盖上</w:t>
            </w:r>
          </w:p>
        </w:tc>
        <w:tc>
          <w:tcPr>
            <w:tcW w:w="825" w:type="dxa"/>
            <w:noWrap w:val="0"/>
            <w:vAlign w:val="center"/>
          </w:tcPr>
          <w:p w14:paraId="2421EE7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065962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626" w:type="dxa"/>
            <w:vMerge w:val="continue"/>
            <w:noWrap w:val="0"/>
            <w:vAlign w:val="center"/>
          </w:tcPr>
          <w:p w14:paraId="06F3BDB2">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032BCD7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6）加油机、油罐、路灯等外壳均与防雷防静电接地连接。埋地油罐罐体接地为两处，电缆布线，钢管保护，如果处于爆炸危险区域内保护管，其管端应在面处做好隔离密封，螺纹上涂以导电性防锈脂，人孔井内、加油机处法兰和通气管法兰用铜编织带跨接。加油站防雷接地、防静电接地、电气设备的工作接地、保护接地及信息系统的接地等，共用接地装置。埋地油罐顶部的金属部件和罐内各金属部件，与非埋地部分的工艺金属管道相互做电气连接并接地。</w:t>
            </w:r>
          </w:p>
        </w:tc>
        <w:tc>
          <w:tcPr>
            <w:tcW w:w="1593" w:type="dxa"/>
            <w:noWrap w:val="0"/>
            <w:vAlign w:val="center"/>
          </w:tcPr>
          <w:p w14:paraId="7375878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加油机、油罐、路灯等外壳均与防雷防静电接地连接</w:t>
            </w:r>
          </w:p>
        </w:tc>
        <w:tc>
          <w:tcPr>
            <w:tcW w:w="825" w:type="dxa"/>
            <w:noWrap w:val="0"/>
            <w:vAlign w:val="center"/>
          </w:tcPr>
          <w:p w14:paraId="5B9BC9B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48AB1E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626" w:type="dxa"/>
            <w:vMerge w:val="continue"/>
            <w:noWrap w:val="0"/>
            <w:vAlign w:val="center"/>
          </w:tcPr>
          <w:p w14:paraId="62676F9C">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1EDE58D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（7）在油罐车卸油处，设置卸油时防静电临时连接卡子和静电接地报警器，距离卸油口大于1.5m 且距离加油机边不小于5m，并和室外接地体连接。</w:t>
            </w:r>
          </w:p>
        </w:tc>
        <w:tc>
          <w:tcPr>
            <w:tcW w:w="1593" w:type="dxa"/>
            <w:noWrap w:val="0"/>
            <w:vAlign w:val="center"/>
          </w:tcPr>
          <w:p w14:paraId="400EFFE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卸油区设有</w:t>
            </w:r>
            <w:r>
              <w:rPr>
                <w:rFonts w:hint="eastAsia" w:ascii="Times New Roman" w:hAnsi="Times New Roman" w:eastAsia="宋体" w:cs="Times New Roman"/>
                <w:color w:val="auto"/>
                <w:sz w:val="18"/>
                <w:szCs w:val="18"/>
              </w:rPr>
              <w:t>静电接地报警器</w:t>
            </w:r>
          </w:p>
        </w:tc>
        <w:tc>
          <w:tcPr>
            <w:tcW w:w="825" w:type="dxa"/>
            <w:noWrap w:val="0"/>
            <w:vAlign w:val="center"/>
          </w:tcPr>
          <w:p w14:paraId="465AE57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752E9C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vMerge w:val="continue"/>
            <w:noWrap w:val="0"/>
            <w:vAlign w:val="center"/>
          </w:tcPr>
          <w:p w14:paraId="00F13F58">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3B0B030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8）通气管沿后排东侧立柱集中向上敷设，高出罩棚2m，管径为DN50。汽油通气管设置二根管道（一根为常闭设置防爆阻火通气帽，一根为常开设置全天候防爆阻火呼吸阀），管道上设置检修球阀，管道末端设置阻火呼吸阀，呼吸阀定压为正压2.5kPa、负压1.5kPa。</w:t>
            </w:r>
          </w:p>
        </w:tc>
        <w:tc>
          <w:tcPr>
            <w:tcW w:w="1593" w:type="dxa"/>
            <w:noWrap w:val="0"/>
            <w:vAlign w:val="center"/>
          </w:tcPr>
          <w:p w14:paraId="60386E4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rPr>
              <w:t>汽油通气管设置二根管道</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rPr>
              <w:t>管道上设置检修球阀</w:t>
            </w:r>
          </w:p>
        </w:tc>
        <w:tc>
          <w:tcPr>
            <w:tcW w:w="825" w:type="dxa"/>
            <w:noWrap w:val="0"/>
            <w:vAlign w:val="center"/>
          </w:tcPr>
          <w:p w14:paraId="7B486AF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216A5F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vMerge w:val="continue"/>
            <w:noWrap w:val="0"/>
            <w:vAlign w:val="center"/>
          </w:tcPr>
          <w:p w14:paraId="2A65D1FC">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295E29F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9）工艺管道埋深不小于0.5m，人孔井内及地上管道均为钢制管道，埋地管道均为复合材料管道（其中储罐至加油机的输油管线为双层复合管线，卸油管道、卸油油气回收管道、加油油气回收管道采用单层导静电复合管道；油气处理设备进出口管道、通气管道采用无缝钢管），钢制管道与复合材料管道由成品钢塑转换接头连接。</w:t>
            </w:r>
          </w:p>
          <w:p w14:paraId="5598ADF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加油机设置防渗底槽，装有潜油泵的油罐人孔操作井、卸油口井、加油机底槽均为防渗型。</w:t>
            </w:r>
          </w:p>
        </w:tc>
        <w:tc>
          <w:tcPr>
            <w:tcW w:w="1593" w:type="dxa"/>
            <w:noWrap w:val="0"/>
            <w:vAlign w:val="center"/>
          </w:tcPr>
          <w:p w14:paraId="7C2E8BD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rPr>
              <w:t>人孔井内及地上管道均为钢制管道</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rPr>
              <w:t>加油机设置防渗底槽</w:t>
            </w:r>
          </w:p>
        </w:tc>
        <w:tc>
          <w:tcPr>
            <w:tcW w:w="825" w:type="dxa"/>
            <w:noWrap w:val="0"/>
            <w:vAlign w:val="center"/>
          </w:tcPr>
          <w:p w14:paraId="3082620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6F9EEE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26" w:type="dxa"/>
            <w:vMerge w:val="continue"/>
            <w:noWrap w:val="0"/>
            <w:vAlign w:val="center"/>
          </w:tcPr>
          <w:p w14:paraId="501D8BDA">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18"/>
                <w:szCs w:val="18"/>
              </w:rPr>
            </w:pPr>
          </w:p>
        </w:tc>
        <w:tc>
          <w:tcPr>
            <w:tcW w:w="6085" w:type="dxa"/>
            <w:noWrap w:val="0"/>
            <w:vAlign w:val="center"/>
          </w:tcPr>
          <w:p w14:paraId="1005FF5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（10）本站加油管采用导静电双层热塑性塑料管，其余管线采用20#无缝钢管。埋地敷设的钢质管道须做加强级防腐处理，防腐材料采用环氧煤沥青漆防腐工艺，详见《</w:t>
            </w:r>
            <w:r>
              <w:rPr>
                <w:rFonts w:hint="eastAsia" w:cs="Times New Roman"/>
                <w:color w:val="auto"/>
                <w:sz w:val="18"/>
                <w:szCs w:val="18"/>
                <w:lang w:eastAsia="zh-CN"/>
              </w:rPr>
              <w:t>钢质管道外腐蚀控制规范</w:t>
            </w:r>
            <w:r>
              <w:rPr>
                <w:rFonts w:hint="eastAsia" w:ascii="Times New Roman" w:hAnsi="Times New Roman" w:eastAsia="宋体" w:cs="Times New Roman"/>
                <w:color w:val="auto"/>
                <w:sz w:val="18"/>
                <w:szCs w:val="18"/>
              </w:rPr>
              <w:t>》GB/T21447-2018的要求。</w:t>
            </w:r>
          </w:p>
        </w:tc>
        <w:tc>
          <w:tcPr>
            <w:tcW w:w="1593" w:type="dxa"/>
            <w:noWrap w:val="0"/>
            <w:vAlign w:val="center"/>
          </w:tcPr>
          <w:p w14:paraId="0563000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加油管采用导静电双层热塑性塑料管</w:t>
            </w:r>
          </w:p>
        </w:tc>
        <w:tc>
          <w:tcPr>
            <w:tcW w:w="825" w:type="dxa"/>
            <w:noWrap w:val="0"/>
            <w:vAlign w:val="center"/>
          </w:tcPr>
          <w:p w14:paraId="747B24F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09B158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626" w:type="dxa"/>
            <w:noWrap w:val="0"/>
            <w:vAlign w:val="top"/>
          </w:tcPr>
          <w:p w14:paraId="6ECAC58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2BFE928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4.1.2 正常工况与非正常工况下危险物料的安全控制措施</w:t>
            </w:r>
          </w:p>
        </w:tc>
      </w:tr>
      <w:tr w14:paraId="55394D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center"/>
          </w:tcPr>
          <w:p w14:paraId="754039AE">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r>
              <w:rPr>
                <w:rFonts w:hint="eastAsia" w:ascii="Times New Roman" w:hAnsi="Times New Roman" w:cs="Times New Roman"/>
                <w:color w:val="auto"/>
                <w:sz w:val="18"/>
                <w:szCs w:val="18"/>
              </w:rPr>
              <w:t>正常工况下的安全控制措施</w:t>
            </w:r>
          </w:p>
        </w:tc>
        <w:tc>
          <w:tcPr>
            <w:tcW w:w="6085" w:type="dxa"/>
            <w:noWrap w:val="0"/>
            <w:vAlign w:val="center"/>
          </w:tcPr>
          <w:p w14:paraId="7F8840B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装满汽油的油罐车到达加油站卸车点后，在卸车点附近停稳熄火，将连通软管与油罐车的卸油口、储罐的卸油口连接好（汽油连接油气回收管线），油罐车接好静电接地装置，静止5分钟后开始卸油。当油品卸完，人工封闭好油罐卸油口和罐车卸油口，拆除静电接地装置，发动油品罐车缓慢离开罐区。卸油为密闭卸油方式，油罐车设置静电接地仪。</w:t>
            </w:r>
          </w:p>
          <w:p w14:paraId="67059E8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加油采用潜油泵加油机发油工艺，通过储油罐潜油泵把油品从储油罐输送至加油机，经过加油机的计量器，再经加油枪加到汽车油箱中。加油机设置安全拉断阀，流量不大于50L/min。</w:t>
            </w:r>
          </w:p>
        </w:tc>
        <w:tc>
          <w:tcPr>
            <w:tcW w:w="1593" w:type="dxa"/>
            <w:noWrap w:val="0"/>
            <w:vAlign w:val="center"/>
          </w:tcPr>
          <w:p w14:paraId="0C73A64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加油站制定了卸油安全操作规程</w:t>
            </w:r>
            <w:r>
              <w:rPr>
                <w:rFonts w:hint="eastAsia" w:ascii="Times New Roman" w:hAnsi="Times New Roman" w:eastAsia="宋体" w:cs="Times New Roman"/>
                <w:color w:val="auto"/>
                <w:sz w:val="18"/>
                <w:szCs w:val="18"/>
                <w:lang w:val="en-US" w:eastAsia="zh-CN"/>
              </w:rPr>
              <w:t>，</w:t>
            </w:r>
            <w:r>
              <w:rPr>
                <w:rFonts w:hint="eastAsia" w:ascii="Times New Roman" w:hAnsi="Times New Roman" w:eastAsia="宋体" w:cs="Times New Roman"/>
                <w:color w:val="auto"/>
                <w:sz w:val="18"/>
                <w:szCs w:val="18"/>
              </w:rPr>
              <w:t>加油采用潜油泵加油机发油工艺</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lang w:val="en-US" w:eastAsia="zh-CN"/>
              </w:rPr>
              <w:t>加油机</w:t>
            </w:r>
            <w:r>
              <w:rPr>
                <w:rFonts w:hint="eastAsia" w:ascii="Times New Roman" w:hAnsi="Times New Roman" w:eastAsia="宋体" w:cs="Times New Roman"/>
                <w:color w:val="auto"/>
                <w:sz w:val="18"/>
                <w:szCs w:val="18"/>
              </w:rPr>
              <w:t>流量不大于50L/min</w:t>
            </w:r>
          </w:p>
        </w:tc>
        <w:tc>
          <w:tcPr>
            <w:tcW w:w="825" w:type="dxa"/>
            <w:noWrap w:val="0"/>
            <w:vAlign w:val="center"/>
          </w:tcPr>
          <w:p w14:paraId="3FCC082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6CE221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24" w:hRule="atLeast"/>
          <w:jc w:val="center"/>
        </w:trPr>
        <w:tc>
          <w:tcPr>
            <w:tcW w:w="626" w:type="dxa"/>
            <w:noWrap w:val="0"/>
            <w:vAlign w:val="center"/>
          </w:tcPr>
          <w:p w14:paraId="4AA851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w:t>
            </w:r>
            <w:r>
              <w:rPr>
                <w:rFonts w:hint="eastAsia" w:ascii="Times New Roman" w:hAnsi="Times New Roman" w:cs="Times New Roman"/>
                <w:color w:val="auto"/>
                <w:sz w:val="18"/>
                <w:szCs w:val="18"/>
                <w:lang w:eastAsia="zh-CN"/>
              </w:rPr>
              <w:t>、</w:t>
            </w:r>
            <w:r>
              <w:rPr>
                <w:rFonts w:hint="eastAsia" w:ascii="Times New Roman" w:hAnsi="Times New Roman" w:cs="Times New Roman"/>
                <w:color w:val="auto"/>
                <w:sz w:val="18"/>
                <w:szCs w:val="18"/>
              </w:rPr>
              <w:t>非正常工况时安全控制措施</w:t>
            </w:r>
          </w:p>
        </w:tc>
        <w:tc>
          <w:tcPr>
            <w:tcW w:w="6085" w:type="dxa"/>
            <w:noWrap w:val="0"/>
            <w:vAlign w:val="top"/>
          </w:tcPr>
          <w:p w14:paraId="27F92DF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加油机为自封式加油机，设计急停按钮。紧急状况下应按急停按钮。本次设置两个急停按钮，一个设置于便利店内，一个设置于加油区，均可使加油机（泵）停止工作。</w:t>
            </w:r>
          </w:p>
          <w:p w14:paraId="3F32679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油罐车卸油采用密闭卸油方式，油罐设置专用进油管道，向下伸至罐内距罐底0.1m。采用快速接头进行卸油，可减少油品挥发损耗，避免敞口卸油时出现油气沿地面扩散。油罐液位计采用PLS型，具有自动计量与液位检测及多重语音报警功能，且罐内设置卸油防溢阀，当油料达到油罐容量的90%时，触动高液位报警装置，油料达到95%能自动停止油自动进罐。</w:t>
            </w:r>
          </w:p>
          <w:p w14:paraId="079D59A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油罐设置在线监测系统一套，监测系统联锁站房便利店内监测报警器。双层管线设置在线监测系统一套，监测系统联锁站房便利店内监测报警器。液位自动监测系统的渗漏检测分辨率不大于0.8 L/h（与设备厂家签订技术协议，设备由厂家成套提供）。液位报警系统的最高液位设定，满足报警2min。</w:t>
            </w:r>
          </w:p>
        </w:tc>
        <w:tc>
          <w:tcPr>
            <w:tcW w:w="1593" w:type="dxa"/>
            <w:noWrap w:val="0"/>
            <w:vAlign w:val="center"/>
          </w:tcPr>
          <w:p w14:paraId="25D4C3E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rPr>
              <w:t>加</w:t>
            </w:r>
            <w:r>
              <w:rPr>
                <w:rFonts w:hint="eastAsia" w:ascii="Times New Roman" w:hAnsi="Times New Roman" w:eastAsia="宋体" w:cs="Times New Roman"/>
                <w:color w:val="auto"/>
                <w:sz w:val="18"/>
                <w:szCs w:val="18"/>
                <w:lang w:val="en-US" w:eastAsia="zh-CN"/>
              </w:rPr>
              <w:t>油机为自封式加油机，设计急停按钮；油罐车卸油采用密闭卸油方式，油罐设置专用进油管道；</w:t>
            </w:r>
            <w:r>
              <w:rPr>
                <w:rFonts w:hint="default" w:ascii="Times New Roman" w:hAnsi="Times New Roman" w:eastAsia="宋体" w:cs="Times New Roman"/>
                <w:color w:val="auto"/>
                <w:sz w:val="18"/>
                <w:szCs w:val="18"/>
                <w:lang w:val="en-US" w:eastAsia="zh-CN"/>
              </w:rPr>
              <w:t>油罐设有液位报警</w:t>
            </w:r>
            <w:r>
              <w:rPr>
                <w:rFonts w:hint="eastAsia" w:ascii="Times New Roman" w:hAnsi="Times New Roman" w:eastAsia="宋体" w:cs="Times New Roman"/>
                <w:color w:val="auto"/>
                <w:sz w:val="18"/>
                <w:szCs w:val="18"/>
                <w:lang w:val="en-US" w:eastAsia="zh-CN"/>
              </w:rPr>
              <w:t>；油罐</w:t>
            </w:r>
            <w:r>
              <w:rPr>
                <w:rFonts w:hint="eastAsia" w:cs="Times New Roman"/>
                <w:color w:val="auto"/>
                <w:sz w:val="18"/>
                <w:szCs w:val="18"/>
                <w:lang w:val="en-US" w:eastAsia="zh-CN"/>
              </w:rPr>
              <w:t>设有</w:t>
            </w:r>
            <w:r>
              <w:rPr>
                <w:rFonts w:hint="eastAsia" w:ascii="Times New Roman" w:hAnsi="Times New Roman" w:eastAsia="宋体" w:cs="Times New Roman"/>
                <w:color w:val="auto"/>
                <w:sz w:val="18"/>
                <w:szCs w:val="18"/>
                <w:lang w:val="en-US" w:eastAsia="zh-CN"/>
              </w:rPr>
              <w:t>在线监测系统</w:t>
            </w:r>
          </w:p>
        </w:tc>
        <w:tc>
          <w:tcPr>
            <w:tcW w:w="825" w:type="dxa"/>
            <w:noWrap w:val="0"/>
            <w:vAlign w:val="center"/>
          </w:tcPr>
          <w:p w14:paraId="1F50786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B8BC9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626" w:type="dxa"/>
            <w:noWrap w:val="0"/>
            <w:vAlign w:val="top"/>
          </w:tcPr>
          <w:p w14:paraId="673218C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7E67799F">
            <w:pPr>
              <w:keepNext w:val="0"/>
              <w:keepLines w:val="0"/>
              <w:pageBreakBefore w:val="0"/>
              <w:widowControl/>
              <w:suppressLineNumbers w:val="0"/>
              <w:kinsoku/>
              <w:wordWrap/>
              <w:overflowPunct/>
              <w:topLinePunct w:val="0"/>
              <w:autoSpaceDE/>
              <w:autoSpaceDN/>
              <w:bidi w:val="0"/>
              <w:spacing w:before="0" w:beforeAutospacing="0" w:after="0" w:afterAutospacing="0" w:line="270" w:lineRule="exact"/>
              <w:ind w:left="0" w:right="0"/>
              <w:jc w:val="center"/>
              <w:textAlignment w:val="auto"/>
              <w:rPr>
                <w:rFonts w:hint="default" w:ascii="Times New Roman" w:hAnsi="Times New Roman" w:cs="Times New Roman"/>
                <w:color w:val="auto"/>
                <w:sz w:val="18"/>
                <w:szCs w:val="18"/>
              </w:rPr>
            </w:pPr>
            <w:r>
              <w:rPr>
                <w:rFonts w:hint="default" w:ascii="Times New Roman" w:hAnsi="Times New Roman" w:cs="Times New Roman"/>
                <w:b/>
                <w:bCs/>
                <w:color w:val="auto"/>
                <w:sz w:val="18"/>
                <w:szCs w:val="18"/>
              </w:rPr>
              <w:t xml:space="preserve">4.2 </w:t>
            </w:r>
            <w:r>
              <w:rPr>
                <w:rFonts w:hint="eastAsia" w:ascii="Times New Roman" w:hAnsi="Times New Roman" w:cs="Times New Roman"/>
                <w:b/>
                <w:bCs/>
                <w:color w:val="auto"/>
                <w:sz w:val="18"/>
                <w:szCs w:val="18"/>
              </w:rPr>
              <w:t>总平面布置</w:t>
            </w:r>
            <w:r>
              <w:rPr>
                <w:rFonts w:hint="default" w:ascii="Times New Roman" w:hAnsi="Times New Roman" w:cs="Times New Roman"/>
                <w:b/>
                <w:bCs/>
                <w:color w:val="auto"/>
                <w:sz w:val="18"/>
                <w:szCs w:val="18"/>
              </w:rPr>
              <w:t>的安全设施设计</w:t>
            </w:r>
          </w:p>
        </w:tc>
      </w:tr>
      <w:tr w14:paraId="74FCBC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626" w:type="dxa"/>
            <w:noWrap w:val="0"/>
            <w:vAlign w:val="center"/>
          </w:tcPr>
          <w:p w14:paraId="3B083B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eastAsia"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rPr>
              <w:t>1</w:t>
            </w:r>
            <w:r>
              <w:rPr>
                <w:rFonts w:hint="eastAsia" w:ascii="Times New Roman" w:hAnsi="Times New Roman" w:cs="Times New Roman"/>
                <w:color w:val="auto"/>
                <w:sz w:val="18"/>
                <w:szCs w:val="18"/>
                <w:lang w:eastAsia="zh-CN"/>
              </w:rPr>
              <w:t>、对外安全间距</w:t>
            </w:r>
          </w:p>
        </w:tc>
        <w:tc>
          <w:tcPr>
            <w:tcW w:w="6085" w:type="dxa"/>
            <w:noWrap w:val="0"/>
            <w:vAlign w:val="center"/>
          </w:tcPr>
          <w:p w14:paraId="7CF3A2A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按《汽车加油加气加氢站技术标准》（GB50156-2021），埋地油罐、加油机及通气管管口与站外建（构）筑物的安全间距满足要求。</w:t>
            </w:r>
          </w:p>
        </w:tc>
        <w:tc>
          <w:tcPr>
            <w:tcW w:w="1593" w:type="dxa"/>
            <w:noWrap w:val="0"/>
            <w:vAlign w:val="center"/>
          </w:tcPr>
          <w:p w14:paraId="04FEB66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站区与周边建构筑物之间的距离满足要求</w:t>
            </w:r>
          </w:p>
        </w:tc>
        <w:tc>
          <w:tcPr>
            <w:tcW w:w="825" w:type="dxa"/>
            <w:noWrap w:val="0"/>
            <w:vAlign w:val="center"/>
          </w:tcPr>
          <w:p w14:paraId="6A49AB6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6AD00E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26" w:type="dxa"/>
            <w:shd w:val="clear" w:color="auto" w:fill="auto"/>
            <w:noWrap w:val="0"/>
            <w:vAlign w:val="center"/>
          </w:tcPr>
          <w:p w14:paraId="195498DF">
            <w:pPr>
              <w:keepNext w:val="0"/>
              <w:keepLines w:val="0"/>
              <w:pageBreakBefore w:val="0"/>
              <w:widowControl/>
              <w:suppressLineNumbers w:val="0"/>
              <w:kinsoku/>
              <w:wordWrap/>
              <w:overflowPunct/>
              <w:topLinePunct w:val="0"/>
              <w:autoSpaceDE/>
              <w:autoSpaceDN/>
              <w:bidi w:val="0"/>
              <w:spacing w:before="0" w:beforeAutospacing="0" w:after="0" w:afterAutospacing="0" w:line="280" w:lineRule="exact"/>
              <w:ind w:left="0" w:leftChars="0" w:right="0" w:firstLine="0" w:firstLineChars="0"/>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2、站内设施布局</w:t>
            </w:r>
          </w:p>
        </w:tc>
        <w:tc>
          <w:tcPr>
            <w:tcW w:w="6085" w:type="dxa"/>
            <w:shd w:val="clear" w:color="auto" w:fill="auto"/>
            <w:noWrap w:val="0"/>
            <w:vAlign w:val="center"/>
          </w:tcPr>
          <w:p w14:paraId="3A9678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加油站总体平面布置为：站内分为罩棚区、站房区、储罐区、洗车区等。</w:t>
            </w:r>
          </w:p>
          <w:p w14:paraId="451EC5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加油站进、出口分开设置，进口宽10m，出口宽10m，进出口之间设长24m，宽6m的隔离带，其两侧与公路连接处为混凝土地面。站区东、南、西三面设2.2m的实体围墙。</w:t>
            </w:r>
          </w:p>
          <w:p w14:paraId="0969C8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加油机面向公路双排布置，共4台双枪加油机，第一排靠公路为95#、92#汽油双枪加油机1台，92#、98#汽油双枪加油机1台，第二排为92#、95#汽油双枪加油机1台，98#、92#汽油双枪加油机1台。二排加油机之间为11m。</w:t>
            </w:r>
          </w:p>
          <w:p w14:paraId="0825A2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加油岛高0.2m，宽1.2m，长为4m，加油岛伸出立柱0.6m。加油岛两端设有防撞柱。</w:t>
            </w:r>
          </w:p>
          <w:p w14:paraId="7BC6C7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加油区罩棚高6.5m，南北向22.3m，东西向21.4m罩棚，罩棚边缘突出加油机5m。罩棚共4根浇钢筋混凝土立柱，顶为轻钢结构彩钢瓦顶。</w:t>
            </w:r>
          </w:p>
          <w:p w14:paraId="2056CE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站房为单层建筑，位于站区西侧中间，站房长26.5m，宽8.2m，为营业室、便利店、办公室、卫生间、值班室、配电间。</w:t>
            </w:r>
          </w:p>
          <w:p w14:paraId="0BD749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储罐区设防渗池位于加油区罩棚内行车道地下，自东向西设有30m³92#汽油储罐1个，30m³ 95#汽油储罐1个、30m³ 98#汽油储罐1个。</w:t>
            </w:r>
          </w:p>
          <w:p w14:paraId="22E371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通气管沿后排东侧立柱集中向上敷设，高出罩棚2m，管径为DN50。</w:t>
            </w:r>
          </w:p>
          <w:p w14:paraId="612B96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卸油口布置在站区的东侧围墙边，分设3个卸油口，1个油气回收接口，采用密闭卸油。卸油点设立静电报警仪。</w:t>
            </w:r>
          </w:p>
          <w:p w14:paraId="72205F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站房内西南侧为配电间，配电间门设有防小动物挡板，窗户设有防小动物网，内设配电柜1台。</w:t>
            </w:r>
          </w:p>
          <w:p w14:paraId="00D3F7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站液位报警仪设站房内，卸油时可油料达到油罐容量90％时，触动高液位报警装置，油料达到油罐在最95％时，自动停止油料继续进罐。</w:t>
            </w:r>
          </w:p>
          <w:p w14:paraId="21F50A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站房房顶上安装有210㎡的太阳能光伏板。</w:t>
            </w:r>
          </w:p>
          <w:p w14:paraId="06B9EC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站房外墙上和站内收银台旁2处设置了紧急停车装置(按钮)。</w:t>
            </w:r>
          </w:p>
        </w:tc>
        <w:tc>
          <w:tcPr>
            <w:tcW w:w="1593" w:type="dxa"/>
            <w:shd w:val="clear" w:color="auto" w:fill="auto"/>
            <w:noWrap w:val="0"/>
            <w:vAlign w:val="center"/>
          </w:tcPr>
          <w:p w14:paraId="1F05E7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textAlignment w:val="auto"/>
              <w:rPr>
                <w:rFonts w:hint="default" w:ascii="Times New Roman" w:hAnsi="Times New Roman" w:eastAsia="宋体" w:cs="Times New Roman"/>
                <w:color w:val="auto"/>
                <w:sz w:val="18"/>
                <w:szCs w:val="18"/>
                <w:lang w:val="en-US"/>
              </w:rPr>
            </w:pPr>
            <w:r>
              <w:rPr>
                <w:rFonts w:hint="eastAsia" w:ascii="Times New Roman" w:hAnsi="Times New Roman" w:eastAsia="宋体" w:cs="Times New Roman"/>
                <w:color w:val="auto"/>
                <w:sz w:val="18"/>
                <w:szCs w:val="18"/>
                <w:lang w:val="en-US" w:eastAsia="zh-CN"/>
              </w:rPr>
              <w:t>站内分为罩棚区、站房区、储罐区、洗车区等，平面布置与设计一致</w:t>
            </w:r>
          </w:p>
        </w:tc>
        <w:tc>
          <w:tcPr>
            <w:tcW w:w="825" w:type="dxa"/>
            <w:shd w:val="clear" w:color="auto" w:fill="auto"/>
            <w:noWrap w:val="0"/>
            <w:vAlign w:val="center"/>
          </w:tcPr>
          <w:p w14:paraId="2D58A2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80" w:lineRule="exact"/>
              <w:ind w:left="0" w:right="0" w:firstLine="0" w:firstLineChars="0"/>
              <w:jc w:val="center"/>
              <w:textAlignment w:val="auto"/>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已</w:t>
            </w:r>
            <w:r>
              <w:rPr>
                <w:rFonts w:hint="eastAsia" w:ascii="Times New Roman" w:hAnsi="Times New Roman" w:eastAsia="宋体" w:cs="Times New Roman"/>
                <w:color w:val="auto"/>
                <w:sz w:val="18"/>
                <w:szCs w:val="18"/>
              </w:rPr>
              <w:t>落实</w:t>
            </w:r>
          </w:p>
        </w:tc>
      </w:tr>
      <w:tr w14:paraId="2B14A0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26" w:type="dxa"/>
            <w:noWrap w:val="0"/>
            <w:vAlign w:val="center"/>
          </w:tcPr>
          <w:p w14:paraId="36565B19">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3、加油站站内各设施之间的防火间距</w:t>
            </w:r>
          </w:p>
        </w:tc>
        <w:tc>
          <w:tcPr>
            <w:tcW w:w="6085" w:type="dxa"/>
            <w:noWrap w:val="0"/>
            <w:vAlign w:val="center"/>
          </w:tcPr>
          <w:p w14:paraId="6EB9F46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zh-CN" w:eastAsia="zh-CN"/>
              </w:rPr>
            </w:pPr>
            <w:r>
              <w:rPr>
                <w:rFonts w:hint="eastAsia" w:ascii="Times New Roman" w:hAnsi="Times New Roman" w:eastAsia="宋体" w:cs="Times New Roman"/>
                <w:color w:val="auto"/>
                <w:sz w:val="18"/>
                <w:szCs w:val="18"/>
                <w:lang w:val="en-US" w:eastAsia="zh-CN"/>
              </w:rPr>
              <w:t>防火间距见表4-2所示：</w:t>
            </w:r>
          </w:p>
          <w:p w14:paraId="41F45F6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表4-2 加油站站内汽油设施的防火间距表</w:t>
            </w:r>
          </w:p>
          <w:tbl>
            <w:tblPr>
              <w:tblStyle w:val="48"/>
              <w:tblW w:w="4995" w:type="pct"/>
              <w:jc w:val="center"/>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1363"/>
              <w:gridCol w:w="1527"/>
              <w:gridCol w:w="887"/>
              <w:gridCol w:w="884"/>
              <w:gridCol w:w="780"/>
              <w:gridCol w:w="1032"/>
            </w:tblGrid>
            <w:tr w14:paraId="11D291EC">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595" w:hRule="atLeast"/>
                <w:tblHeader/>
                <w:jc w:val="center"/>
              </w:trPr>
              <w:tc>
                <w:tcPr>
                  <w:tcW w:w="2232" w:type="pct"/>
                  <w:gridSpan w:val="2"/>
                  <w:tcBorders>
                    <w:top w:val="double" w:color="auto" w:sz="2" w:space="0"/>
                    <w:left w:val="double" w:color="auto" w:sz="2" w:space="0"/>
                    <w:bottom w:val="single" w:color="auto" w:sz="4" w:space="0"/>
                    <w:right w:val="single" w:color="auto" w:sz="4" w:space="0"/>
                  </w:tcBorders>
                  <w:noWrap w:val="0"/>
                  <w:vAlign w:val="center"/>
                </w:tcPr>
                <w:p w14:paraId="1D4E10C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bookmarkStart w:id="390" w:name="_Toc467663397"/>
                  <w:r>
                    <w:rPr>
                      <w:rFonts w:hint="eastAsia" w:ascii="Times New Roman" w:hAnsi="Times New Roman" w:eastAsia="宋体" w:cs="Times New Roman"/>
                      <w:color w:val="auto"/>
                      <w:sz w:val="18"/>
                      <w:szCs w:val="18"/>
                      <w:lang w:val="en-US" w:eastAsia="zh-CN"/>
                    </w:rPr>
                    <w:t>设施名称</w:t>
                  </w:r>
                </w:p>
              </w:tc>
              <w:tc>
                <w:tcPr>
                  <w:tcW w:w="685" w:type="pct"/>
                  <w:tcBorders>
                    <w:top w:val="double" w:color="auto" w:sz="2" w:space="0"/>
                    <w:left w:val="nil"/>
                    <w:bottom w:val="single" w:color="auto" w:sz="4" w:space="0"/>
                    <w:right w:val="single" w:color="auto" w:sz="4" w:space="0"/>
                  </w:tcBorders>
                  <w:noWrap w:val="0"/>
                  <w:vAlign w:val="center"/>
                </w:tcPr>
                <w:p w14:paraId="0CF9D3C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设计距离（m）</w:t>
                  </w:r>
                </w:p>
              </w:tc>
              <w:tc>
                <w:tcPr>
                  <w:tcW w:w="683" w:type="pct"/>
                  <w:tcBorders>
                    <w:top w:val="double" w:color="auto" w:sz="2" w:space="0"/>
                    <w:left w:val="nil"/>
                    <w:bottom w:val="single" w:color="auto" w:sz="4" w:space="0"/>
                    <w:right w:val="single" w:color="auto" w:sz="4" w:space="0"/>
                  </w:tcBorders>
                  <w:noWrap w:val="0"/>
                  <w:vAlign w:val="center"/>
                </w:tcPr>
                <w:p w14:paraId="33BF37A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标准距离（m）</w:t>
                  </w:r>
                </w:p>
              </w:tc>
              <w:tc>
                <w:tcPr>
                  <w:tcW w:w="603" w:type="pct"/>
                  <w:tcBorders>
                    <w:top w:val="double" w:color="auto" w:sz="2" w:space="0"/>
                    <w:left w:val="nil"/>
                    <w:bottom w:val="single" w:color="auto" w:sz="4" w:space="0"/>
                    <w:right w:val="single" w:color="auto" w:sz="4" w:space="0"/>
                  </w:tcBorders>
                  <w:noWrap w:val="0"/>
                  <w:vAlign w:val="center"/>
                </w:tcPr>
                <w:p w14:paraId="7345177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是否符合</w:t>
                  </w:r>
                </w:p>
              </w:tc>
              <w:tc>
                <w:tcPr>
                  <w:tcW w:w="795" w:type="pct"/>
                  <w:tcBorders>
                    <w:top w:val="double" w:color="auto" w:sz="2" w:space="0"/>
                    <w:left w:val="nil"/>
                    <w:bottom w:val="single" w:color="auto" w:sz="4" w:space="0"/>
                    <w:right w:val="double" w:color="auto" w:sz="2" w:space="0"/>
                  </w:tcBorders>
                  <w:noWrap w:val="0"/>
                  <w:vAlign w:val="center"/>
                </w:tcPr>
                <w:p w14:paraId="36ABDC8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备注</w:t>
                  </w:r>
                </w:p>
              </w:tc>
            </w:tr>
            <w:tr w14:paraId="59DA81FF">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restart"/>
                  <w:tcBorders>
                    <w:top w:val="nil"/>
                    <w:left w:val="double" w:color="auto" w:sz="2" w:space="0"/>
                    <w:right w:val="single" w:color="auto" w:sz="4" w:space="0"/>
                  </w:tcBorders>
                  <w:noWrap w:val="0"/>
                  <w:vAlign w:val="center"/>
                </w:tcPr>
                <w:p w14:paraId="76A0865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汽油埋地油罐</w:t>
                  </w:r>
                </w:p>
              </w:tc>
              <w:tc>
                <w:tcPr>
                  <w:tcW w:w="1179" w:type="pct"/>
                  <w:tcBorders>
                    <w:top w:val="single" w:color="auto" w:sz="4" w:space="0"/>
                    <w:left w:val="nil"/>
                    <w:bottom w:val="single" w:color="auto" w:sz="4" w:space="0"/>
                    <w:right w:val="single" w:color="auto" w:sz="4" w:space="0"/>
                  </w:tcBorders>
                  <w:noWrap w:val="0"/>
                  <w:vAlign w:val="center"/>
                </w:tcPr>
                <w:p w14:paraId="6AF8230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w:t>
                  </w:r>
                </w:p>
              </w:tc>
              <w:tc>
                <w:tcPr>
                  <w:tcW w:w="685" w:type="pct"/>
                  <w:tcBorders>
                    <w:top w:val="single" w:color="auto" w:sz="4" w:space="0"/>
                    <w:left w:val="nil"/>
                    <w:bottom w:val="single" w:color="auto" w:sz="4" w:space="0"/>
                    <w:right w:val="single" w:color="auto" w:sz="4" w:space="0"/>
                  </w:tcBorders>
                  <w:noWrap w:val="0"/>
                  <w:vAlign w:val="center"/>
                </w:tcPr>
                <w:p w14:paraId="6243F16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w:t>
                  </w:r>
                </w:p>
              </w:tc>
              <w:tc>
                <w:tcPr>
                  <w:tcW w:w="683" w:type="pct"/>
                  <w:tcBorders>
                    <w:top w:val="single" w:color="auto" w:sz="4" w:space="0"/>
                    <w:left w:val="nil"/>
                    <w:bottom w:val="single" w:color="auto" w:sz="4" w:space="0"/>
                    <w:right w:val="single" w:color="auto" w:sz="4" w:space="0"/>
                  </w:tcBorders>
                  <w:noWrap w:val="0"/>
                  <w:vAlign w:val="center"/>
                </w:tcPr>
                <w:p w14:paraId="1AEBD60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4</w:t>
                  </w:r>
                  <w:r>
                    <w:rPr>
                      <w:rFonts w:hint="eastAsia" w:ascii="Times New Roman" w:hAnsi="Times New Roman" w:eastAsia="宋体" w:cs="Times New Roman"/>
                      <w:color w:val="auto"/>
                      <w:sz w:val="18"/>
                      <w:szCs w:val="18"/>
                      <w:lang w:val="en-US" w:eastAsia="zh-CN"/>
                    </w:rPr>
                    <w:t>.3</w:t>
                  </w:r>
                </w:p>
              </w:tc>
              <w:tc>
                <w:tcPr>
                  <w:tcW w:w="603" w:type="pct"/>
                  <w:tcBorders>
                    <w:top w:val="single" w:color="auto" w:sz="4" w:space="0"/>
                    <w:left w:val="nil"/>
                    <w:bottom w:val="single" w:color="auto" w:sz="4" w:space="0"/>
                    <w:right w:val="single" w:color="auto" w:sz="4" w:space="0"/>
                  </w:tcBorders>
                  <w:noWrap w:val="0"/>
                  <w:vAlign w:val="center"/>
                </w:tcPr>
                <w:p w14:paraId="537834E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395B97B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68115C1E">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left w:val="double" w:color="auto" w:sz="2" w:space="0"/>
                    <w:right w:val="single" w:color="auto" w:sz="4" w:space="0"/>
                  </w:tcBorders>
                  <w:noWrap w:val="0"/>
                  <w:vAlign w:val="center"/>
                </w:tcPr>
                <w:p w14:paraId="55FB99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508ECC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配电间</w:t>
                  </w:r>
                </w:p>
              </w:tc>
              <w:tc>
                <w:tcPr>
                  <w:tcW w:w="685" w:type="pct"/>
                  <w:tcBorders>
                    <w:top w:val="single" w:color="auto" w:sz="4" w:space="0"/>
                    <w:left w:val="nil"/>
                    <w:bottom w:val="single" w:color="auto" w:sz="4" w:space="0"/>
                    <w:right w:val="single" w:color="auto" w:sz="4" w:space="0"/>
                  </w:tcBorders>
                  <w:noWrap w:val="0"/>
                  <w:vAlign w:val="center"/>
                </w:tcPr>
                <w:p w14:paraId="2838FA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4.5</w:t>
                  </w:r>
                </w:p>
              </w:tc>
              <w:tc>
                <w:tcPr>
                  <w:tcW w:w="683" w:type="pct"/>
                  <w:tcBorders>
                    <w:top w:val="single" w:color="auto" w:sz="4" w:space="0"/>
                    <w:left w:val="nil"/>
                    <w:bottom w:val="single" w:color="auto" w:sz="4" w:space="0"/>
                    <w:right w:val="single" w:color="auto" w:sz="4" w:space="0"/>
                  </w:tcBorders>
                  <w:noWrap w:val="0"/>
                  <w:vAlign w:val="center"/>
                </w:tcPr>
                <w:p w14:paraId="7EB049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14</w:t>
                  </w:r>
                </w:p>
              </w:tc>
              <w:tc>
                <w:tcPr>
                  <w:tcW w:w="603" w:type="pct"/>
                  <w:tcBorders>
                    <w:top w:val="single" w:color="auto" w:sz="4" w:space="0"/>
                    <w:left w:val="nil"/>
                    <w:bottom w:val="single" w:color="auto" w:sz="4" w:space="0"/>
                    <w:right w:val="single" w:color="auto" w:sz="4" w:space="0"/>
                  </w:tcBorders>
                  <w:noWrap w:val="0"/>
                  <w:vAlign w:val="center"/>
                </w:tcPr>
                <w:p w14:paraId="5DC7E4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03694E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p>
              </w:tc>
            </w:tr>
            <w:tr w14:paraId="06A35B29">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left w:val="double" w:color="auto" w:sz="2" w:space="0"/>
                    <w:bottom w:val="single" w:color="auto" w:sz="4" w:space="0"/>
                    <w:right w:val="single" w:color="auto" w:sz="4" w:space="0"/>
                  </w:tcBorders>
                  <w:noWrap w:val="0"/>
                  <w:vAlign w:val="center"/>
                </w:tcPr>
                <w:p w14:paraId="413373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396D19F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站区围墙</w:t>
                  </w:r>
                </w:p>
              </w:tc>
              <w:tc>
                <w:tcPr>
                  <w:tcW w:w="685" w:type="pct"/>
                  <w:tcBorders>
                    <w:top w:val="single" w:color="auto" w:sz="4" w:space="0"/>
                    <w:left w:val="nil"/>
                    <w:bottom w:val="single" w:color="auto" w:sz="4" w:space="0"/>
                    <w:right w:val="single" w:color="auto" w:sz="4" w:space="0"/>
                  </w:tcBorders>
                  <w:noWrap w:val="0"/>
                  <w:vAlign w:val="center"/>
                </w:tcPr>
                <w:p w14:paraId="5F0B1C3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683" w:type="pct"/>
                  <w:tcBorders>
                    <w:top w:val="single" w:color="auto" w:sz="4" w:space="0"/>
                    <w:left w:val="nil"/>
                    <w:bottom w:val="single" w:color="auto" w:sz="4" w:space="0"/>
                    <w:right w:val="single" w:color="auto" w:sz="4" w:space="0"/>
                  </w:tcBorders>
                  <w:noWrap w:val="0"/>
                  <w:vAlign w:val="center"/>
                </w:tcPr>
                <w:p w14:paraId="0D6C0B5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15</w:t>
                  </w:r>
                </w:p>
              </w:tc>
              <w:tc>
                <w:tcPr>
                  <w:tcW w:w="603" w:type="pct"/>
                  <w:tcBorders>
                    <w:top w:val="single" w:color="auto" w:sz="4" w:space="0"/>
                    <w:left w:val="nil"/>
                    <w:bottom w:val="single" w:color="auto" w:sz="4" w:space="0"/>
                    <w:right w:val="single" w:color="auto" w:sz="4" w:space="0"/>
                  </w:tcBorders>
                  <w:noWrap w:val="0"/>
                  <w:vAlign w:val="center"/>
                </w:tcPr>
                <w:p w14:paraId="08475F9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5DB8848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1763F399">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tcBorders>
                    <w:left w:val="double" w:color="auto" w:sz="2" w:space="0"/>
                    <w:bottom w:val="single" w:color="auto" w:sz="4" w:space="0"/>
                    <w:right w:val="single" w:color="auto" w:sz="4" w:space="0"/>
                  </w:tcBorders>
                  <w:noWrap w:val="0"/>
                  <w:vAlign w:val="center"/>
                </w:tcPr>
                <w:p w14:paraId="09D0C29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埋地油罐</w:t>
                  </w:r>
                </w:p>
              </w:tc>
              <w:tc>
                <w:tcPr>
                  <w:tcW w:w="1179" w:type="pct"/>
                  <w:tcBorders>
                    <w:top w:val="single" w:color="auto" w:sz="4" w:space="0"/>
                    <w:left w:val="nil"/>
                    <w:bottom w:val="single" w:color="auto" w:sz="4" w:space="0"/>
                    <w:right w:val="single" w:color="auto" w:sz="4" w:space="0"/>
                  </w:tcBorders>
                  <w:noWrap w:val="0"/>
                  <w:vAlign w:val="center"/>
                </w:tcPr>
                <w:p w14:paraId="7518324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埋地油罐</w:t>
                  </w:r>
                </w:p>
              </w:tc>
              <w:tc>
                <w:tcPr>
                  <w:tcW w:w="685" w:type="pct"/>
                  <w:tcBorders>
                    <w:top w:val="single" w:color="auto" w:sz="4" w:space="0"/>
                    <w:left w:val="nil"/>
                    <w:bottom w:val="single" w:color="auto" w:sz="4" w:space="0"/>
                    <w:right w:val="single" w:color="auto" w:sz="4" w:space="0"/>
                  </w:tcBorders>
                  <w:noWrap w:val="0"/>
                  <w:vAlign w:val="center"/>
                </w:tcPr>
                <w:p w14:paraId="455AAAA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0.5</w:t>
                  </w:r>
                </w:p>
              </w:tc>
              <w:tc>
                <w:tcPr>
                  <w:tcW w:w="683" w:type="pct"/>
                  <w:tcBorders>
                    <w:top w:val="single" w:color="auto" w:sz="4" w:space="0"/>
                    <w:left w:val="nil"/>
                    <w:bottom w:val="single" w:color="auto" w:sz="4" w:space="0"/>
                    <w:right w:val="single" w:color="auto" w:sz="4" w:space="0"/>
                  </w:tcBorders>
                  <w:noWrap w:val="0"/>
                  <w:vAlign w:val="center"/>
                </w:tcPr>
                <w:p w14:paraId="03D9532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1.5/0.56</w:t>
                  </w:r>
                </w:p>
              </w:tc>
              <w:tc>
                <w:tcPr>
                  <w:tcW w:w="603" w:type="pct"/>
                  <w:tcBorders>
                    <w:top w:val="single" w:color="auto" w:sz="4" w:space="0"/>
                    <w:left w:val="nil"/>
                    <w:bottom w:val="single" w:color="auto" w:sz="4" w:space="0"/>
                    <w:right w:val="single" w:color="auto" w:sz="4" w:space="0"/>
                  </w:tcBorders>
                  <w:noWrap w:val="0"/>
                  <w:vAlign w:val="center"/>
                </w:tcPr>
                <w:p w14:paraId="69F1977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10C06D7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2DE4E367">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restart"/>
                  <w:tcBorders>
                    <w:top w:val="nil"/>
                    <w:left w:val="double" w:color="auto" w:sz="2" w:space="0"/>
                    <w:bottom w:val="single" w:color="auto" w:sz="4" w:space="0"/>
                    <w:right w:val="single" w:color="auto" w:sz="4" w:space="0"/>
                  </w:tcBorders>
                  <w:noWrap w:val="0"/>
                  <w:vAlign w:val="center"/>
                </w:tcPr>
                <w:p w14:paraId="58BE138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汽油通气管口</w:t>
                  </w:r>
                </w:p>
              </w:tc>
              <w:tc>
                <w:tcPr>
                  <w:tcW w:w="1179" w:type="pct"/>
                  <w:tcBorders>
                    <w:top w:val="single" w:color="auto" w:sz="4" w:space="0"/>
                    <w:left w:val="nil"/>
                    <w:bottom w:val="single" w:color="auto" w:sz="4" w:space="0"/>
                    <w:right w:val="single" w:color="auto" w:sz="4" w:space="0"/>
                  </w:tcBorders>
                  <w:noWrap w:val="0"/>
                  <w:vAlign w:val="center"/>
                </w:tcPr>
                <w:p w14:paraId="0943F08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w:t>
                  </w:r>
                </w:p>
              </w:tc>
              <w:tc>
                <w:tcPr>
                  <w:tcW w:w="685" w:type="pct"/>
                  <w:tcBorders>
                    <w:top w:val="single" w:color="auto" w:sz="4" w:space="0"/>
                    <w:left w:val="nil"/>
                    <w:bottom w:val="single" w:color="auto" w:sz="4" w:space="0"/>
                    <w:right w:val="single" w:color="auto" w:sz="4" w:space="0"/>
                  </w:tcBorders>
                  <w:noWrap w:val="0"/>
                  <w:vAlign w:val="center"/>
                </w:tcPr>
                <w:p w14:paraId="0016FB7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w:t>
                  </w:r>
                </w:p>
              </w:tc>
              <w:tc>
                <w:tcPr>
                  <w:tcW w:w="683" w:type="pct"/>
                  <w:tcBorders>
                    <w:top w:val="single" w:color="auto" w:sz="4" w:space="0"/>
                    <w:left w:val="nil"/>
                    <w:bottom w:val="single" w:color="auto" w:sz="4" w:space="0"/>
                    <w:right w:val="single" w:color="auto" w:sz="4" w:space="0"/>
                  </w:tcBorders>
                  <w:noWrap w:val="0"/>
                  <w:vAlign w:val="center"/>
                </w:tcPr>
                <w:p w14:paraId="5668B1F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5.6</w:t>
                  </w:r>
                </w:p>
              </w:tc>
              <w:tc>
                <w:tcPr>
                  <w:tcW w:w="603" w:type="pct"/>
                  <w:tcBorders>
                    <w:top w:val="single" w:color="auto" w:sz="4" w:space="0"/>
                    <w:left w:val="nil"/>
                    <w:bottom w:val="single" w:color="auto" w:sz="4" w:space="0"/>
                    <w:right w:val="single" w:color="auto" w:sz="4" w:space="0"/>
                  </w:tcBorders>
                  <w:noWrap w:val="0"/>
                  <w:vAlign w:val="center"/>
                </w:tcPr>
                <w:p w14:paraId="76159D8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3D74DAF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15E4BE13">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top w:val="nil"/>
                    <w:left w:val="double" w:color="auto" w:sz="2" w:space="0"/>
                    <w:bottom w:val="single" w:color="auto" w:sz="4" w:space="0"/>
                    <w:right w:val="single" w:color="auto" w:sz="4" w:space="0"/>
                  </w:tcBorders>
                  <w:noWrap w:val="0"/>
                  <w:vAlign w:val="center"/>
                </w:tcPr>
                <w:p w14:paraId="4555433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1855AC1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配电间</w:t>
                  </w:r>
                </w:p>
              </w:tc>
              <w:tc>
                <w:tcPr>
                  <w:tcW w:w="685" w:type="pct"/>
                  <w:tcBorders>
                    <w:top w:val="single" w:color="auto" w:sz="4" w:space="0"/>
                    <w:left w:val="nil"/>
                    <w:bottom w:val="single" w:color="auto" w:sz="4" w:space="0"/>
                    <w:right w:val="single" w:color="auto" w:sz="4" w:space="0"/>
                  </w:tcBorders>
                  <w:noWrap w:val="0"/>
                  <w:vAlign w:val="center"/>
                </w:tcPr>
                <w:p w14:paraId="379F092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w:t>
                  </w:r>
                </w:p>
              </w:tc>
              <w:tc>
                <w:tcPr>
                  <w:tcW w:w="683" w:type="pct"/>
                  <w:tcBorders>
                    <w:top w:val="single" w:color="auto" w:sz="4" w:space="0"/>
                    <w:left w:val="nil"/>
                    <w:bottom w:val="single" w:color="auto" w:sz="4" w:space="0"/>
                    <w:right w:val="single" w:color="auto" w:sz="4" w:space="0"/>
                  </w:tcBorders>
                  <w:noWrap w:val="0"/>
                  <w:vAlign w:val="center"/>
                </w:tcPr>
                <w:p w14:paraId="49F47B8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24</w:t>
                  </w:r>
                </w:p>
              </w:tc>
              <w:tc>
                <w:tcPr>
                  <w:tcW w:w="603" w:type="pct"/>
                  <w:tcBorders>
                    <w:top w:val="single" w:color="auto" w:sz="4" w:space="0"/>
                    <w:left w:val="nil"/>
                    <w:bottom w:val="single" w:color="auto" w:sz="4" w:space="0"/>
                    <w:right w:val="single" w:color="auto" w:sz="4" w:space="0"/>
                  </w:tcBorders>
                  <w:noWrap w:val="0"/>
                  <w:vAlign w:val="center"/>
                </w:tcPr>
                <w:p w14:paraId="2DA0FFC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0ED5581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1955B895">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top w:val="nil"/>
                    <w:left w:val="double" w:color="auto" w:sz="2" w:space="0"/>
                    <w:bottom w:val="single" w:color="auto" w:sz="4" w:space="0"/>
                    <w:right w:val="single" w:color="auto" w:sz="4" w:space="0"/>
                  </w:tcBorders>
                  <w:noWrap w:val="0"/>
                  <w:vAlign w:val="center"/>
                </w:tcPr>
                <w:p w14:paraId="10EA9D2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0342E34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站区围墙</w:t>
                  </w:r>
                </w:p>
              </w:tc>
              <w:tc>
                <w:tcPr>
                  <w:tcW w:w="685" w:type="pct"/>
                  <w:tcBorders>
                    <w:top w:val="single" w:color="auto" w:sz="4" w:space="0"/>
                    <w:left w:val="nil"/>
                    <w:bottom w:val="single" w:color="auto" w:sz="4" w:space="0"/>
                    <w:right w:val="single" w:color="auto" w:sz="4" w:space="0"/>
                  </w:tcBorders>
                  <w:noWrap w:val="0"/>
                  <w:vAlign w:val="center"/>
                </w:tcPr>
                <w:p w14:paraId="525ABF3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683" w:type="pct"/>
                  <w:tcBorders>
                    <w:top w:val="single" w:color="auto" w:sz="4" w:space="0"/>
                    <w:left w:val="nil"/>
                    <w:bottom w:val="single" w:color="auto" w:sz="4" w:space="0"/>
                    <w:right w:val="single" w:color="auto" w:sz="4" w:space="0"/>
                  </w:tcBorders>
                  <w:noWrap w:val="0"/>
                  <w:vAlign w:val="center"/>
                </w:tcPr>
                <w:p w14:paraId="4A33A8C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14</w:t>
                  </w:r>
                </w:p>
              </w:tc>
              <w:tc>
                <w:tcPr>
                  <w:tcW w:w="603" w:type="pct"/>
                  <w:tcBorders>
                    <w:top w:val="single" w:color="auto" w:sz="4" w:space="0"/>
                    <w:left w:val="nil"/>
                    <w:bottom w:val="single" w:color="auto" w:sz="4" w:space="0"/>
                    <w:right w:val="single" w:color="auto" w:sz="4" w:space="0"/>
                  </w:tcBorders>
                  <w:noWrap w:val="0"/>
                  <w:vAlign w:val="center"/>
                </w:tcPr>
                <w:p w14:paraId="3EBFFB1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1996C94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505ECE03">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052" w:type="pct"/>
                  <w:vMerge w:val="restart"/>
                  <w:tcBorders>
                    <w:top w:val="nil"/>
                    <w:left w:val="double" w:color="auto" w:sz="2" w:space="0"/>
                    <w:right w:val="single" w:color="auto" w:sz="4" w:space="0"/>
                  </w:tcBorders>
                  <w:noWrap w:val="0"/>
                  <w:vAlign w:val="center"/>
                </w:tcPr>
                <w:p w14:paraId="3152004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汽油加油机</w:t>
                  </w:r>
                </w:p>
              </w:tc>
              <w:tc>
                <w:tcPr>
                  <w:tcW w:w="1179" w:type="pct"/>
                  <w:tcBorders>
                    <w:top w:val="single" w:color="auto" w:sz="4" w:space="0"/>
                    <w:left w:val="nil"/>
                    <w:bottom w:val="single" w:color="auto" w:sz="4" w:space="0"/>
                    <w:right w:val="single" w:color="auto" w:sz="4" w:space="0"/>
                  </w:tcBorders>
                  <w:noWrap w:val="0"/>
                  <w:vAlign w:val="center"/>
                </w:tcPr>
                <w:p w14:paraId="6211196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w:t>
                  </w:r>
                </w:p>
              </w:tc>
              <w:tc>
                <w:tcPr>
                  <w:tcW w:w="685" w:type="pct"/>
                  <w:tcBorders>
                    <w:top w:val="single" w:color="auto" w:sz="4" w:space="0"/>
                    <w:left w:val="nil"/>
                    <w:bottom w:val="single" w:color="auto" w:sz="4" w:space="0"/>
                    <w:right w:val="single" w:color="auto" w:sz="4" w:space="0"/>
                  </w:tcBorders>
                  <w:noWrap w:val="0"/>
                  <w:vAlign w:val="center"/>
                </w:tcPr>
                <w:p w14:paraId="2BD0EA3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w:t>
                  </w:r>
                </w:p>
              </w:tc>
              <w:tc>
                <w:tcPr>
                  <w:tcW w:w="683" w:type="pct"/>
                  <w:tcBorders>
                    <w:top w:val="single" w:color="auto" w:sz="4" w:space="0"/>
                    <w:left w:val="nil"/>
                    <w:bottom w:val="single" w:color="auto" w:sz="4" w:space="0"/>
                    <w:right w:val="single" w:color="auto" w:sz="4" w:space="0"/>
                  </w:tcBorders>
                  <w:noWrap w:val="0"/>
                  <w:vAlign w:val="center"/>
                </w:tcPr>
                <w:p w14:paraId="58879A4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5</w:t>
                  </w:r>
                  <w:r>
                    <w:rPr>
                      <w:rFonts w:hint="eastAsia" w:ascii="Times New Roman" w:hAnsi="Times New Roman" w:eastAsia="宋体" w:cs="Times New Roman"/>
                      <w:color w:val="auto"/>
                      <w:sz w:val="18"/>
                      <w:szCs w:val="18"/>
                      <w:lang w:val="en-US" w:eastAsia="zh-CN"/>
                    </w:rPr>
                    <w:t>.7</w:t>
                  </w:r>
                </w:p>
              </w:tc>
              <w:tc>
                <w:tcPr>
                  <w:tcW w:w="603" w:type="pct"/>
                  <w:tcBorders>
                    <w:top w:val="single" w:color="auto" w:sz="4" w:space="0"/>
                    <w:left w:val="nil"/>
                    <w:bottom w:val="single" w:color="auto" w:sz="4" w:space="0"/>
                    <w:right w:val="single" w:color="auto" w:sz="4" w:space="0"/>
                  </w:tcBorders>
                  <w:noWrap w:val="0"/>
                  <w:vAlign w:val="center"/>
                </w:tcPr>
                <w:p w14:paraId="4749FCC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7CAAD0A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4A674A98">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052" w:type="pct"/>
                  <w:vMerge w:val="continue"/>
                  <w:tcBorders>
                    <w:left w:val="double" w:color="auto" w:sz="2" w:space="0"/>
                    <w:right w:val="single" w:color="auto" w:sz="4" w:space="0"/>
                  </w:tcBorders>
                  <w:noWrap w:val="0"/>
                  <w:vAlign w:val="center"/>
                </w:tcPr>
                <w:p w14:paraId="2436615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3FB2606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配电间</w:t>
                  </w:r>
                </w:p>
              </w:tc>
              <w:tc>
                <w:tcPr>
                  <w:tcW w:w="685" w:type="pct"/>
                  <w:tcBorders>
                    <w:top w:val="single" w:color="auto" w:sz="4" w:space="0"/>
                    <w:left w:val="nil"/>
                    <w:bottom w:val="single" w:color="auto" w:sz="4" w:space="0"/>
                    <w:right w:val="single" w:color="auto" w:sz="4" w:space="0"/>
                  </w:tcBorders>
                  <w:noWrap w:val="0"/>
                  <w:vAlign w:val="center"/>
                </w:tcPr>
                <w:p w14:paraId="7F3569A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w:t>
                  </w:r>
                </w:p>
              </w:tc>
              <w:tc>
                <w:tcPr>
                  <w:tcW w:w="683" w:type="pct"/>
                  <w:tcBorders>
                    <w:top w:val="single" w:color="auto" w:sz="4" w:space="0"/>
                    <w:left w:val="nil"/>
                    <w:bottom w:val="single" w:color="auto" w:sz="4" w:space="0"/>
                    <w:right w:val="single" w:color="auto" w:sz="4" w:space="0"/>
                  </w:tcBorders>
                  <w:noWrap w:val="0"/>
                  <w:vAlign w:val="center"/>
                </w:tcPr>
                <w:p w14:paraId="331A0F0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13</w:t>
                  </w:r>
                </w:p>
              </w:tc>
              <w:tc>
                <w:tcPr>
                  <w:tcW w:w="603" w:type="pct"/>
                  <w:tcBorders>
                    <w:top w:val="single" w:color="auto" w:sz="4" w:space="0"/>
                    <w:left w:val="nil"/>
                    <w:bottom w:val="single" w:color="auto" w:sz="4" w:space="0"/>
                    <w:right w:val="single" w:color="auto" w:sz="4" w:space="0"/>
                  </w:tcBorders>
                  <w:noWrap w:val="0"/>
                  <w:vAlign w:val="center"/>
                </w:tcPr>
                <w:p w14:paraId="287D254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4381F06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p>
              </w:tc>
            </w:tr>
            <w:tr w14:paraId="52D933F6">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restart"/>
                  <w:tcBorders>
                    <w:top w:val="nil"/>
                    <w:left w:val="double" w:color="auto" w:sz="2" w:space="0"/>
                    <w:right w:val="single" w:color="auto" w:sz="4" w:space="0"/>
                  </w:tcBorders>
                  <w:noWrap w:val="0"/>
                  <w:vAlign w:val="center"/>
                </w:tcPr>
                <w:p w14:paraId="678A6BC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油品卸车点</w:t>
                  </w:r>
                </w:p>
              </w:tc>
              <w:tc>
                <w:tcPr>
                  <w:tcW w:w="1179" w:type="pct"/>
                  <w:tcBorders>
                    <w:top w:val="single" w:color="auto" w:sz="4" w:space="0"/>
                    <w:left w:val="nil"/>
                    <w:bottom w:val="single" w:color="auto" w:sz="4" w:space="0"/>
                    <w:right w:val="single" w:color="auto" w:sz="4" w:space="0"/>
                  </w:tcBorders>
                  <w:noWrap w:val="0"/>
                  <w:vAlign w:val="center"/>
                </w:tcPr>
                <w:p w14:paraId="3FDDDB3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站房</w:t>
                  </w:r>
                </w:p>
              </w:tc>
              <w:tc>
                <w:tcPr>
                  <w:tcW w:w="685" w:type="pct"/>
                  <w:tcBorders>
                    <w:top w:val="single" w:color="auto" w:sz="4" w:space="0"/>
                    <w:left w:val="nil"/>
                    <w:bottom w:val="single" w:color="auto" w:sz="4" w:space="0"/>
                    <w:right w:val="single" w:color="auto" w:sz="4" w:space="0"/>
                  </w:tcBorders>
                  <w:noWrap w:val="0"/>
                  <w:vAlign w:val="center"/>
                </w:tcPr>
                <w:p w14:paraId="5CB75FF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w:t>
                  </w:r>
                </w:p>
              </w:tc>
              <w:tc>
                <w:tcPr>
                  <w:tcW w:w="683" w:type="pct"/>
                  <w:tcBorders>
                    <w:top w:val="single" w:color="auto" w:sz="4" w:space="0"/>
                    <w:left w:val="nil"/>
                    <w:bottom w:val="single" w:color="auto" w:sz="4" w:space="0"/>
                    <w:right w:val="single" w:color="auto" w:sz="4" w:space="0"/>
                  </w:tcBorders>
                  <w:noWrap w:val="0"/>
                  <w:vAlign w:val="center"/>
                </w:tcPr>
                <w:p w14:paraId="7AE5142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8.2</w:t>
                  </w:r>
                </w:p>
              </w:tc>
              <w:tc>
                <w:tcPr>
                  <w:tcW w:w="603" w:type="pct"/>
                  <w:tcBorders>
                    <w:top w:val="single" w:color="auto" w:sz="4" w:space="0"/>
                    <w:left w:val="nil"/>
                    <w:bottom w:val="single" w:color="auto" w:sz="4" w:space="0"/>
                    <w:right w:val="single" w:color="auto" w:sz="4" w:space="0"/>
                  </w:tcBorders>
                  <w:noWrap w:val="0"/>
                  <w:vAlign w:val="center"/>
                </w:tcPr>
                <w:p w14:paraId="3992D2C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62318AE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p>
              </w:tc>
            </w:tr>
            <w:tr w14:paraId="233A5DE2">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left w:val="double" w:color="auto" w:sz="2" w:space="0"/>
                    <w:right w:val="single" w:color="auto" w:sz="4" w:space="0"/>
                  </w:tcBorders>
                  <w:noWrap w:val="0"/>
                  <w:vAlign w:val="center"/>
                </w:tcPr>
                <w:p w14:paraId="43204F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6CB750F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配电间</w:t>
                  </w:r>
                </w:p>
              </w:tc>
              <w:tc>
                <w:tcPr>
                  <w:tcW w:w="685" w:type="pct"/>
                  <w:tcBorders>
                    <w:top w:val="single" w:color="auto" w:sz="4" w:space="0"/>
                    <w:left w:val="nil"/>
                    <w:bottom w:val="single" w:color="auto" w:sz="4" w:space="0"/>
                    <w:right w:val="single" w:color="auto" w:sz="4" w:space="0"/>
                  </w:tcBorders>
                  <w:noWrap w:val="0"/>
                  <w:vAlign w:val="center"/>
                </w:tcPr>
                <w:p w14:paraId="14F7B48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4.5</w:t>
                  </w:r>
                </w:p>
              </w:tc>
              <w:tc>
                <w:tcPr>
                  <w:tcW w:w="683" w:type="pct"/>
                  <w:tcBorders>
                    <w:top w:val="single" w:color="auto" w:sz="4" w:space="0"/>
                    <w:left w:val="nil"/>
                    <w:bottom w:val="single" w:color="auto" w:sz="4" w:space="0"/>
                    <w:right w:val="single" w:color="auto" w:sz="4" w:space="0"/>
                  </w:tcBorders>
                  <w:noWrap w:val="0"/>
                  <w:vAlign w:val="center"/>
                </w:tcPr>
                <w:p w14:paraId="056C3D1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26</w:t>
                  </w:r>
                </w:p>
              </w:tc>
              <w:tc>
                <w:tcPr>
                  <w:tcW w:w="603" w:type="pct"/>
                  <w:tcBorders>
                    <w:top w:val="single" w:color="auto" w:sz="4" w:space="0"/>
                    <w:left w:val="nil"/>
                    <w:bottom w:val="single" w:color="auto" w:sz="4" w:space="0"/>
                    <w:right w:val="single" w:color="auto" w:sz="4" w:space="0"/>
                  </w:tcBorders>
                  <w:noWrap w:val="0"/>
                  <w:vAlign w:val="center"/>
                </w:tcPr>
                <w:p w14:paraId="74810FE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1FEBD4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p>
              </w:tc>
            </w:tr>
            <w:tr w14:paraId="681D8FDF">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2" w:type="pct"/>
                  <w:vMerge w:val="continue"/>
                  <w:tcBorders>
                    <w:left w:val="double" w:color="auto" w:sz="2" w:space="0"/>
                    <w:right w:val="single" w:color="auto" w:sz="4" w:space="0"/>
                  </w:tcBorders>
                  <w:noWrap w:val="0"/>
                  <w:vAlign w:val="center"/>
                </w:tcPr>
                <w:p w14:paraId="507B6B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p>
              </w:tc>
              <w:tc>
                <w:tcPr>
                  <w:tcW w:w="1179" w:type="pct"/>
                  <w:tcBorders>
                    <w:top w:val="single" w:color="auto" w:sz="4" w:space="0"/>
                    <w:left w:val="nil"/>
                    <w:bottom w:val="single" w:color="auto" w:sz="4" w:space="0"/>
                    <w:right w:val="single" w:color="auto" w:sz="4" w:space="0"/>
                  </w:tcBorders>
                  <w:noWrap w:val="0"/>
                  <w:vAlign w:val="center"/>
                </w:tcPr>
                <w:p w14:paraId="7224355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汽油通气管管口</w:t>
                  </w:r>
                </w:p>
              </w:tc>
              <w:tc>
                <w:tcPr>
                  <w:tcW w:w="685" w:type="pct"/>
                  <w:tcBorders>
                    <w:top w:val="single" w:color="auto" w:sz="4" w:space="0"/>
                    <w:left w:val="nil"/>
                    <w:bottom w:val="single" w:color="auto" w:sz="4" w:space="0"/>
                    <w:right w:val="single" w:color="auto" w:sz="4" w:space="0"/>
                  </w:tcBorders>
                  <w:noWrap w:val="0"/>
                  <w:vAlign w:val="center"/>
                </w:tcPr>
                <w:p w14:paraId="0E1198D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w:t>
                  </w:r>
                </w:p>
              </w:tc>
              <w:tc>
                <w:tcPr>
                  <w:tcW w:w="683" w:type="pct"/>
                  <w:tcBorders>
                    <w:top w:val="single" w:color="auto" w:sz="4" w:space="0"/>
                    <w:left w:val="nil"/>
                    <w:bottom w:val="single" w:color="auto" w:sz="4" w:space="0"/>
                    <w:right w:val="single" w:color="auto" w:sz="4" w:space="0"/>
                  </w:tcBorders>
                  <w:noWrap w:val="0"/>
                  <w:vAlign w:val="center"/>
                </w:tcPr>
                <w:p w14:paraId="73AA110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10.9</w:t>
                  </w:r>
                </w:p>
              </w:tc>
              <w:tc>
                <w:tcPr>
                  <w:tcW w:w="603" w:type="pct"/>
                  <w:tcBorders>
                    <w:top w:val="single" w:color="auto" w:sz="4" w:space="0"/>
                    <w:left w:val="nil"/>
                    <w:bottom w:val="single" w:color="auto" w:sz="4" w:space="0"/>
                    <w:right w:val="single" w:color="auto" w:sz="4" w:space="0"/>
                  </w:tcBorders>
                  <w:noWrap w:val="0"/>
                  <w:vAlign w:val="center"/>
                </w:tcPr>
                <w:p w14:paraId="128144B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符合</w:t>
                  </w:r>
                </w:p>
              </w:tc>
              <w:tc>
                <w:tcPr>
                  <w:tcW w:w="795" w:type="pct"/>
                  <w:tcBorders>
                    <w:top w:val="single" w:color="auto" w:sz="4" w:space="0"/>
                    <w:left w:val="nil"/>
                    <w:bottom w:val="single" w:color="auto" w:sz="4" w:space="0"/>
                    <w:right w:val="double" w:color="auto" w:sz="2" w:space="0"/>
                  </w:tcBorders>
                  <w:noWrap w:val="0"/>
                  <w:vAlign w:val="center"/>
                </w:tcPr>
                <w:p w14:paraId="4B20EA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default" w:ascii="Times New Roman" w:hAnsi="Times New Roman" w:eastAsia="宋体" w:cs="Times New Roman"/>
                      <w:color w:val="auto"/>
                      <w:sz w:val="18"/>
                      <w:szCs w:val="18"/>
                      <w:lang w:val="en-US" w:eastAsia="zh-CN"/>
                    </w:rPr>
                  </w:pPr>
                </w:p>
              </w:tc>
            </w:tr>
            <w:tr w14:paraId="75C80A89">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op w:val="single" w:color="auto" w:sz="4" w:space="0"/>
                    <w:left w:val="double" w:color="auto" w:sz="2" w:space="0"/>
                    <w:bottom w:val="double" w:color="auto" w:sz="2" w:space="0"/>
                    <w:right w:val="double" w:color="auto" w:sz="2" w:space="0"/>
                  </w:tcBorders>
                  <w:noWrap w:val="0"/>
                  <w:vAlign w:val="center"/>
                </w:tcPr>
                <w:p w14:paraId="780E73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注：1、依据《汽车加油加气加氢站技术标准》（GB 50156-2021）表5.0.13-2确定标准距离；</w:t>
                  </w:r>
                </w:p>
                <w:p w14:paraId="2FB09C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2</w:t>
                  </w:r>
                  <w:r>
                    <w:rPr>
                      <w:rFonts w:hint="eastAsia" w:ascii="Times New Roman" w:hAnsi="Times New Roman" w:eastAsia="宋体" w:cs="Times New Roman"/>
                      <w:color w:val="auto"/>
                      <w:sz w:val="18"/>
                      <w:szCs w:val="18"/>
                      <w:lang w:val="en-US" w:eastAsia="zh-CN"/>
                    </w:rPr>
                    <w:t>、设计距离是设备与站内建构筑物的最小距离。</w:t>
                  </w:r>
                </w:p>
              </w:tc>
            </w:tr>
            <w:bookmarkEnd w:id="390"/>
          </w:tbl>
          <w:p w14:paraId="1FF45A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70" w:lineRule="exact"/>
              <w:ind w:left="0" w:right="0"/>
              <w:textAlignment w:val="auto"/>
              <w:rPr>
                <w:rFonts w:hint="eastAsia" w:ascii="Times New Roman" w:hAnsi="Times New Roman" w:cs="Times New Roman"/>
                <w:color w:val="auto"/>
                <w:sz w:val="18"/>
                <w:szCs w:val="18"/>
                <w:lang w:val="en-US" w:eastAsia="zh-CN"/>
              </w:rPr>
            </w:pPr>
          </w:p>
        </w:tc>
        <w:tc>
          <w:tcPr>
            <w:tcW w:w="1593" w:type="dxa"/>
            <w:noWrap w:val="0"/>
            <w:vAlign w:val="center"/>
          </w:tcPr>
          <w:p w14:paraId="448C757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站内各建构筑物之间的安全间距满足规范要求</w:t>
            </w:r>
          </w:p>
        </w:tc>
        <w:tc>
          <w:tcPr>
            <w:tcW w:w="825" w:type="dxa"/>
            <w:noWrap w:val="0"/>
            <w:vAlign w:val="center"/>
          </w:tcPr>
          <w:p w14:paraId="55E74BB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659AE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626" w:type="dxa"/>
            <w:noWrap w:val="0"/>
            <w:vAlign w:val="top"/>
          </w:tcPr>
          <w:p w14:paraId="31CBCC7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589FEF2E">
            <w:pPr>
              <w:keepNext w:val="0"/>
              <w:keepLines w:val="0"/>
              <w:widowControl/>
              <w:suppressLineNumbers w:val="0"/>
              <w:spacing w:before="0" w:beforeAutospacing="0" w:after="0" w:afterAutospacing="0" w:line="200" w:lineRule="exact"/>
              <w:ind w:left="0" w:right="0"/>
              <w:jc w:val="center"/>
              <w:rPr>
                <w:rFonts w:hint="default" w:ascii="Times New Roman" w:hAnsi="Times New Roman" w:cs="Times New Roman"/>
                <w:color w:val="auto"/>
                <w:sz w:val="18"/>
                <w:szCs w:val="18"/>
              </w:rPr>
            </w:pPr>
            <w:r>
              <w:rPr>
                <w:rFonts w:hint="default" w:ascii="Times New Roman" w:hAnsi="Times New Roman" w:cs="Times New Roman"/>
                <w:b/>
                <w:bCs/>
                <w:color w:val="auto"/>
                <w:sz w:val="18"/>
                <w:szCs w:val="18"/>
              </w:rPr>
              <w:t>4.</w:t>
            </w:r>
            <w:r>
              <w:rPr>
                <w:rFonts w:hint="eastAsia" w:ascii="Times New Roman" w:hAnsi="Times New Roman" w:cs="Times New Roman"/>
                <w:b/>
                <w:bCs/>
                <w:color w:val="auto"/>
                <w:sz w:val="18"/>
                <w:szCs w:val="18"/>
                <w:lang w:val="en-US" w:eastAsia="zh-CN"/>
              </w:rPr>
              <w:t>3</w:t>
            </w:r>
            <w:r>
              <w:rPr>
                <w:rFonts w:hint="default" w:ascii="Times New Roman" w:hAnsi="Times New Roman" w:cs="Times New Roman"/>
                <w:b/>
                <w:bCs/>
                <w:color w:val="auto"/>
                <w:sz w:val="18"/>
                <w:szCs w:val="18"/>
              </w:rPr>
              <w:t xml:space="preserve"> 设备</w:t>
            </w:r>
            <w:r>
              <w:rPr>
                <w:rFonts w:hint="eastAsia" w:ascii="Times New Roman" w:hAnsi="Times New Roman" w:cs="Times New Roman"/>
                <w:b/>
                <w:bCs/>
                <w:color w:val="auto"/>
                <w:sz w:val="18"/>
                <w:szCs w:val="18"/>
                <w:lang w:val="en-US" w:eastAsia="zh-CN"/>
              </w:rPr>
              <w:t>的</w:t>
            </w:r>
            <w:r>
              <w:rPr>
                <w:rFonts w:hint="default" w:ascii="Times New Roman" w:hAnsi="Times New Roman" w:cs="Times New Roman"/>
                <w:b/>
                <w:bCs/>
                <w:color w:val="auto"/>
                <w:sz w:val="18"/>
                <w:szCs w:val="18"/>
              </w:rPr>
              <w:t>安全措施</w:t>
            </w:r>
          </w:p>
        </w:tc>
      </w:tr>
      <w:tr w14:paraId="15E1F9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626" w:type="dxa"/>
            <w:noWrap w:val="0"/>
            <w:vAlign w:val="center"/>
          </w:tcPr>
          <w:p w14:paraId="68C0BC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1</w:t>
            </w:r>
          </w:p>
        </w:tc>
        <w:tc>
          <w:tcPr>
            <w:tcW w:w="6085" w:type="dxa"/>
            <w:noWrap w:val="0"/>
            <w:vAlign w:val="center"/>
          </w:tcPr>
          <w:p w14:paraId="0DA244D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卧式储罐采用双层油罐（[SF]内钢外玻璃纤维增强塑料，内层筒体厚度7mm、封头厚度8mm，外层玻璃纤维增强塑料筒体厚度5mm，间隙层0.1mm）外层FRP保证了泄漏物不会直接渗漏污染土壤和水源，渗漏检测仪24小时监控，杜绝泄漏造成的安全隐患，便于监测和维护。</w:t>
            </w:r>
          </w:p>
        </w:tc>
        <w:tc>
          <w:tcPr>
            <w:tcW w:w="1593" w:type="dxa"/>
            <w:noWrap w:val="0"/>
            <w:vAlign w:val="center"/>
          </w:tcPr>
          <w:p w14:paraId="30ACED4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埋地卧式储罐采用双层油罐，油罐设有渗漏检测仪</w:t>
            </w:r>
          </w:p>
        </w:tc>
        <w:tc>
          <w:tcPr>
            <w:tcW w:w="825" w:type="dxa"/>
            <w:noWrap w:val="0"/>
            <w:vAlign w:val="center"/>
          </w:tcPr>
          <w:p w14:paraId="6A1BF94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8BD00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center"/>
          </w:tcPr>
          <w:p w14:paraId="2831F7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2</w:t>
            </w:r>
          </w:p>
        </w:tc>
        <w:tc>
          <w:tcPr>
            <w:tcW w:w="6085" w:type="dxa"/>
            <w:noWrap w:val="0"/>
            <w:vAlign w:val="center"/>
          </w:tcPr>
          <w:p w14:paraId="758E19B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油罐的人孔设操作井，井盖采用密封的不发火井盖（复合人孔盖）。</w:t>
            </w:r>
          </w:p>
        </w:tc>
        <w:tc>
          <w:tcPr>
            <w:tcW w:w="1593" w:type="dxa"/>
            <w:noWrap w:val="0"/>
            <w:vAlign w:val="center"/>
          </w:tcPr>
          <w:p w14:paraId="172AA33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井盖采用密封的不发火井盖</w:t>
            </w:r>
          </w:p>
        </w:tc>
        <w:tc>
          <w:tcPr>
            <w:tcW w:w="825" w:type="dxa"/>
            <w:noWrap w:val="0"/>
            <w:vAlign w:val="center"/>
          </w:tcPr>
          <w:p w14:paraId="78B2195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3BF23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095F3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w:t>
            </w:r>
          </w:p>
        </w:tc>
        <w:tc>
          <w:tcPr>
            <w:tcW w:w="6085" w:type="dxa"/>
            <w:noWrap w:val="0"/>
            <w:vAlign w:val="center"/>
          </w:tcPr>
          <w:p w14:paraId="639CE64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油罐的顶部覆土厚度1.35m，周围回填按储罐厂家要求进行，然后硬化地面。</w:t>
            </w:r>
          </w:p>
        </w:tc>
        <w:tc>
          <w:tcPr>
            <w:tcW w:w="1593" w:type="dxa"/>
            <w:noWrap w:val="0"/>
            <w:vAlign w:val="center"/>
          </w:tcPr>
          <w:p w14:paraId="3BDB8B9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油罐的顶部周围回填按储罐厂家要求进行</w:t>
            </w:r>
          </w:p>
        </w:tc>
        <w:tc>
          <w:tcPr>
            <w:tcW w:w="825" w:type="dxa"/>
            <w:noWrap w:val="0"/>
            <w:vAlign w:val="center"/>
          </w:tcPr>
          <w:p w14:paraId="5FFE76A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197911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626" w:type="dxa"/>
            <w:noWrap w:val="0"/>
            <w:vAlign w:val="center"/>
          </w:tcPr>
          <w:p w14:paraId="73432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w:t>
            </w:r>
          </w:p>
        </w:tc>
        <w:tc>
          <w:tcPr>
            <w:tcW w:w="6085" w:type="dxa"/>
            <w:noWrap w:val="0"/>
            <w:vAlign w:val="center"/>
          </w:tcPr>
          <w:p w14:paraId="2252CF2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油罐的各接合管，均设在油罐的人孔盖上。</w:t>
            </w:r>
          </w:p>
        </w:tc>
        <w:tc>
          <w:tcPr>
            <w:tcW w:w="1593" w:type="dxa"/>
            <w:noWrap w:val="0"/>
            <w:vAlign w:val="center"/>
          </w:tcPr>
          <w:p w14:paraId="5348B0E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油罐的各接合管，均设在油罐的人孔盖上</w:t>
            </w:r>
          </w:p>
        </w:tc>
        <w:tc>
          <w:tcPr>
            <w:tcW w:w="825" w:type="dxa"/>
            <w:noWrap w:val="0"/>
            <w:vAlign w:val="center"/>
          </w:tcPr>
          <w:p w14:paraId="234AFCB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4586F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15BCD0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w:t>
            </w:r>
          </w:p>
        </w:tc>
        <w:tc>
          <w:tcPr>
            <w:tcW w:w="6085" w:type="dxa"/>
            <w:noWrap w:val="0"/>
            <w:vAlign w:val="center"/>
          </w:tcPr>
          <w:p w14:paraId="6E32C4B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油罐的量油孔设带锁的量油帽，量油帽下部的接合管向下伸至罐内距罐底200mm处。</w:t>
            </w:r>
          </w:p>
        </w:tc>
        <w:tc>
          <w:tcPr>
            <w:tcW w:w="1593" w:type="dxa"/>
            <w:noWrap w:val="0"/>
            <w:vAlign w:val="center"/>
          </w:tcPr>
          <w:p w14:paraId="4667ECB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量油孔设带锁的量油帽</w:t>
            </w:r>
          </w:p>
        </w:tc>
        <w:tc>
          <w:tcPr>
            <w:tcW w:w="825" w:type="dxa"/>
            <w:noWrap w:val="0"/>
            <w:vAlign w:val="center"/>
          </w:tcPr>
          <w:p w14:paraId="3A32E9F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223F4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135163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w:t>
            </w:r>
          </w:p>
        </w:tc>
        <w:tc>
          <w:tcPr>
            <w:tcW w:w="6085" w:type="dxa"/>
            <w:noWrap w:val="0"/>
            <w:vAlign w:val="center"/>
          </w:tcPr>
          <w:p w14:paraId="2B0CE83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油罐的进油管向下伸至罐内距罐底100mm处，进油立管的底端应为45度斜管口。且弯向侧壁。油罐的量油孔应设带锁的量油帽，量油帽下部的接合管宜向下伸至罐内距罐底0.2m处。</w:t>
            </w:r>
          </w:p>
        </w:tc>
        <w:tc>
          <w:tcPr>
            <w:tcW w:w="1593" w:type="dxa"/>
            <w:noWrap w:val="0"/>
            <w:vAlign w:val="center"/>
          </w:tcPr>
          <w:p w14:paraId="1C6A1BC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油罐的进油管向下伸至罐内距罐底100mm处，量油孔设带锁的量油帽</w:t>
            </w:r>
          </w:p>
        </w:tc>
        <w:tc>
          <w:tcPr>
            <w:tcW w:w="825" w:type="dxa"/>
            <w:noWrap w:val="0"/>
            <w:vAlign w:val="center"/>
          </w:tcPr>
          <w:p w14:paraId="1D86508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8EFEC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09C8F5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w:t>
            </w:r>
          </w:p>
        </w:tc>
        <w:tc>
          <w:tcPr>
            <w:tcW w:w="6085" w:type="dxa"/>
            <w:noWrap w:val="0"/>
            <w:vAlign w:val="center"/>
          </w:tcPr>
          <w:p w14:paraId="1755773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油罐安装前进行水压试验。</w:t>
            </w:r>
          </w:p>
          <w:p w14:paraId="5138B44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p>
        </w:tc>
        <w:tc>
          <w:tcPr>
            <w:tcW w:w="1593" w:type="dxa"/>
            <w:noWrap w:val="0"/>
            <w:vAlign w:val="center"/>
          </w:tcPr>
          <w:p w14:paraId="73F0EF2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油罐安装前进行水压试验</w:t>
            </w:r>
          </w:p>
        </w:tc>
        <w:tc>
          <w:tcPr>
            <w:tcW w:w="825" w:type="dxa"/>
            <w:noWrap w:val="0"/>
            <w:vAlign w:val="center"/>
          </w:tcPr>
          <w:p w14:paraId="2DCB7C5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B2235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626" w:type="dxa"/>
            <w:noWrap w:val="0"/>
            <w:vAlign w:val="center"/>
          </w:tcPr>
          <w:p w14:paraId="1F5895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w:t>
            </w:r>
          </w:p>
        </w:tc>
        <w:tc>
          <w:tcPr>
            <w:tcW w:w="6085" w:type="dxa"/>
            <w:noWrap w:val="0"/>
            <w:vAlign w:val="center"/>
          </w:tcPr>
          <w:p w14:paraId="1C98E36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每台加油机按加油品种单独设置进油管。</w:t>
            </w:r>
          </w:p>
          <w:p w14:paraId="742CB41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p>
        </w:tc>
        <w:tc>
          <w:tcPr>
            <w:tcW w:w="1593" w:type="dxa"/>
            <w:noWrap w:val="0"/>
            <w:vAlign w:val="center"/>
          </w:tcPr>
          <w:p w14:paraId="09D4CBF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每台加油机按加油品种单独设置进油管</w:t>
            </w:r>
          </w:p>
        </w:tc>
        <w:tc>
          <w:tcPr>
            <w:tcW w:w="825" w:type="dxa"/>
            <w:noWrap w:val="0"/>
            <w:vAlign w:val="center"/>
          </w:tcPr>
          <w:p w14:paraId="30C07AA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E62E1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01CF25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w:t>
            </w:r>
          </w:p>
        </w:tc>
        <w:tc>
          <w:tcPr>
            <w:tcW w:w="6085" w:type="dxa"/>
            <w:noWrap w:val="0"/>
            <w:vAlign w:val="center"/>
          </w:tcPr>
          <w:p w14:paraId="5F1A2DA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加油站的固定工艺管道中出油管采用双层复合管，卸油管道、卸油回气管道采用单层复合材料管道，加油油气回收管道、通气管道为钢制管道，钢制管道与复合材料管道由成品钢塑转换接头连接。</w:t>
            </w:r>
          </w:p>
        </w:tc>
        <w:tc>
          <w:tcPr>
            <w:tcW w:w="1593" w:type="dxa"/>
            <w:noWrap w:val="0"/>
            <w:vAlign w:val="center"/>
          </w:tcPr>
          <w:p w14:paraId="26D54C8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油管采用双层复合管，加油油气回收管道、通气管道为钢制管道</w:t>
            </w:r>
          </w:p>
        </w:tc>
        <w:tc>
          <w:tcPr>
            <w:tcW w:w="825" w:type="dxa"/>
            <w:noWrap w:val="0"/>
            <w:vAlign w:val="center"/>
          </w:tcPr>
          <w:p w14:paraId="1AD5CF9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BEF4C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26" w:type="dxa"/>
            <w:noWrap w:val="0"/>
            <w:vAlign w:val="center"/>
          </w:tcPr>
          <w:p w14:paraId="310501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w:t>
            </w:r>
          </w:p>
        </w:tc>
        <w:tc>
          <w:tcPr>
            <w:tcW w:w="6085" w:type="dxa"/>
            <w:noWrap w:val="0"/>
            <w:vAlign w:val="center"/>
          </w:tcPr>
          <w:p w14:paraId="5C2E05A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卸油油气回收管道、加油油气回收管道坡向92#汽油罐；卸油管道、出油管道和油罐通气管横管坡向各自对应的埋地油罐。卸油管道的坡度不小于2‰；加油管道的坡度不小于5‰；，卸油油气回收管道、加油油气回收管道和油罐通气管横管的坡度不小于1%。</w:t>
            </w:r>
          </w:p>
        </w:tc>
        <w:tc>
          <w:tcPr>
            <w:tcW w:w="1593" w:type="dxa"/>
            <w:noWrap w:val="0"/>
            <w:vAlign w:val="center"/>
          </w:tcPr>
          <w:p w14:paraId="682E141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卸油管道、出油管道和油罐通气管横管坡向各自对应的埋地油罐，管道按要求设置</w:t>
            </w:r>
          </w:p>
        </w:tc>
        <w:tc>
          <w:tcPr>
            <w:tcW w:w="825" w:type="dxa"/>
            <w:noWrap w:val="0"/>
            <w:vAlign w:val="center"/>
          </w:tcPr>
          <w:p w14:paraId="4698782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65380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626" w:type="dxa"/>
            <w:noWrap w:val="0"/>
            <w:vAlign w:val="center"/>
          </w:tcPr>
          <w:p w14:paraId="2540F9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w:t>
            </w:r>
          </w:p>
        </w:tc>
        <w:tc>
          <w:tcPr>
            <w:tcW w:w="6085" w:type="dxa"/>
            <w:noWrap w:val="0"/>
            <w:vAlign w:val="center"/>
          </w:tcPr>
          <w:p w14:paraId="3AB3F37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油罐车卸油使用的卸油连通软管采用导静电耐油软管。汽油连通软管的公称直径为DN100。根据《汽车加油加气加氢站技术标准》（GB50156-2021）第6.3.4条要求，各汽油罐可共用一根卸油油气回收主管，回收主管的公称直径不宜小于100mm。本次设计卸油油气回收系统管径为DN100满足要求。</w:t>
            </w:r>
          </w:p>
        </w:tc>
        <w:tc>
          <w:tcPr>
            <w:tcW w:w="1593" w:type="dxa"/>
            <w:noWrap w:val="0"/>
            <w:vAlign w:val="center"/>
          </w:tcPr>
          <w:p w14:paraId="71B4B08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汽油连通软管的公称直径为DN100</w:t>
            </w:r>
          </w:p>
        </w:tc>
        <w:tc>
          <w:tcPr>
            <w:tcW w:w="825" w:type="dxa"/>
            <w:noWrap w:val="0"/>
            <w:vAlign w:val="center"/>
          </w:tcPr>
          <w:p w14:paraId="5CA7D7B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500C0E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626" w:type="dxa"/>
            <w:noWrap w:val="0"/>
            <w:vAlign w:val="center"/>
          </w:tcPr>
          <w:p w14:paraId="6EF7E9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w:t>
            </w:r>
          </w:p>
        </w:tc>
        <w:tc>
          <w:tcPr>
            <w:tcW w:w="6085" w:type="dxa"/>
            <w:noWrap w:val="0"/>
            <w:vAlign w:val="center"/>
          </w:tcPr>
          <w:p w14:paraId="48B8303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加油站内的工艺管道均埋地敷设。</w:t>
            </w:r>
          </w:p>
        </w:tc>
        <w:tc>
          <w:tcPr>
            <w:tcW w:w="1593" w:type="dxa"/>
            <w:noWrap w:val="0"/>
            <w:vAlign w:val="center"/>
          </w:tcPr>
          <w:p w14:paraId="281F01B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工艺管道均埋地敷设</w:t>
            </w:r>
          </w:p>
        </w:tc>
        <w:tc>
          <w:tcPr>
            <w:tcW w:w="825" w:type="dxa"/>
            <w:noWrap w:val="0"/>
            <w:vAlign w:val="center"/>
          </w:tcPr>
          <w:p w14:paraId="49BE3A5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B753D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626" w:type="dxa"/>
            <w:noWrap w:val="0"/>
            <w:vAlign w:val="center"/>
          </w:tcPr>
          <w:p w14:paraId="34DEF6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13</w:t>
            </w:r>
          </w:p>
        </w:tc>
        <w:tc>
          <w:tcPr>
            <w:tcW w:w="6085" w:type="dxa"/>
            <w:noWrap w:val="0"/>
            <w:vAlign w:val="center"/>
          </w:tcPr>
          <w:p w14:paraId="7B63F11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汽油罐通气管高出加油区罩棚2.2m</w:t>
            </w:r>
          </w:p>
        </w:tc>
        <w:tc>
          <w:tcPr>
            <w:tcW w:w="1593" w:type="dxa"/>
            <w:noWrap w:val="0"/>
            <w:vAlign w:val="center"/>
          </w:tcPr>
          <w:p w14:paraId="66F250D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汽油罐通气管高出加油区罩棚2.2m</w:t>
            </w:r>
          </w:p>
        </w:tc>
        <w:tc>
          <w:tcPr>
            <w:tcW w:w="825" w:type="dxa"/>
            <w:noWrap w:val="0"/>
            <w:vAlign w:val="center"/>
          </w:tcPr>
          <w:p w14:paraId="4FBFC85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1D3370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626" w:type="dxa"/>
            <w:noWrap w:val="0"/>
            <w:vAlign w:val="center"/>
          </w:tcPr>
          <w:p w14:paraId="310C92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14</w:t>
            </w:r>
          </w:p>
        </w:tc>
        <w:tc>
          <w:tcPr>
            <w:tcW w:w="6085" w:type="dxa"/>
            <w:noWrap w:val="0"/>
            <w:vAlign w:val="center"/>
          </w:tcPr>
          <w:p w14:paraId="7E2F582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通气管的公称直径为DN50，通气管管口安装阻火通气帽和机械呼吸阀。</w:t>
            </w:r>
          </w:p>
        </w:tc>
        <w:tc>
          <w:tcPr>
            <w:tcW w:w="1593" w:type="dxa"/>
            <w:noWrap w:val="0"/>
            <w:vAlign w:val="center"/>
          </w:tcPr>
          <w:p w14:paraId="0FB3ED8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通气管的公称直径为DN50</w:t>
            </w:r>
          </w:p>
        </w:tc>
        <w:tc>
          <w:tcPr>
            <w:tcW w:w="825" w:type="dxa"/>
            <w:noWrap w:val="0"/>
            <w:vAlign w:val="center"/>
          </w:tcPr>
          <w:p w14:paraId="3D68EC0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CB55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26" w:type="dxa"/>
            <w:noWrap w:val="0"/>
            <w:vAlign w:val="top"/>
          </w:tcPr>
          <w:p w14:paraId="27E6FD0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1BF38051">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jc w:val="center"/>
              <w:textAlignment w:val="auto"/>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4.4 电气方面的安全措施</w:t>
            </w:r>
          </w:p>
        </w:tc>
      </w:tr>
      <w:tr w14:paraId="1B45F2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626" w:type="dxa"/>
            <w:noWrap w:val="0"/>
            <w:vAlign w:val="top"/>
          </w:tcPr>
          <w:p w14:paraId="6EDDCD0E">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7F68B1F8">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jc w:val="center"/>
              <w:textAlignment w:val="auto"/>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4.4.1 供电电源、电气负荷分类</w:t>
            </w:r>
          </w:p>
        </w:tc>
      </w:tr>
      <w:tr w14:paraId="5F34B4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626" w:type="dxa"/>
            <w:noWrap w:val="0"/>
            <w:vAlign w:val="center"/>
          </w:tcPr>
          <w:p w14:paraId="5B95C1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7D21DEC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外接电源380V/220V采用铠装电缆引至位于配电间的配电箱，设独立的计量装置。低压配电接地型式采用TN-S系统。工控设备、信息系统设置UPS电源。</w:t>
            </w:r>
          </w:p>
          <w:p w14:paraId="34DF235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照明采用高效节能灯具，罩棚下处于非爆炸危险区域的灯具选用防护等级不低于IP44级的照明灯具；加油站消防泵房、罩棚、营业室等处拟设应急照明，通气管爆炸区域内照明拟采用防爆型。应急照明灯均自带蓄电池。</w:t>
            </w:r>
          </w:p>
          <w:p w14:paraId="6017F5C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本加油站用电负荷等级为三级，本次改造增加负荷较小，原有配电系统可以满足改造后用电需求。</w:t>
            </w:r>
          </w:p>
          <w:p w14:paraId="2306F2B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配电方式：主进线柜到其它配电箱采用放射式供电，配电干线选用电缆穿管埋地敷设。照明配电、插座均由不同支路供电，所有插座均设漏电保护器。</w:t>
            </w:r>
          </w:p>
          <w:p w14:paraId="1E9CD75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 xml:space="preserve">本工程爆炸危险区域内的电气设备选型按照《爆炸危险环境电力装置设计规范》（GB 50058-2014）选定，1区内选择本安型仪表设备和隔爆型设备，2区内选择隔爆型设备。 </w:t>
            </w:r>
          </w:p>
        </w:tc>
        <w:tc>
          <w:tcPr>
            <w:tcW w:w="1593" w:type="dxa"/>
            <w:noWrap w:val="0"/>
            <w:vAlign w:val="center"/>
          </w:tcPr>
          <w:p w14:paraId="16F7A29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工控设备、信息系统设置UPS电源。</w:t>
            </w:r>
          </w:p>
        </w:tc>
        <w:tc>
          <w:tcPr>
            <w:tcW w:w="825" w:type="dxa"/>
            <w:noWrap w:val="0"/>
            <w:vAlign w:val="center"/>
          </w:tcPr>
          <w:p w14:paraId="79C0CA8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FC5A3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top"/>
          </w:tcPr>
          <w:p w14:paraId="5A228A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8503" w:type="dxa"/>
            <w:gridSpan w:val="3"/>
            <w:noWrap w:val="0"/>
            <w:vAlign w:val="center"/>
          </w:tcPr>
          <w:p w14:paraId="18E9C1A1">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jc w:val="center"/>
              <w:textAlignment w:val="auto"/>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 xml:space="preserve">4.4.2 </w:t>
            </w:r>
            <w:r>
              <w:rPr>
                <w:rFonts w:hint="eastAsia" w:ascii="Times New Roman" w:hAnsi="Times New Roman" w:cs="Times New Roman"/>
                <w:b/>
                <w:bCs/>
                <w:color w:val="auto"/>
                <w:sz w:val="18"/>
                <w:szCs w:val="18"/>
                <w:highlight w:val="none"/>
              </w:rPr>
              <w:t>爆炸危险区域划分等级和所选择电气设备的防爆及防护等级</w:t>
            </w:r>
          </w:p>
        </w:tc>
      </w:tr>
      <w:tr w14:paraId="0D24B8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29EFB7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5BFCC1E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依据《汽车加油加气加氢站技术标准》（GB50156-2021）规定：介质为汽油的加油机、油罐、通气口、密闭卸油口等处的局部空间为爆炸危险区域0区、1区及2区。本工程爆炸危险区域内的电气设备均选用防爆型，分类、分级、分组满足不低于ⅡAT3，其中加油机防爆等级按ⅡAT3要求，其他设备如潜油泵、液位计等均为ⅡBT4，设备防护等级不低于IP44，符合《爆炸危险环境电力装置设计规范》(GB50058-2014)的有关规定。</w:t>
            </w:r>
          </w:p>
        </w:tc>
        <w:tc>
          <w:tcPr>
            <w:tcW w:w="1593" w:type="dxa"/>
            <w:noWrap w:val="0"/>
            <w:vAlign w:val="center"/>
          </w:tcPr>
          <w:p w14:paraId="0D467AF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防爆范围内电气设备符合防爆要求</w:t>
            </w:r>
          </w:p>
        </w:tc>
        <w:tc>
          <w:tcPr>
            <w:tcW w:w="825" w:type="dxa"/>
            <w:noWrap w:val="0"/>
            <w:vAlign w:val="center"/>
          </w:tcPr>
          <w:p w14:paraId="47CD2CAD">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leftChars="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cs="Times New Roman"/>
                <w:color w:val="auto"/>
                <w:sz w:val="18"/>
                <w:szCs w:val="18"/>
                <w:highlight w:val="none"/>
                <w:lang w:val="en-US" w:eastAsia="zh-CN"/>
              </w:rPr>
              <w:t>已落实</w:t>
            </w:r>
          </w:p>
        </w:tc>
      </w:tr>
      <w:tr w14:paraId="082047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626" w:type="dxa"/>
            <w:noWrap w:val="0"/>
            <w:vAlign w:val="top"/>
          </w:tcPr>
          <w:p w14:paraId="47E4EB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8503" w:type="dxa"/>
            <w:gridSpan w:val="3"/>
            <w:noWrap w:val="0"/>
            <w:vAlign w:val="center"/>
          </w:tcPr>
          <w:p w14:paraId="6CC53665">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b/>
                <w:bCs/>
                <w:color w:val="auto"/>
                <w:sz w:val="18"/>
                <w:szCs w:val="18"/>
                <w:highlight w:val="none"/>
              </w:rPr>
            </w:pPr>
            <w:r>
              <w:rPr>
                <w:rFonts w:hint="default" w:ascii="Times New Roman" w:hAnsi="Times New Roman" w:cs="Times New Roman"/>
                <w:b/>
                <w:bCs/>
                <w:color w:val="auto"/>
                <w:sz w:val="18"/>
                <w:szCs w:val="18"/>
                <w:highlight w:val="none"/>
              </w:rPr>
              <w:t>4.4.3</w:t>
            </w:r>
            <w:r>
              <w:rPr>
                <w:rFonts w:hint="eastAsia" w:ascii="Times New Roman" w:hAnsi="Times New Roman" w:cs="Times New Roman"/>
                <w:b/>
                <w:bCs/>
                <w:color w:val="auto"/>
                <w:sz w:val="18"/>
                <w:szCs w:val="18"/>
                <w:highlight w:val="none"/>
              </w:rPr>
              <w:t>防雷、防静电接地设施</w:t>
            </w:r>
          </w:p>
        </w:tc>
      </w:tr>
      <w:tr w14:paraId="2E9FB6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26" w:type="dxa"/>
            <w:noWrap w:val="0"/>
            <w:vAlign w:val="center"/>
          </w:tcPr>
          <w:p w14:paraId="64DAE7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6139BEA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本站站房及罩棚的防雷接地设施利旧，本次罐区移位，罐区部分新做接地网，且与原有接地网连接。</w:t>
            </w:r>
          </w:p>
        </w:tc>
        <w:tc>
          <w:tcPr>
            <w:tcW w:w="1593" w:type="dxa"/>
            <w:noWrap w:val="0"/>
            <w:vAlign w:val="center"/>
          </w:tcPr>
          <w:p w14:paraId="2CE2004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罐区移位，罐区部分新做接地网，且与原有接地网连接</w:t>
            </w:r>
          </w:p>
        </w:tc>
        <w:tc>
          <w:tcPr>
            <w:tcW w:w="825" w:type="dxa"/>
            <w:noWrap w:val="0"/>
            <w:vAlign w:val="center"/>
          </w:tcPr>
          <w:p w14:paraId="2A6CB53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C8FC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42A71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6085" w:type="dxa"/>
            <w:noWrap w:val="0"/>
            <w:vAlign w:val="center"/>
          </w:tcPr>
          <w:p w14:paraId="7128FEF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接地：采用热镀锌角钢作为垂直接地极，长2.5米；采用热镀锌扁钢作为水平接地线，接地线埋深距室外地坪-1米。接地装置全部相互连接成整体接地网。室外电缆的金属外皮两端、保护管两端均接地。静电接地检测器及人体静电释放报警器接地点应位于爆炸危险区域以外。</w:t>
            </w:r>
          </w:p>
        </w:tc>
        <w:tc>
          <w:tcPr>
            <w:tcW w:w="1593" w:type="dxa"/>
            <w:noWrap w:val="0"/>
            <w:vAlign w:val="center"/>
          </w:tcPr>
          <w:p w14:paraId="3EEBB81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按要求接地</w:t>
            </w:r>
          </w:p>
        </w:tc>
        <w:tc>
          <w:tcPr>
            <w:tcW w:w="825" w:type="dxa"/>
            <w:noWrap w:val="0"/>
            <w:vAlign w:val="center"/>
          </w:tcPr>
          <w:p w14:paraId="2FFC4AA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3B8E90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626" w:type="dxa"/>
            <w:noWrap w:val="0"/>
            <w:vAlign w:val="center"/>
          </w:tcPr>
          <w:p w14:paraId="75BBA2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w:t>
            </w:r>
          </w:p>
        </w:tc>
        <w:tc>
          <w:tcPr>
            <w:tcW w:w="6085" w:type="dxa"/>
            <w:noWrap w:val="0"/>
            <w:vAlign w:val="center"/>
          </w:tcPr>
          <w:p w14:paraId="0043785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 xml:space="preserve">所有引下线3米范围内地表层的电阻率不应小于50kΩm，若小于50kΩm时敷设5cm厚沥青层或15cm厚砾石层。 </w:t>
            </w:r>
          </w:p>
        </w:tc>
        <w:tc>
          <w:tcPr>
            <w:tcW w:w="1593" w:type="dxa"/>
            <w:noWrap w:val="0"/>
            <w:vAlign w:val="center"/>
          </w:tcPr>
          <w:p w14:paraId="0768986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所有引下线3米范围内地表层的电阻率符合要求</w:t>
            </w:r>
          </w:p>
        </w:tc>
        <w:tc>
          <w:tcPr>
            <w:tcW w:w="825" w:type="dxa"/>
            <w:noWrap w:val="0"/>
            <w:vAlign w:val="center"/>
          </w:tcPr>
          <w:p w14:paraId="07EF299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0838A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66EA97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w:t>
            </w:r>
          </w:p>
        </w:tc>
        <w:tc>
          <w:tcPr>
            <w:tcW w:w="6085" w:type="dxa"/>
            <w:noWrap w:val="0"/>
            <w:vAlign w:val="center"/>
          </w:tcPr>
          <w:p w14:paraId="20E6BEB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电源进线处作总等电位联结端子箱MEB。电源进线配电柜的PE干线、弱电系统的接地线、室内金属水暖管等均在入户处就近与MEB相连。各处MEB通过热镀锌扁钢-40*4与基础钢筋网焊接相连，并且用扁钢相互连接。</w:t>
            </w:r>
          </w:p>
        </w:tc>
        <w:tc>
          <w:tcPr>
            <w:tcW w:w="1593" w:type="dxa"/>
            <w:noWrap w:val="0"/>
            <w:vAlign w:val="center"/>
          </w:tcPr>
          <w:p w14:paraId="209A808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源进线处作总等电位联结端子箱MEB</w:t>
            </w:r>
          </w:p>
        </w:tc>
        <w:tc>
          <w:tcPr>
            <w:tcW w:w="825" w:type="dxa"/>
            <w:noWrap w:val="0"/>
            <w:vAlign w:val="center"/>
          </w:tcPr>
          <w:p w14:paraId="28CCE26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4AC1B7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626" w:type="dxa"/>
            <w:noWrap w:val="0"/>
            <w:vAlign w:val="center"/>
          </w:tcPr>
          <w:p w14:paraId="07705D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w:t>
            </w:r>
          </w:p>
        </w:tc>
        <w:tc>
          <w:tcPr>
            <w:tcW w:w="6085" w:type="dxa"/>
            <w:noWrap w:val="0"/>
            <w:vAlign w:val="center"/>
          </w:tcPr>
          <w:p w14:paraId="5998707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低压供电电源端、信息系统配电线路首、末端均装设电涌保护器。</w:t>
            </w:r>
          </w:p>
        </w:tc>
        <w:tc>
          <w:tcPr>
            <w:tcW w:w="1593" w:type="dxa"/>
            <w:noWrap w:val="0"/>
            <w:vAlign w:val="center"/>
          </w:tcPr>
          <w:p w14:paraId="5546846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装设电涌保护器</w:t>
            </w:r>
          </w:p>
        </w:tc>
        <w:tc>
          <w:tcPr>
            <w:tcW w:w="825" w:type="dxa"/>
            <w:noWrap w:val="0"/>
            <w:vAlign w:val="center"/>
          </w:tcPr>
          <w:p w14:paraId="58A7450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31A985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7868B5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w:t>
            </w:r>
          </w:p>
        </w:tc>
        <w:tc>
          <w:tcPr>
            <w:tcW w:w="6085" w:type="dxa"/>
            <w:noWrap w:val="0"/>
            <w:vAlign w:val="center"/>
          </w:tcPr>
          <w:p w14:paraId="645FEE7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 xml:space="preserve">埋地油罐进行防雷接地，接地点不应少于两处。埋地油罐以及非金属油罐顶部的金属部件和罐内的各金属部件，必须与非埋地部分的工艺金属管道互相做电气连接并接地。汽车加油加气加氢站的防雷接地、防静电接地、电气设备的工作接地、保护接地及信息系统的接地等共用接地装置，接地电阻不应大于4欧姆。接地电阻值以实测为准，若不满足继续补打人工接地体。 </w:t>
            </w:r>
          </w:p>
        </w:tc>
        <w:tc>
          <w:tcPr>
            <w:tcW w:w="1593" w:type="dxa"/>
            <w:noWrap w:val="0"/>
            <w:vAlign w:val="center"/>
          </w:tcPr>
          <w:p w14:paraId="36339AC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埋地油罐按要求进行防雷接地</w:t>
            </w:r>
          </w:p>
        </w:tc>
        <w:tc>
          <w:tcPr>
            <w:tcW w:w="825" w:type="dxa"/>
            <w:noWrap w:val="0"/>
            <w:vAlign w:val="center"/>
          </w:tcPr>
          <w:p w14:paraId="344CDBA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6DA0D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626" w:type="dxa"/>
            <w:noWrap w:val="0"/>
            <w:vAlign w:val="center"/>
          </w:tcPr>
          <w:p w14:paraId="4A1C9D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7</w:t>
            </w:r>
          </w:p>
        </w:tc>
        <w:tc>
          <w:tcPr>
            <w:tcW w:w="6085" w:type="dxa"/>
            <w:noWrap w:val="0"/>
            <w:vAlign w:val="center"/>
          </w:tcPr>
          <w:p w14:paraId="1863207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本工程采用所有镀锌型材均为热镀锌。地下镀锌型材电焊连接处涂环氧煤沥青防腐。</w:t>
            </w:r>
          </w:p>
        </w:tc>
        <w:tc>
          <w:tcPr>
            <w:tcW w:w="1593" w:type="dxa"/>
            <w:noWrap w:val="0"/>
            <w:vAlign w:val="center"/>
          </w:tcPr>
          <w:p w14:paraId="1FC76DB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均为热镀锌</w:t>
            </w:r>
          </w:p>
        </w:tc>
        <w:tc>
          <w:tcPr>
            <w:tcW w:w="825" w:type="dxa"/>
            <w:noWrap w:val="0"/>
            <w:vAlign w:val="center"/>
          </w:tcPr>
          <w:p w14:paraId="32801A3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8ACCF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626" w:type="dxa"/>
            <w:noWrap w:val="0"/>
            <w:vAlign w:val="top"/>
          </w:tcPr>
          <w:p w14:paraId="56D99BF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6C8BAC12">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4.5 自控仪表</w:t>
            </w:r>
          </w:p>
        </w:tc>
      </w:tr>
      <w:tr w14:paraId="292926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626" w:type="dxa"/>
            <w:noWrap w:val="0"/>
            <w:vAlign w:val="top"/>
          </w:tcPr>
          <w:p w14:paraId="233E817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66B7DFD8">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4.5.1 应急或备用电源的设置</w:t>
            </w:r>
          </w:p>
        </w:tc>
      </w:tr>
      <w:tr w14:paraId="75EA50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01DBAF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0E036B4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本站应急照明利旧，灯具均由应急照明集中电源供电，应急时间不小于90分钟。</w:t>
            </w:r>
          </w:p>
          <w:p w14:paraId="4DB6190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仪表供电为220VAC，50Hz。微机电源、液位计电源、监控机柜电源都由UPS系统供电（供电时间不小于60min）。</w:t>
            </w:r>
          </w:p>
        </w:tc>
        <w:tc>
          <w:tcPr>
            <w:tcW w:w="1593" w:type="dxa"/>
            <w:noWrap w:val="0"/>
            <w:vAlign w:val="center"/>
          </w:tcPr>
          <w:p w14:paraId="1157E47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设UPS电源</w:t>
            </w:r>
          </w:p>
        </w:tc>
        <w:tc>
          <w:tcPr>
            <w:tcW w:w="825" w:type="dxa"/>
            <w:noWrap w:val="0"/>
            <w:vAlign w:val="center"/>
          </w:tcPr>
          <w:p w14:paraId="124565E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18E28D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26" w:type="dxa"/>
            <w:noWrap w:val="0"/>
            <w:vAlign w:val="top"/>
          </w:tcPr>
          <w:p w14:paraId="582664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p>
        </w:tc>
        <w:tc>
          <w:tcPr>
            <w:tcW w:w="8503" w:type="dxa"/>
            <w:gridSpan w:val="3"/>
            <w:noWrap w:val="0"/>
            <w:vAlign w:val="center"/>
          </w:tcPr>
          <w:p w14:paraId="6E2E4698">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4.5.2 自动控制系统的设置和安全功能</w:t>
            </w:r>
          </w:p>
        </w:tc>
      </w:tr>
      <w:tr w14:paraId="6C893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30" w:hRule="atLeast"/>
          <w:jc w:val="center"/>
        </w:trPr>
        <w:tc>
          <w:tcPr>
            <w:tcW w:w="626" w:type="dxa"/>
            <w:noWrap w:val="0"/>
            <w:vAlign w:val="center"/>
          </w:tcPr>
          <w:p w14:paraId="0D1055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170391F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站设有带有高液位报警功能的液位监测系统，当卸油时油料达到油罐容量90%时，能触动高液位报警装置报警，油料达到油罐容量95%，能自动停止油料继续进罐。另该站站房外墙上和站内收银台旁各设有1个紧急切断按钮，加油机上设有急停按钮，能确保在事故状态下迅速切断加油泵。该站摄像头全面覆盖无死角，视频监控终端设置在办公室内。24小时有人值守。</w:t>
            </w:r>
          </w:p>
          <w:p w14:paraId="6EF6401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每座油罐设一个防渗漏检测传感器，渗漏检测传感器信号线引至办公室内渗漏检测报警主机，油罐发生渗漏时发出声光报警。且每具油罐的人孔井内设输油管线渗漏检测仪一套，对输油管线进行渗漏检测，传感器的检测精度不大于3.5mm。渗漏检测仪信号线引至办公室内输油管线渗漏检测报警主机，输油管线发生渗漏时发出声光报警。</w:t>
            </w:r>
          </w:p>
        </w:tc>
        <w:tc>
          <w:tcPr>
            <w:tcW w:w="1593" w:type="dxa"/>
            <w:noWrap w:val="0"/>
            <w:vAlign w:val="center"/>
          </w:tcPr>
          <w:p w14:paraId="333BE19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均设置。</w:t>
            </w:r>
          </w:p>
        </w:tc>
        <w:tc>
          <w:tcPr>
            <w:tcW w:w="825" w:type="dxa"/>
            <w:noWrap w:val="0"/>
            <w:vAlign w:val="center"/>
          </w:tcPr>
          <w:p w14:paraId="10D449F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7ED1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626" w:type="dxa"/>
            <w:noWrap w:val="0"/>
            <w:vAlign w:val="top"/>
          </w:tcPr>
          <w:p w14:paraId="1857124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7EFEA2CB">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4.6 建构筑物</w:t>
            </w:r>
          </w:p>
        </w:tc>
      </w:tr>
      <w:tr w14:paraId="75FB78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4EC58B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4EF8F15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拆除原有加油岛，新建4座加油岛，高出室外地坪0.20m，加油岛的宽度为1.2m，且加油岛两端设置了防撞柱，防撞柱高度为0.6m，宽度1.2m，其钢管的直径为108mm。</w:t>
            </w:r>
          </w:p>
        </w:tc>
        <w:tc>
          <w:tcPr>
            <w:tcW w:w="1593" w:type="dxa"/>
            <w:noWrap w:val="0"/>
            <w:vAlign w:val="center"/>
          </w:tcPr>
          <w:p w14:paraId="0AC3CE6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拆除原有加油岛，新建4座加油岛</w:t>
            </w:r>
          </w:p>
        </w:tc>
        <w:tc>
          <w:tcPr>
            <w:tcW w:w="825" w:type="dxa"/>
            <w:noWrap w:val="0"/>
            <w:vAlign w:val="center"/>
          </w:tcPr>
          <w:p w14:paraId="1059B9D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3876E8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 w:hRule="atLeast"/>
          <w:jc w:val="center"/>
        </w:trPr>
        <w:tc>
          <w:tcPr>
            <w:tcW w:w="626" w:type="dxa"/>
            <w:noWrap w:val="0"/>
            <w:vAlign w:val="center"/>
          </w:tcPr>
          <w:p w14:paraId="15079B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6085" w:type="dxa"/>
            <w:noWrap w:val="0"/>
            <w:vAlign w:val="center"/>
          </w:tcPr>
          <w:p w14:paraId="4DC3C55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埋地油罐设防浮漂带，防止油罐上浮。</w:t>
            </w:r>
          </w:p>
        </w:tc>
        <w:tc>
          <w:tcPr>
            <w:tcW w:w="1593" w:type="dxa"/>
            <w:noWrap w:val="0"/>
            <w:vAlign w:val="center"/>
          </w:tcPr>
          <w:p w14:paraId="71C4334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埋地油罐设防浮漂带</w:t>
            </w:r>
          </w:p>
        </w:tc>
        <w:tc>
          <w:tcPr>
            <w:tcW w:w="825" w:type="dxa"/>
            <w:noWrap w:val="0"/>
            <w:vAlign w:val="center"/>
          </w:tcPr>
          <w:p w14:paraId="3842275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983DE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26" w:type="dxa"/>
            <w:noWrap w:val="0"/>
            <w:vAlign w:val="top"/>
          </w:tcPr>
          <w:p w14:paraId="11F0D471">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highlight w:val="none"/>
              </w:rPr>
            </w:pPr>
          </w:p>
        </w:tc>
        <w:tc>
          <w:tcPr>
            <w:tcW w:w="8503" w:type="dxa"/>
            <w:gridSpan w:val="3"/>
            <w:noWrap w:val="0"/>
            <w:vAlign w:val="center"/>
          </w:tcPr>
          <w:p w14:paraId="610E0266">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4.7其他防范措施</w:t>
            </w:r>
          </w:p>
        </w:tc>
      </w:tr>
      <w:tr w14:paraId="746BE7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top"/>
          </w:tcPr>
          <w:p w14:paraId="24077725">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57F0C7E8">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4.7.1</w:t>
            </w:r>
            <w:r>
              <w:rPr>
                <w:rFonts w:hint="eastAsia" w:ascii="Times New Roman" w:hAnsi="Times New Roman" w:eastAsia="宋体" w:cs="Times New Roman"/>
                <w:b/>
                <w:bCs/>
                <w:color w:val="auto"/>
                <w:sz w:val="18"/>
                <w:szCs w:val="18"/>
                <w:highlight w:val="none"/>
              </w:rPr>
              <w:t>防洪、防台风、防地质灾害、抗震等防范自然灾害的措施</w:t>
            </w:r>
          </w:p>
        </w:tc>
      </w:tr>
      <w:tr w14:paraId="64806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02F371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123CE4F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防洪：本加油站竖向布置设计使站区形成一定的高程差，站区设计独立、完善的雨水排放系统，根据自然地形设置场地坡向，使雨水自动排向站外。站址场地设计标高高于当地50年洪水重现期标高，因此洪水不会对本加油站产生影响。</w:t>
            </w:r>
          </w:p>
        </w:tc>
        <w:tc>
          <w:tcPr>
            <w:tcW w:w="1593" w:type="dxa"/>
            <w:noWrap w:val="0"/>
            <w:vAlign w:val="center"/>
          </w:tcPr>
          <w:p w14:paraId="02E3010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站区设计独立、完善的雨水排放系统</w:t>
            </w:r>
          </w:p>
        </w:tc>
        <w:tc>
          <w:tcPr>
            <w:tcW w:w="825" w:type="dxa"/>
            <w:noWrap w:val="0"/>
            <w:vAlign w:val="center"/>
          </w:tcPr>
          <w:p w14:paraId="2E270F2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p>
          <w:p w14:paraId="29FEAE9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5DADD4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2134C8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6085" w:type="dxa"/>
            <w:noWrap w:val="0"/>
            <w:vAlign w:val="center"/>
          </w:tcPr>
          <w:p w14:paraId="5761EE2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防台风：该位置不属于台风多发区，故不会受到台风的危害。</w:t>
            </w:r>
          </w:p>
        </w:tc>
        <w:tc>
          <w:tcPr>
            <w:tcW w:w="1593" w:type="dxa"/>
            <w:noWrap w:val="0"/>
            <w:vAlign w:val="center"/>
          </w:tcPr>
          <w:p w14:paraId="6EF3615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825" w:type="dxa"/>
            <w:noWrap w:val="0"/>
            <w:vAlign w:val="center"/>
          </w:tcPr>
          <w:p w14:paraId="32BB85E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r>
      <w:tr w14:paraId="065506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26" w:type="dxa"/>
            <w:noWrap w:val="0"/>
            <w:vAlign w:val="center"/>
          </w:tcPr>
          <w:p w14:paraId="7A3E4C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w:t>
            </w:r>
          </w:p>
        </w:tc>
        <w:tc>
          <w:tcPr>
            <w:tcW w:w="6085" w:type="dxa"/>
            <w:noWrap w:val="0"/>
            <w:vAlign w:val="center"/>
          </w:tcPr>
          <w:p w14:paraId="158A88F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抗震：本地区抗震设防烈度为6度，本加油站建筑物抗震烈度按6度设防。</w:t>
            </w:r>
          </w:p>
        </w:tc>
        <w:tc>
          <w:tcPr>
            <w:tcW w:w="1593" w:type="dxa"/>
            <w:noWrap w:val="0"/>
            <w:vAlign w:val="center"/>
          </w:tcPr>
          <w:p w14:paraId="43E6A11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加油站建筑物抗震烈度按6度设防</w:t>
            </w:r>
          </w:p>
        </w:tc>
        <w:tc>
          <w:tcPr>
            <w:tcW w:w="825" w:type="dxa"/>
            <w:noWrap w:val="0"/>
            <w:vAlign w:val="center"/>
          </w:tcPr>
          <w:p w14:paraId="5F92366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6B0D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top"/>
          </w:tcPr>
          <w:p w14:paraId="2AB224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p>
        </w:tc>
        <w:tc>
          <w:tcPr>
            <w:tcW w:w="8503" w:type="dxa"/>
            <w:gridSpan w:val="3"/>
            <w:noWrap w:val="0"/>
            <w:vAlign w:val="center"/>
          </w:tcPr>
          <w:p w14:paraId="4C6AE011">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default" w:ascii="Times New Roman" w:hAnsi="Times New Roman" w:cs="Times New Roman"/>
                <w:b/>
                <w:bCs/>
                <w:color w:val="auto"/>
                <w:sz w:val="18"/>
                <w:szCs w:val="18"/>
              </w:rPr>
            </w:pPr>
            <w:r>
              <w:rPr>
                <w:rFonts w:hint="default" w:ascii="Times New Roman" w:hAnsi="Times New Roman" w:eastAsia="宋体" w:cs="Times New Roman"/>
                <w:b/>
                <w:bCs/>
                <w:color w:val="auto"/>
                <w:sz w:val="18"/>
                <w:szCs w:val="18"/>
                <w:highlight w:val="none"/>
              </w:rPr>
              <w:t>4.7.2</w:t>
            </w:r>
            <w:r>
              <w:rPr>
                <w:rFonts w:hint="eastAsia" w:ascii="Times New Roman" w:hAnsi="Times New Roman" w:eastAsia="宋体" w:cs="Times New Roman"/>
                <w:b/>
                <w:bCs/>
                <w:color w:val="auto"/>
                <w:sz w:val="18"/>
                <w:szCs w:val="18"/>
                <w:highlight w:val="none"/>
              </w:rPr>
              <w:t>防噪声、防灼烫、防护栏、安全标志设置</w:t>
            </w:r>
          </w:p>
        </w:tc>
      </w:tr>
      <w:tr w14:paraId="14FBEC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46CDE1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6085" w:type="dxa"/>
            <w:noWrap w:val="0"/>
            <w:vAlign w:val="center"/>
          </w:tcPr>
          <w:p w14:paraId="259E8A5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防噪声：本项目所用设备均为小型，噪声源不超过65db(A)，设备室外放置，且只在加油时使用，对人体不构成威胁，满足《工业企业设计卫生标准》（GBZ1-2010）的要求，不需要额外的防护。</w:t>
            </w:r>
          </w:p>
        </w:tc>
        <w:tc>
          <w:tcPr>
            <w:tcW w:w="1593" w:type="dxa"/>
            <w:noWrap w:val="0"/>
            <w:vAlign w:val="center"/>
          </w:tcPr>
          <w:p w14:paraId="6A121C7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站内选用低噪声设备</w:t>
            </w:r>
          </w:p>
        </w:tc>
        <w:tc>
          <w:tcPr>
            <w:tcW w:w="825" w:type="dxa"/>
            <w:noWrap w:val="0"/>
            <w:vAlign w:val="center"/>
          </w:tcPr>
          <w:p w14:paraId="09833C7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26837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20C07B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6085" w:type="dxa"/>
            <w:noWrap w:val="0"/>
            <w:vAlign w:val="center"/>
          </w:tcPr>
          <w:p w14:paraId="2F2B1F5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防护栏：加油岛两端设置了防撞柱，防撞柱，高度不低于0.6m。</w:t>
            </w:r>
          </w:p>
        </w:tc>
        <w:tc>
          <w:tcPr>
            <w:tcW w:w="1593" w:type="dxa"/>
            <w:noWrap w:val="0"/>
            <w:vAlign w:val="center"/>
          </w:tcPr>
          <w:p w14:paraId="109FBF7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加油岛两端设有防撞柱</w:t>
            </w:r>
          </w:p>
        </w:tc>
        <w:tc>
          <w:tcPr>
            <w:tcW w:w="825" w:type="dxa"/>
            <w:noWrap w:val="0"/>
            <w:vAlign w:val="center"/>
          </w:tcPr>
          <w:p w14:paraId="55FDA61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8310B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6A70DB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3</w:t>
            </w:r>
          </w:p>
        </w:tc>
        <w:tc>
          <w:tcPr>
            <w:tcW w:w="6085" w:type="dxa"/>
            <w:noWrap w:val="0"/>
            <w:vAlign w:val="center"/>
          </w:tcPr>
          <w:p w14:paraId="12E04FE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安全标志</w:t>
            </w:r>
          </w:p>
          <w:p w14:paraId="5F13FA8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cs="Times New Roman"/>
                <w:color w:val="auto"/>
                <w:sz w:val="18"/>
                <w:szCs w:val="18"/>
              </w:rPr>
            </w:pPr>
            <w:r>
              <w:rPr>
                <w:rFonts w:hint="eastAsia" w:ascii="Times New Roman" w:hAnsi="Times New Roman" w:eastAsia="宋体" w:cs="Times New Roman"/>
                <w:color w:val="auto"/>
                <w:sz w:val="18"/>
                <w:szCs w:val="18"/>
                <w:lang w:val="en-US" w:eastAsia="zh-CN"/>
              </w:rPr>
              <w:t>改造后的加油站设置的相关安全警示标志，具体设置见表4-5。</w:t>
            </w:r>
          </w:p>
          <w:p w14:paraId="17D22DDB">
            <w:pPr>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表</w:t>
            </w:r>
            <w:r>
              <w:rPr>
                <w:rFonts w:hint="eastAsia" w:ascii="Times New Roman" w:hAnsi="Times New Roman" w:eastAsia="宋体" w:cs="Times New Roman"/>
                <w:color w:val="auto"/>
                <w:sz w:val="18"/>
                <w:szCs w:val="18"/>
                <w:lang w:val="en-US" w:eastAsia="zh-CN"/>
              </w:rPr>
              <w:t>4-5</w:t>
            </w:r>
            <w:r>
              <w:rPr>
                <w:rFonts w:hint="eastAsia" w:ascii="Times New Roman" w:hAnsi="Times New Roman" w:eastAsia="宋体" w:cs="Times New Roman"/>
                <w:color w:val="auto"/>
                <w:sz w:val="18"/>
                <w:szCs w:val="18"/>
              </w:rPr>
              <w:t xml:space="preserve">  安全警示标志设置情况</w:t>
            </w:r>
          </w:p>
          <w:tbl>
            <w:tblPr>
              <w:tblStyle w:val="48"/>
              <w:tblW w:w="4999" w:type="pct"/>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1906"/>
              <w:gridCol w:w="1525"/>
              <w:gridCol w:w="1903"/>
              <w:gridCol w:w="632"/>
            </w:tblGrid>
            <w:tr w14:paraId="2CDB7F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386" w:type="pct"/>
                  <w:tcBorders>
                    <w:tl2br w:val="nil"/>
                    <w:tr2bl w:val="nil"/>
                  </w:tcBorders>
                  <w:noWrap w:val="0"/>
                  <w:vAlign w:val="center"/>
                </w:tcPr>
                <w:p w14:paraId="1BECA589">
                  <w:pPr>
                    <w:keepNext w:val="0"/>
                    <w:keepLines w:val="0"/>
                    <w:widowControl w:val="0"/>
                    <w:suppressLineNumbers w:val="0"/>
                    <w:spacing w:before="0" w:beforeAutospacing="0" w:after="0" w:afterAutospacing="0" w:line="240" w:lineRule="exact"/>
                    <w:ind w:left="0" w:leftChars="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序号</w:t>
                  </w:r>
                </w:p>
              </w:tc>
              <w:tc>
                <w:tcPr>
                  <w:tcW w:w="1473" w:type="pct"/>
                  <w:tcBorders>
                    <w:tl2br w:val="nil"/>
                    <w:tr2bl w:val="nil"/>
                  </w:tcBorders>
                  <w:noWrap w:val="0"/>
                  <w:vAlign w:val="center"/>
                </w:tcPr>
                <w:p w14:paraId="6AD6915C">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设施名称</w:t>
                  </w:r>
                </w:p>
              </w:tc>
              <w:tc>
                <w:tcPr>
                  <w:tcW w:w="1178" w:type="pct"/>
                  <w:tcBorders>
                    <w:tl2br w:val="nil"/>
                    <w:tr2bl w:val="nil"/>
                  </w:tcBorders>
                  <w:noWrap w:val="0"/>
                  <w:vAlign w:val="center"/>
                </w:tcPr>
                <w:p w14:paraId="6654AECE">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设置位置</w:t>
                  </w:r>
                </w:p>
              </w:tc>
              <w:tc>
                <w:tcPr>
                  <w:tcW w:w="1471" w:type="pct"/>
                  <w:tcBorders>
                    <w:tl2br w:val="nil"/>
                    <w:tr2bl w:val="nil"/>
                  </w:tcBorders>
                  <w:noWrap w:val="0"/>
                  <w:vAlign w:val="center"/>
                </w:tcPr>
                <w:p w14:paraId="5C705DF6">
                  <w:pPr>
                    <w:keepNext w:val="0"/>
                    <w:keepLines w:val="0"/>
                    <w:widowControl w:val="0"/>
                    <w:suppressLineNumbers w:val="0"/>
                    <w:spacing w:before="0" w:beforeAutospacing="0" w:after="0" w:afterAutospacing="0" w:line="240" w:lineRule="exact"/>
                    <w:ind w:left="0" w:right="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设施作用</w:t>
                  </w:r>
                </w:p>
              </w:tc>
              <w:tc>
                <w:tcPr>
                  <w:tcW w:w="489" w:type="pct"/>
                  <w:tcBorders>
                    <w:tl2br w:val="nil"/>
                    <w:tr2bl w:val="nil"/>
                  </w:tcBorders>
                  <w:noWrap w:val="0"/>
                  <w:vAlign w:val="center"/>
                </w:tcPr>
                <w:p w14:paraId="4815A74A">
                  <w:pPr>
                    <w:keepNext w:val="0"/>
                    <w:keepLines w:val="0"/>
                    <w:widowControl w:val="0"/>
                    <w:suppressLineNumbers w:val="0"/>
                    <w:spacing w:before="0" w:beforeAutospacing="0" w:after="0" w:afterAutospacing="0" w:line="240" w:lineRule="exact"/>
                    <w:ind w:left="0" w:leftChars="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数量</w:t>
                  </w:r>
                </w:p>
              </w:tc>
            </w:tr>
            <w:tr w14:paraId="1632F2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50D878C3">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1</w:t>
                  </w:r>
                </w:p>
              </w:tc>
              <w:tc>
                <w:tcPr>
                  <w:tcW w:w="1473" w:type="pct"/>
                  <w:tcBorders>
                    <w:tl2br w:val="nil"/>
                    <w:tr2bl w:val="nil"/>
                  </w:tcBorders>
                  <w:noWrap w:val="0"/>
                  <w:vAlign w:val="center"/>
                </w:tcPr>
                <w:p w14:paraId="708B3806">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“入口”、“出口”标志</w:t>
                  </w:r>
                </w:p>
              </w:tc>
              <w:tc>
                <w:tcPr>
                  <w:tcW w:w="1178" w:type="pct"/>
                  <w:tcBorders>
                    <w:tl2br w:val="nil"/>
                    <w:tr2bl w:val="nil"/>
                  </w:tcBorders>
                  <w:noWrap w:val="0"/>
                  <w:vAlign w:val="center"/>
                </w:tcPr>
                <w:p w14:paraId="3B247FCC">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加油站出入口处</w:t>
                  </w:r>
                </w:p>
              </w:tc>
              <w:tc>
                <w:tcPr>
                  <w:tcW w:w="1471" w:type="pct"/>
                  <w:tcBorders>
                    <w:tl2br w:val="nil"/>
                    <w:tr2bl w:val="nil"/>
                  </w:tcBorders>
                  <w:noWrap w:val="0"/>
                  <w:vAlign w:val="center"/>
                </w:tcPr>
                <w:p w14:paraId="3468EAF1">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引导进出加油站的车辆行驶方向</w:t>
                  </w:r>
                </w:p>
              </w:tc>
              <w:tc>
                <w:tcPr>
                  <w:tcW w:w="489" w:type="pct"/>
                  <w:tcBorders>
                    <w:tl2br w:val="nil"/>
                    <w:tr2bl w:val="nil"/>
                  </w:tcBorders>
                  <w:noWrap w:val="0"/>
                  <w:vAlign w:val="center"/>
                </w:tcPr>
                <w:p w14:paraId="1A42195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2块</w:t>
                  </w:r>
                </w:p>
              </w:tc>
            </w:tr>
            <w:tr w14:paraId="4B00A3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26CD072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2</w:t>
                  </w:r>
                </w:p>
              </w:tc>
              <w:tc>
                <w:tcPr>
                  <w:tcW w:w="1473" w:type="pct"/>
                  <w:tcBorders>
                    <w:tl2br w:val="nil"/>
                    <w:tr2bl w:val="nil"/>
                  </w:tcBorders>
                  <w:noWrap w:val="0"/>
                  <w:vAlign w:val="center"/>
                </w:tcPr>
                <w:p w14:paraId="444EA932">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严禁烟火</w:t>
                  </w:r>
                </w:p>
              </w:tc>
              <w:tc>
                <w:tcPr>
                  <w:tcW w:w="1178" w:type="pct"/>
                  <w:tcBorders>
                    <w:tl2br w:val="nil"/>
                    <w:tr2bl w:val="nil"/>
                  </w:tcBorders>
                  <w:noWrap w:val="0"/>
                  <w:vAlign w:val="center"/>
                </w:tcPr>
                <w:p w14:paraId="58CEA051">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油罐区、通气管口</w:t>
                  </w:r>
                </w:p>
              </w:tc>
              <w:tc>
                <w:tcPr>
                  <w:tcW w:w="1471" w:type="pct"/>
                  <w:tcBorders>
                    <w:tl2br w:val="nil"/>
                    <w:tr2bl w:val="nil"/>
                  </w:tcBorders>
                  <w:noWrap w:val="0"/>
                  <w:vAlign w:val="center"/>
                </w:tcPr>
                <w:p w14:paraId="21ABFEE3">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事故预防、禁止或注意事项告知</w:t>
                  </w:r>
                </w:p>
              </w:tc>
              <w:tc>
                <w:tcPr>
                  <w:tcW w:w="489" w:type="pct"/>
                  <w:tcBorders>
                    <w:tl2br w:val="nil"/>
                    <w:tr2bl w:val="nil"/>
                  </w:tcBorders>
                  <w:noWrap w:val="0"/>
                  <w:vAlign w:val="center"/>
                </w:tcPr>
                <w:p w14:paraId="580D1EEA">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2个</w:t>
                  </w:r>
                </w:p>
              </w:tc>
            </w:tr>
            <w:tr w14:paraId="64C3F8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00A4AA1B">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3</w:t>
                  </w:r>
                </w:p>
              </w:tc>
              <w:tc>
                <w:tcPr>
                  <w:tcW w:w="1473" w:type="pct"/>
                  <w:tcBorders>
                    <w:tl2br w:val="nil"/>
                    <w:tr2bl w:val="nil"/>
                  </w:tcBorders>
                  <w:noWrap w:val="0"/>
                  <w:vAlign w:val="center"/>
                </w:tcPr>
                <w:p w14:paraId="47B35261">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卸油作业警示牌</w:t>
                  </w:r>
                </w:p>
              </w:tc>
              <w:tc>
                <w:tcPr>
                  <w:tcW w:w="1178" w:type="pct"/>
                  <w:tcBorders>
                    <w:tl2br w:val="nil"/>
                    <w:tr2bl w:val="nil"/>
                  </w:tcBorders>
                  <w:noWrap w:val="0"/>
                  <w:vAlign w:val="center"/>
                </w:tcPr>
                <w:p w14:paraId="5A023DA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油罐区</w:t>
                  </w:r>
                </w:p>
              </w:tc>
              <w:tc>
                <w:tcPr>
                  <w:tcW w:w="1471" w:type="pct"/>
                  <w:tcBorders>
                    <w:tl2br w:val="nil"/>
                    <w:tr2bl w:val="nil"/>
                  </w:tcBorders>
                  <w:noWrap w:val="0"/>
                  <w:vAlign w:val="center"/>
                </w:tcPr>
                <w:p w14:paraId="7C498D19">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事故预防、危险源告知</w:t>
                  </w:r>
                </w:p>
              </w:tc>
              <w:tc>
                <w:tcPr>
                  <w:tcW w:w="489" w:type="pct"/>
                  <w:tcBorders>
                    <w:tl2br w:val="nil"/>
                    <w:tr2bl w:val="nil"/>
                  </w:tcBorders>
                  <w:noWrap w:val="0"/>
                  <w:vAlign w:val="center"/>
                </w:tcPr>
                <w:p w14:paraId="5E84F88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1个</w:t>
                  </w:r>
                </w:p>
              </w:tc>
            </w:tr>
            <w:tr w14:paraId="618C39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43D6EF0C">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4</w:t>
                  </w:r>
                </w:p>
              </w:tc>
              <w:tc>
                <w:tcPr>
                  <w:tcW w:w="1473" w:type="pct"/>
                  <w:tcBorders>
                    <w:tl2br w:val="nil"/>
                    <w:tr2bl w:val="nil"/>
                  </w:tcBorders>
                  <w:noWrap w:val="0"/>
                  <w:vAlign w:val="center"/>
                </w:tcPr>
                <w:p w14:paraId="447A61C6">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组合式警告标志（禁止吸烟、熄火加油、禁打手机、禁止烟火）</w:t>
                  </w:r>
                </w:p>
              </w:tc>
              <w:tc>
                <w:tcPr>
                  <w:tcW w:w="1178" w:type="pct"/>
                  <w:tcBorders>
                    <w:tl2br w:val="nil"/>
                    <w:tr2bl w:val="nil"/>
                  </w:tcBorders>
                  <w:noWrap w:val="0"/>
                  <w:vAlign w:val="center"/>
                </w:tcPr>
                <w:p w14:paraId="5DBE651F">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罩棚立柱</w:t>
                  </w:r>
                </w:p>
              </w:tc>
              <w:tc>
                <w:tcPr>
                  <w:tcW w:w="1471" w:type="pct"/>
                  <w:tcBorders>
                    <w:tl2br w:val="nil"/>
                    <w:tr2bl w:val="nil"/>
                  </w:tcBorders>
                  <w:noWrap w:val="0"/>
                  <w:vAlign w:val="center"/>
                </w:tcPr>
                <w:p w14:paraId="2AA56624">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事故预防、禁止或注意事项告知</w:t>
                  </w:r>
                </w:p>
              </w:tc>
              <w:tc>
                <w:tcPr>
                  <w:tcW w:w="489" w:type="pct"/>
                  <w:tcBorders>
                    <w:tl2br w:val="nil"/>
                    <w:tr2bl w:val="nil"/>
                  </w:tcBorders>
                  <w:noWrap w:val="0"/>
                  <w:vAlign w:val="center"/>
                </w:tcPr>
                <w:p w14:paraId="6A694507">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cs="Times New Roman"/>
                      <w:b w:val="0"/>
                      <w:bCs/>
                      <w:color w:val="auto"/>
                      <w:kern w:val="2"/>
                      <w:sz w:val="18"/>
                      <w:szCs w:val="18"/>
                      <w:lang w:val="en-US" w:eastAsia="zh-CN" w:bidi="ar-SA"/>
                    </w:rPr>
                    <w:t>2组</w:t>
                  </w:r>
                </w:p>
              </w:tc>
            </w:tr>
            <w:tr w14:paraId="7FF65A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09B2ADE3">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5</w:t>
                  </w:r>
                </w:p>
              </w:tc>
              <w:tc>
                <w:tcPr>
                  <w:tcW w:w="1473" w:type="pct"/>
                  <w:tcBorders>
                    <w:tl2br w:val="nil"/>
                    <w:tr2bl w:val="nil"/>
                  </w:tcBorders>
                  <w:noWrap w:val="0"/>
                  <w:vAlign w:val="center"/>
                </w:tcPr>
                <w:p w14:paraId="0C51D962">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当心触电</w:t>
                  </w:r>
                </w:p>
              </w:tc>
              <w:tc>
                <w:tcPr>
                  <w:tcW w:w="1178" w:type="pct"/>
                  <w:tcBorders>
                    <w:tl2br w:val="nil"/>
                    <w:tr2bl w:val="nil"/>
                  </w:tcBorders>
                  <w:noWrap w:val="0"/>
                  <w:vAlign w:val="center"/>
                </w:tcPr>
                <w:p w14:paraId="2084C4C2">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配电室</w:t>
                  </w:r>
                </w:p>
              </w:tc>
              <w:tc>
                <w:tcPr>
                  <w:tcW w:w="1471" w:type="pct"/>
                  <w:tcBorders>
                    <w:tl2br w:val="nil"/>
                    <w:tr2bl w:val="nil"/>
                  </w:tcBorders>
                  <w:noWrap w:val="0"/>
                  <w:vAlign w:val="center"/>
                </w:tcPr>
                <w:p w14:paraId="529D2C7C">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事故预防、注意事项告知</w:t>
                  </w:r>
                </w:p>
              </w:tc>
              <w:tc>
                <w:tcPr>
                  <w:tcW w:w="489" w:type="pct"/>
                  <w:tcBorders>
                    <w:tl2br w:val="nil"/>
                    <w:tr2bl w:val="nil"/>
                  </w:tcBorders>
                  <w:noWrap w:val="0"/>
                  <w:vAlign w:val="center"/>
                </w:tcPr>
                <w:p w14:paraId="3F8B5B0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1块</w:t>
                  </w:r>
                </w:p>
              </w:tc>
            </w:tr>
            <w:tr w14:paraId="2CDEF0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5BEA3F93">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6</w:t>
                  </w:r>
                </w:p>
              </w:tc>
              <w:tc>
                <w:tcPr>
                  <w:tcW w:w="1473" w:type="pct"/>
                  <w:tcBorders>
                    <w:tl2br w:val="nil"/>
                    <w:tr2bl w:val="nil"/>
                  </w:tcBorders>
                  <w:noWrap w:val="0"/>
                  <w:vAlign w:val="center"/>
                </w:tcPr>
                <w:p w14:paraId="77973E0E">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禁止合闸</w:t>
                  </w:r>
                </w:p>
              </w:tc>
              <w:tc>
                <w:tcPr>
                  <w:tcW w:w="1178" w:type="pct"/>
                  <w:tcBorders>
                    <w:tl2br w:val="nil"/>
                    <w:tr2bl w:val="nil"/>
                  </w:tcBorders>
                  <w:noWrap w:val="0"/>
                  <w:vAlign w:val="center"/>
                </w:tcPr>
                <w:p w14:paraId="1B72D309">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配电室</w:t>
                  </w:r>
                </w:p>
              </w:tc>
              <w:tc>
                <w:tcPr>
                  <w:tcW w:w="1471" w:type="pct"/>
                  <w:tcBorders>
                    <w:tl2br w:val="nil"/>
                    <w:tr2bl w:val="nil"/>
                  </w:tcBorders>
                  <w:noWrap w:val="0"/>
                  <w:vAlign w:val="center"/>
                </w:tcPr>
                <w:p w14:paraId="181B3A90">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事故预防、注意事项告知</w:t>
                  </w:r>
                </w:p>
              </w:tc>
              <w:tc>
                <w:tcPr>
                  <w:tcW w:w="489" w:type="pct"/>
                  <w:tcBorders>
                    <w:tl2br w:val="nil"/>
                    <w:tr2bl w:val="nil"/>
                  </w:tcBorders>
                  <w:noWrap w:val="0"/>
                  <w:vAlign w:val="center"/>
                </w:tcPr>
                <w:p w14:paraId="0D34302B">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1块</w:t>
                  </w:r>
                </w:p>
              </w:tc>
            </w:tr>
            <w:tr w14:paraId="778AC2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86" w:type="pct"/>
                  <w:tcBorders>
                    <w:tl2br w:val="nil"/>
                    <w:tr2bl w:val="nil"/>
                  </w:tcBorders>
                  <w:noWrap w:val="0"/>
                  <w:vAlign w:val="center"/>
                </w:tcPr>
                <w:p w14:paraId="3EDFE999">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7</w:t>
                  </w:r>
                </w:p>
              </w:tc>
              <w:tc>
                <w:tcPr>
                  <w:tcW w:w="1473" w:type="pct"/>
                  <w:tcBorders>
                    <w:tl2br w:val="nil"/>
                    <w:tr2bl w:val="nil"/>
                  </w:tcBorders>
                  <w:noWrap w:val="0"/>
                  <w:vAlign w:val="center"/>
                </w:tcPr>
                <w:p w14:paraId="151583CB">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噪音有害</w:t>
                  </w:r>
                </w:p>
              </w:tc>
              <w:tc>
                <w:tcPr>
                  <w:tcW w:w="1178" w:type="pct"/>
                  <w:tcBorders>
                    <w:tl2br w:val="nil"/>
                    <w:tr2bl w:val="nil"/>
                  </w:tcBorders>
                  <w:noWrap w:val="0"/>
                  <w:vAlign w:val="center"/>
                </w:tcPr>
                <w:p w14:paraId="1A40BFCF">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发电机房</w:t>
                  </w:r>
                </w:p>
              </w:tc>
              <w:tc>
                <w:tcPr>
                  <w:tcW w:w="1471" w:type="pct"/>
                  <w:tcBorders>
                    <w:tl2br w:val="nil"/>
                    <w:tr2bl w:val="nil"/>
                  </w:tcBorders>
                  <w:noWrap w:val="0"/>
                  <w:vAlign w:val="center"/>
                </w:tcPr>
                <w:p w14:paraId="4D9672CF">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事故预防、注意事项告知</w:t>
                  </w:r>
                </w:p>
              </w:tc>
              <w:tc>
                <w:tcPr>
                  <w:tcW w:w="489" w:type="pct"/>
                  <w:tcBorders>
                    <w:tl2br w:val="nil"/>
                    <w:tr2bl w:val="nil"/>
                  </w:tcBorders>
                  <w:noWrap w:val="0"/>
                  <w:vAlign w:val="center"/>
                </w:tcPr>
                <w:p w14:paraId="74CAA455">
                  <w:pPr>
                    <w:keepNext w:val="0"/>
                    <w:keepLines w:val="0"/>
                    <w:widowControl w:val="0"/>
                    <w:suppressLineNumbers w:val="0"/>
                    <w:spacing w:before="0" w:beforeAutospacing="0" w:after="0" w:afterAutospacing="0" w:line="240" w:lineRule="exact"/>
                    <w:ind w:left="0" w:right="0" w:firstLine="0" w:firstLineChars="0"/>
                    <w:jc w:val="center"/>
                    <w:rPr>
                      <w:rFonts w:hint="default" w:ascii="Times New Roman" w:hAnsi="Times New Roman" w:eastAsia="宋体" w:cs="Times New Roman"/>
                      <w:b w:val="0"/>
                      <w:bCs/>
                      <w:color w:val="auto"/>
                      <w:kern w:val="2"/>
                      <w:sz w:val="18"/>
                      <w:szCs w:val="18"/>
                      <w:lang w:val="en-US" w:eastAsia="zh-CN" w:bidi="ar-SA"/>
                    </w:rPr>
                  </w:pPr>
                  <w:r>
                    <w:rPr>
                      <w:rFonts w:hint="default" w:ascii="Times New Roman" w:hAnsi="Times New Roman" w:eastAsia="宋体" w:cs="Times New Roman"/>
                      <w:b w:val="0"/>
                      <w:bCs/>
                      <w:color w:val="auto"/>
                      <w:kern w:val="2"/>
                      <w:sz w:val="18"/>
                      <w:szCs w:val="18"/>
                      <w:lang w:val="en-US" w:eastAsia="zh-CN" w:bidi="ar-SA"/>
                    </w:rPr>
                    <w:t>1块</w:t>
                  </w:r>
                </w:p>
              </w:tc>
            </w:tr>
          </w:tbl>
          <w:p w14:paraId="00294FC9">
            <w:pPr>
              <w:keepNext w:val="0"/>
              <w:keepLines w:val="0"/>
              <w:widowControl/>
              <w:suppressLineNumbers w:val="0"/>
              <w:adjustRightInd w:val="0"/>
              <w:snapToGrid w:val="0"/>
              <w:spacing w:before="0" w:beforeAutospacing="0" w:after="0" w:afterAutospacing="0"/>
              <w:ind w:left="0" w:right="0"/>
              <w:rPr>
                <w:rFonts w:hint="eastAsia" w:ascii="Times New Roman" w:hAnsi="Times New Roman" w:cs="Times New Roman"/>
                <w:color w:val="auto"/>
                <w:sz w:val="18"/>
                <w:szCs w:val="18"/>
              </w:rPr>
            </w:pPr>
          </w:p>
        </w:tc>
        <w:tc>
          <w:tcPr>
            <w:tcW w:w="1593" w:type="dxa"/>
            <w:noWrap w:val="0"/>
            <w:vAlign w:val="center"/>
          </w:tcPr>
          <w:p w14:paraId="0B4B8677">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加油站出入口设有</w:t>
            </w:r>
            <w:r>
              <w:rPr>
                <w:rFonts w:hint="default" w:ascii="Times New Roman" w:hAnsi="Times New Roman" w:eastAsia="宋体" w:cs="Times New Roman"/>
                <w:color w:val="auto"/>
                <w:sz w:val="18"/>
                <w:szCs w:val="18"/>
                <w:lang w:val="en-US" w:eastAsia="zh-CN"/>
              </w:rPr>
              <w:t>“入口”、“出口”标志</w:t>
            </w:r>
            <w:r>
              <w:rPr>
                <w:rFonts w:hint="eastAsia" w:ascii="Times New Roman" w:hAnsi="Times New Roman" w:eastAsia="宋体" w:cs="Times New Roman"/>
                <w:color w:val="auto"/>
                <w:sz w:val="18"/>
                <w:szCs w:val="18"/>
                <w:lang w:val="en-US" w:eastAsia="zh-CN"/>
              </w:rPr>
              <w:t>，油罐区设有“严禁烟火”等安全标志</w:t>
            </w:r>
          </w:p>
        </w:tc>
        <w:tc>
          <w:tcPr>
            <w:tcW w:w="825" w:type="dxa"/>
            <w:noWrap w:val="0"/>
            <w:vAlign w:val="center"/>
          </w:tcPr>
          <w:p w14:paraId="72B33FA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680CB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626" w:type="dxa"/>
            <w:noWrap w:val="0"/>
            <w:vAlign w:val="center"/>
          </w:tcPr>
          <w:p w14:paraId="6E112D76">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6085" w:type="dxa"/>
            <w:noWrap w:val="0"/>
            <w:vAlign w:val="center"/>
          </w:tcPr>
          <w:p w14:paraId="273F5EE2">
            <w:pPr>
              <w:keepNext w:val="0"/>
              <w:keepLines w:val="0"/>
              <w:pageBreakBefore w:val="0"/>
              <w:widowControl w:val="0"/>
              <w:suppressLineNumbers w:val="0"/>
              <w:kinsoku/>
              <w:wordWrap/>
              <w:overflowPunct/>
              <w:topLinePunct w:val="0"/>
              <w:autoSpaceDE/>
              <w:autoSpaceDN/>
              <w:bidi w:val="0"/>
              <w:spacing w:before="0" w:beforeAutospacing="0" w:after="0" w:afterAutospacing="0" w:line="244" w:lineRule="exact"/>
              <w:ind w:left="0" w:right="0" w:firstLine="0" w:firstLineChars="0"/>
              <w:jc w:val="center"/>
              <w:textAlignment w:val="auto"/>
              <w:rPr>
                <w:rFonts w:hint="eastAsia" w:ascii="Times New Roman" w:hAnsi="Times New Roman" w:cs="Times New Roman"/>
                <w:color w:val="auto"/>
                <w:sz w:val="18"/>
                <w:szCs w:val="18"/>
              </w:rPr>
            </w:pPr>
            <w:r>
              <w:rPr>
                <w:rFonts w:hint="eastAsia" w:ascii="Times New Roman" w:hAnsi="Times New Roman" w:eastAsia="宋体" w:cs="Times New Roman"/>
                <w:b/>
                <w:bCs/>
                <w:color w:val="auto"/>
                <w:sz w:val="18"/>
                <w:szCs w:val="18"/>
                <w:highlight w:val="none"/>
              </w:rPr>
              <w:t>4.7.</w:t>
            </w:r>
            <w:r>
              <w:rPr>
                <w:rFonts w:hint="eastAsia" w:cs="Times New Roman"/>
                <w:b/>
                <w:bCs/>
                <w:color w:val="auto"/>
                <w:sz w:val="18"/>
                <w:szCs w:val="18"/>
                <w:highlight w:val="none"/>
                <w:lang w:val="en-US" w:eastAsia="zh-CN"/>
              </w:rPr>
              <w:t>3</w:t>
            </w:r>
            <w:r>
              <w:rPr>
                <w:rFonts w:hint="eastAsia" w:ascii="Times New Roman" w:hAnsi="Times New Roman" w:eastAsia="宋体" w:cs="Times New Roman"/>
                <w:b/>
                <w:bCs/>
                <w:color w:val="auto"/>
                <w:sz w:val="18"/>
                <w:szCs w:val="18"/>
                <w:highlight w:val="none"/>
              </w:rPr>
              <w:t>个体防护装备的配备</w:t>
            </w:r>
          </w:p>
        </w:tc>
        <w:tc>
          <w:tcPr>
            <w:tcW w:w="1593" w:type="dxa"/>
            <w:noWrap w:val="0"/>
            <w:vAlign w:val="center"/>
          </w:tcPr>
          <w:p w14:paraId="671D108F">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color w:val="auto"/>
                <w:sz w:val="18"/>
                <w:szCs w:val="18"/>
              </w:rPr>
            </w:pPr>
          </w:p>
        </w:tc>
        <w:tc>
          <w:tcPr>
            <w:tcW w:w="825" w:type="dxa"/>
            <w:noWrap w:val="0"/>
            <w:vAlign w:val="center"/>
          </w:tcPr>
          <w:p w14:paraId="3C0DC63F">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rPr>
            </w:pPr>
          </w:p>
        </w:tc>
      </w:tr>
      <w:tr w14:paraId="38286D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38F17785">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6085" w:type="dxa"/>
            <w:noWrap w:val="0"/>
            <w:vAlign w:val="center"/>
          </w:tcPr>
          <w:p w14:paraId="534BBAD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为员工配备个体防护用品，建设单位应教育并确保工人正确使用个人防护用品，对个人防护用品定期更换。</w:t>
            </w:r>
          </w:p>
          <w:p w14:paraId="033D8B5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表4-6 个人防护用品一览表</w:t>
            </w:r>
          </w:p>
          <w:tbl>
            <w:tblPr>
              <w:tblStyle w:val="49"/>
              <w:tblW w:w="4997"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1080"/>
              <w:gridCol w:w="1083"/>
              <w:gridCol w:w="1499"/>
              <w:gridCol w:w="1265"/>
            </w:tblGrid>
            <w:tr w14:paraId="35B35E5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187" w:type="pct"/>
                  <w:tcBorders>
                    <w:tl2br w:val="nil"/>
                    <w:tr2bl w:val="nil"/>
                  </w:tcBorders>
                  <w:noWrap w:val="0"/>
                  <w:vAlign w:val="center"/>
                </w:tcPr>
                <w:p w14:paraId="2BCE39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eastAsia="宋体" w:cs="Times New Roman"/>
                      <w:b/>
                      <w:bCs/>
                      <w:color w:val="auto"/>
                      <w:sz w:val="15"/>
                      <w:szCs w:val="15"/>
                      <w:vertAlign w:val="baseline"/>
                      <w:lang w:val="en-US" w:eastAsia="zh-CN"/>
                    </w:rPr>
                    <w:t>适用人员</w:t>
                  </w:r>
                </w:p>
              </w:tc>
              <w:tc>
                <w:tcPr>
                  <w:tcW w:w="1673" w:type="pct"/>
                  <w:gridSpan w:val="2"/>
                  <w:tcBorders>
                    <w:tl2br w:val="nil"/>
                    <w:tr2bl w:val="nil"/>
                  </w:tcBorders>
                  <w:noWrap w:val="0"/>
                  <w:vAlign w:val="center"/>
                </w:tcPr>
                <w:p w14:paraId="07436C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eastAsia="宋体" w:cs="Times New Roman"/>
                      <w:b/>
                      <w:bCs/>
                      <w:color w:val="auto"/>
                      <w:sz w:val="15"/>
                      <w:szCs w:val="15"/>
                      <w:vertAlign w:val="baseline"/>
                      <w:lang w:val="en-US" w:eastAsia="zh-CN"/>
                    </w:rPr>
                    <w:t>配备装备</w:t>
                  </w:r>
                </w:p>
              </w:tc>
              <w:tc>
                <w:tcPr>
                  <w:tcW w:w="1160" w:type="pct"/>
                  <w:tcBorders>
                    <w:tl2br w:val="nil"/>
                    <w:tr2bl w:val="nil"/>
                  </w:tcBorders>
                  <w:noWrap w:val="0"/>
                  <w:vAlign w:val="center"/>
                </w:tcPr>
                <w:p w14:paraId="72E0E9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eastAsia="宋体" w:cs="Times New Roman"/>
                      <w:b/>
                      <w:bCs/>
                      <w:color w:val="auto"/>
                      <w:sz w:val="15"/>
                      <w:szCs w:val="15"/>
                      <w:vertAlign w:val="baseline"/>
                      <w:lang w:val="en-US" w:eastAsia="zh-CN"/>
                    </w:rPr>
                    <w:t>功能特点</w:t>
                  </w:r>
                </w:p>
              </w:tc>
              <w:tc>
                <w:tcPr>
                  <w:tcW w:w="978" w:type="pct"/>
                  <w:tcBorders>
                    <w:tl2br w:val="nil"/>
                    <w:tr2bl w:val="nil"/>
                  </w:tcBorders>
                  <w:noWrap w:val="0"/>
                  <w:vAlign w:val="center"/>
                </w:tcPr>
                <w:p w14:paraId="7E994D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eastAsia="宋体" w:cs="Times New Roman"/>
                      <w:b/>
                      <w:bCs/>
                      <w:color w:val="auto"/>
                      <w:sz w:val="15"/>
                      <w:szCs w:val="15"/>
                      <w:vertAlign w:val="baseline"/>
                      <w:lang w:val="en-US" w:eastAsia="zh-CN"/>
                    </w:rPr>
                    <w:t>建议最长</w:t>
                  </w:r>
                </w:p>
                <w:p w14:paraId="7DEDF1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b/>
                      <w:bCs/>
                      <w:color w:val="auto"/>
                      <w:sz w:val="15"/>
                      <w:szCs w:val="15"/>
                      <w:vertAlign w:val="baseline"/>
                      <w:lang w:val="en-US" w:eastAsia="zh-CN"/>
                    </w:rPr>
                  </w:pPr>
                  <w:r>
                    <w:rPr>
                      <w:rFonts w:hint="default" w:ascii="Times New Roman" w:hAnsi="Times New Roman" w:eastAsia="宋体" w:cs="Times New Roman"/>
                      <w:b/>
                      <w:bCs/>
                      <w:color w:val="auto"/>
                      <w:sz w:val="15"/>
                      <w:szCs w:val="15"/>
                      <w:vertAlign w:val="baseline"/>
                      <w:lang w:val="en-US" w:eastAsia="zh-CN"/>
                    </w:rPr>
                    <w:t>更换期限/月</w:t>
                  </w:r>
                </w:p>
              </w:tc>
            </w:tr>
            <w:tr w14:paraId="4603CC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restart"/>
                  <w:tcBorders>
                    <w:tl2br w:val="nil"/>
                    <w:tr2bl w:val="nil"/>
                  </w:tcBorders>
                  <w:noWrap w:val="0"/>
                  <w:vAlign w:val="center"/>
                </w:tcPr>
                <w:p w14:paraId="73295C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管理人员、</w:t>
                  </w:r>
                  <w:r>
                    <w:rPr>
                      <w:rFonts w:hint="eastAsia" w:ascii="Times New Roman" w:hAnsi="Times New Roman" w:eastAsia="宋体" w:cs="Times New Roman"/>
                      <w:color w:val="auto"/>
                      <w:sz w:val="15"/>
                      <w:szCs w:val="15"/>
                      <w:lang w:val="en-US" w:eastAsia="zh-CN"/>
                    </w:rPr>
                    <w:t>记账员</w:t>
                  </w:r>
                </w:p>
              </w:tc>
              <w:tc>
                <w:tcPr>
                  <w:tcW w:w="835" w:type="pct"/>
                  <w:vMerge w:val="restart"/>
                  <w:tcBorders>
                    <w:tl2br w:val="nil"/>
                    <w:tr2bl w:val="nil"/>
                  </w:tcBorders>
                  <w:noWrap w:val="0"/>
                  <w:vAlign w:val="center"/>
                </w:tcPr>
                <w:p w14:paraId="7D58AF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安全帽</w:t>
                  </w:r>
                </w:p>
              </w:tc>
              <w:tc>
                <w:tcPr>
                  <w:tcW w:w="837" w:type="pct"/>
                  <w:tcBorders>
                    <w:tl2br w:val="nil"/>
                    <w:tr2bl w:val="nil"/>
                  </w:tcBorders>
                  <w:noWrap w:val="0"/>
                  <w:vAlign w:val="center"/>
                </w:tcPr>
                <w:p w14:paraId="23A5F3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春夏秋</w:t>
                  </w:r>
                </w:p>
              </w:tc>
              <w:tc>
                <w:tcPr>
                  <w:tcW w:w="1160" w:type="pct"/>
                  <w:tcBorders>
                    <w:tl2br w:val="nil"/>
                    <w:tr2bl w:val="nil"/>
                  </w:tcBorders>
                  <w:noWrap w:val="0"/>
                  <w:vAlign w:val="center"/>
                </w:tcPr>
                <w:p w14:paraId="3F59ED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普通型</w:t>
                  </w:r>
                </w:p>
              </w:tc>
              <w:tc>
                <w:tcPr>
                  <w:tcW w:w="978" w:type="pct"/>
                  <w:tcBorders>
                    <w:tl2br w:val="nil"/>
                    <w:tr2bl w:val="nil"/>
                  </w:tcBorders>
                  <w:noWrap w:val="0"/>
                  <w:vAlign w:val="center"/>
                </w:tcPr>
                <w:p w14:paraId="3ADB09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30</w:t>
                  </w:r>
                </w:p>
              </w:tc>
            </w:tr>
            <w:tr w14:paraId="797B6B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312CCE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5B4A02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533438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tcBorders>
                    <w:tl2br w:val="nil"/>
                    <w:tr2bl w:val="nil"/>
                  </w:tcBorders>
                  <w:noWrap w:val="0"/>
                  <w:vAlign w:val="center"/>
                </w:tcPr>
                <w:p w14:paraId="1B3BA4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防寒</w:t>
                  </w:r>
                </w:p>
              </w:tc>
              <w:tc>
                <w:tcPr>
                  <w:tcW w:w="978" w:type="pct"/>
                  <w:tcBorders>
                    <w:tl2br w:val="nil"/>
                    <w:tr2bl w:val="nil"/>
                  </w:tcBorders>
                  <w:noWrap w:val="0"/>
                  <w:vAlign w:val="center"/>
                </w:tcPr>
                <w:p w14:paraId="570151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30</w:t>
                  </w:r>
                </w:p>
              </w:tc>
            </w:tr>
            <w:tr w14:paraId="0E821C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359C97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restart"/>
                  <w:tcBorders>
                    <w:tl2br w:val="nil"/>
                    <w:tr2bl w:val="nil"/>
                  </w:tcBorders>
                  <w:noWrap w:val="0"/>
                  <w:vAlign w:val="center"/>
                </w:tcPr>
                <w:p w14:paraId="3A700B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工作服</w:t>
                  </w:r>
                </w:p>
              </w:tc>
              <w:tc>
                <w:tcPr>
                  <w:tcW w:w="837" w:type="pct"/>
                  <w:tcBorders>
                    <w:tl2br w:val="nil"/>
                    <w:tr2bl w:val="nil"/>
                  </w:tcBorders>
                  <w:noWrap w:val="0"/>
                  <w:vAlign w:val="center"/>
                </w:tcPr>
                <w:p w14:paraId="754E3D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春秋</w:t>
                  </w:r>
                </w:p>
              </w:tc>
              <w:tc>
                <w:tcPr>
                  <w:tcW w:w="1160" w:type="pct"/>
                  <w:vMerge w:val="restart"/>
                  <w:tcBorders>
                    <w:tl2br w:val="nil"/>
                    <w:tr2bl w:val="nil"/>
                  </w:tcBorders>
                  <w:noWrap w:val="0"/>
                  <w:vAlign w:val="center"/>
                </w:tcPr>
                <w:p w14:paraId="1A4747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w:t>
                  </w:r>
                </w:p>
              </w:tc>
              <w:tc>
                <w:tcPr>
                  <w:tcW w:w="978" w:type="pct"/>
                  <w:tcBorders>
                    <w:tl2br w:val="nil"/>
                    <w:tr2bl w:val="nil"/>
                  </w:tcBorders>
                  <w:noWrap w:val="0"/>
                  <w:vAlign w:val="center"/>
                </w:tcPr>
                <w:p w14:paraId="302CF3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24</w:t>
                  </w:r>
                </w:p>
              </w:tc>
            </w:tr>
            <w:tr w14:paraId="09DAAB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06C0D3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18B829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74C46C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夏</w:t>
                  </w:r>
                </w:p>
              </w:tc>
              <w:tc>
                <w:tcPr>
                  <w:tcW w:w="1160" w:type="pct"/>
                  <w:vMerge w:val="continue"/>
                  <w:tcBorders>
                    <w:tl2br w:val="nil"/>
                    <w:tr2bl w:val="nil"/>
                  </w:tcBorders>
                  <w:noWrap w:val="0"/>
                  <w:vAlign w:val="center"/>
                </w:tcPr>
                <w:p w14:paraId="4A9BCD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978" w:type="pct"/>
                  <w:tcBorders>
                    <w:tl2br w:val="nil"/>
                    <w:tr2bl w:val="nil"/>
                  </w:tcBorders>
                  <w:noWrap w:val="0"/>
                  <w:vAlign w:val="center"/>
                </w:tcPr>
                <w:p w14:paraId="2B407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12</w:t>
                  </w:r>
                </w:p>
              </w:tc>
            </w:tr>
            <w:tr w14:paraId="026D7C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187" w:type="pct"/>
                  <w:vMerge w:val="continue"/>
                  <w:tcBorders>
                    <w:tl2br w:val="nil"/>
                    <w:tr2bl w:val="nil"/>
                  </w:tcBorders>
                  <w:noWrap w:val="0"/>
                  <w:vAlign w:val="center"/>
                </w:tcPr>
                <w:p w14:paraId="41C0A7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0CF9B9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25A19B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vMerge w:val="continue"/>
                  <w:tcBorders>
                    <w:tl2br w:val="nil"/>
                    <w:tr2bl w:val="nil"/>
                  </w:tcBorders>
                  <w:noWrap w:val="0"/>
                  <w:vAlign w:val="center"/>
                </w:tcPr>
                <w:p w14:paraId="63967B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978" w:type="pct"/>
                  <w:tcBorders>
                    <w:tl2br w:val="nil"/>
                    <w:tr2bl w:val="nil"/>
                  </w:tcBorders>
                  <w:noWrap w:val="0"/>
                  <w:vAlign w:val="center"/>
                </w:tcPr>
                <w:p w14:paraId="1498AE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36</w:t>
                  </w:r>
                </w:p>
              </w:tc>
            </w:tr>
            <w:tr w14:paraId="013EF17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6DD1BD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restart"/>
                  <w:tcBorders>
                    <w:tl2br w:val="nil"/>
                    <w:tr2bl w:val="nil"/>
                  </w:tcBorders>
                  <w:noWrap w:val="0"/>
                  <w:vAlign w:val="center"/>
                </w:tcPr>
                <w:p w14:paraId="426835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安全鞋</w:t>
                  </w:r>
                </w:p>
              </w:tc>
              <w:tc>
                <w:tcPr>
                  <w:tcW w:w="837" w:type="pct"/>
                  <w:tcBorders>
                    <w:tl2br w:val="nil"/>
                    <w:tr2bl w:val="nil"/>
                  </w:tcBorders>
                  <w:noWrap w:val="0"/>
                  <w:vAlign w:val="center"/>
                </w:tcPr>
                <w:p w14:paraId="5A1F16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春夏秋</w:t>
                  </w:r>
                </w:p>
              </w:tc>
              <w:tc>
                <w:tcPr>
                  <w:tcW w:w="1160" w:type="pct"/>
                  <w:tcBorders>
                    <w:tl2br w:val="nil"/>
                    <w:tr2bl w:val="nil"/>
                  </w:tcBorders>
                  <w:noWrap w:val="0"/>
                  <w:vAlign w:val="center"/>
                </w:tcPr>
                <w:p w14:paraId="0D4A0C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防静电、耐油、防滑</w:t>
                  </w:r>
                </w:p>
              </w:tc>
              <w:tc>
                <w:tcPr>
                  <w:tcW w:w="978" w:type="pct"/>
                  <w:tcBorders>
                    <w:tl2br w:val="nil"/>
                    <w:tr2bl w:val="nil"/>
                  </w:tcBorders>
                  <w:noWrap w:val="0"/>
                  <w:vAlign w:val="center"/>
                </w:tcPr>
                <w:p w14:paraId="76EF5B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12</w:t>
                  </w:r>
                </w:p>
              </w:tc>
            </w:tr>
            <w:tr w14:paraId="2A8F07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4EC51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0D136C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398163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tcBorders>
                    <w:tl2br w:val="nil"/>
                    <w:tr2bl w:val="nil"/>
                  </w:tcBorders>
                  <w:noWrap w:val="0"/>
                  <w:vAlign w:val="center"/>
                </w:tcPr>
                <w:p w14:paraId="018AD1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防静电、耐油、防滑、防寒</w:t>
                  </w:r>
                </w:p>
              </w:tc>
              <w:tc>
                <w:tcPr>
                  <w:tcW w:w="978" w:type="pct"/>
                  <w:tcBorders>
                    <w:tl2br w:val="nil"/>
                    <w:tr2bl w:val="nil"/>
                  </w:tcBorders>
                  <w:noWrap w:val="0"/>
                  <w:vAlign w:val="center"/>
                </w:tcPr>
                <w:p w14:paraId="644D89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24</w:t>
                  </w:r>
                </w:p>
              </w:tc>
            </w:tr>
            <w:tr w14:paraId="0641EF5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restart"/>
                  <w:tcBorders>
                    <w:tl2br w:val="nil"/>
                    <w:tr2bl w:val="nil"/>
                  </w:tcBorders>
                  <w:noWrap w:val="0"/>
                  <w:vAlign w:val="center"/>
                </w:tcPr>
                <w:p w14:paraId="0293E9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加油员、计量员</w:t>
                  </w:r>
                </w:p>
              </w:tc>
              <w:tc>
                <w:tcPr>
                  <w:tcW w:w="835" w:type="pct"/>
                  <w:vMerge w:val="restart"/>
                  <w:tcBorders>
                    <w:tl2br w:val="nil"/>
                    <w:tr2bl w:val="nil"/>
                  </w:tcBorders>
                  <w:noWrap w:val="0"/>
                  <w:vAlign w:val="center"/>
                </w:tcPr>
                <w:p w14:paraId="294343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安全帽</w:t>
                  </w:r>
                </w:p>
              </w:tc>
              <w:tc>
                <w:tcPr>
                  <w:tcW w:w="837" w:type="pct"/>
                  <w:tcBorders>
                    <w:tl2br w:val="nil"/>
                    <w:tr2bl w:val="nil"/>
                  </w:tcBorders>
                  <w:noWrap w:val="0"/>
                  <w:vAlign w:val="center"/>
                </w:tcPr>
                <w:p w14:paraId="5B1FF0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春夏秋</w:t>
                  </w:r>
                </w:p>
              </w:tc>
              <w:tc>
                <w:tcPr>
                  <w:tcW w:w="1160" w:type="pct"/>
                  <w:tcBorders>
                    <w:tl2br w:val="nil"/>
                    <w:tr2bl w:val="nil"/>
                  </w:tcBorders>
                  <w:noWrap w:val="0"/>
                  <w:vAlign w:val="center"/>
                </w:tcPr>
                <w:p w14:paraId="7300B7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普通型</w:t>
                  </w:r>
                </w:p>
              </w:tc>
              <w:tc>
                <w:tcPr>
                  <w:tcW w:w="978" w:type="pct"/>
                  <w:tcBorders>
                    <w:tl2br w:val="nil"/>
                    <w:tr2bl w:val="nil"/>
                  </w:tcBorders>
                  <w:noWrap w:val="0"/>
                  <w:vAlign w:val="center"/>
                </w:tcPr>
                <w:p w14:paraId="7C2E45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30</w:t>
                  </w:r>
                </w:p>
              </w:tc>
            </w:tr>
            <w:tr w14:paraId="54366C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6BB62B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11D638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15EE9E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tcBorders>
                    <w:tl2br w:val="nil"/>
                    <w:tr2bl w:val="nil"/>
                  </w:tcBorders>
                  <w:noWrap w:val="0"/>
                  <w:vAlign w:val="center"/>
                </w:tcPr>
                <w:p w14:paraId="1E9839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防寒</w:t>
                  </w:r>
                </w:p>
              </w:tc>
              <w:tc>
                <w:tcPr>
                  <w:tcW w:w="978" w:type="pct"/>
                  <w:tcBorders>
                    <w:tl2br w:val="nil"/>
                    <w:tr2bl w:val="nil"/>
                  </w:tcBorders>
                  <w:noWrap w:val="0"/>
                  <w:vAlign w:val="center"/>
                </w:tcPr>
                <w:p w14:paraId="30A780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30</w:t>
                  </w:r>
                </w:p>
              </w:tc>
            </w:tr>
            <w:tr w14:paraId="248E21E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31C90C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restart"/>
                  <w:tcBorders>
                    <w:tl2br w:val="nil"/>
                    <w:tr2bl w:val="nil"/>
                  </w:tcBorders>
                  <w:noWrap w:val="0"/>
                  <w:vAlign w:val="center"/>
                </w:tcPr>
                <w:p w14:paraId="4E9361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工作服</w:t>
                  </w:r>
                </w:p>
              </w:tc>
              <w:tc>
                <w:tcPr>
                  <w:tcW w:w="837" w:type="pct"/>
                  <w:tcBorders>
                    <w:tl2br w:val="nil"/>
                    <w:tr2bl w:val="nil"/>
                  </w:tcBorders>
                  <w:noWrap w:val="0"/>
                  <w:vAlign w:val="center"/>
                </w:tcPr>
                <w:p w14:paraId="1EB1B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春秋</w:t>
                  </w:r>
                </w:p>
              </w:tc>
              <w:tc>
                <w:tcPr>
                  <w:tcW w:w="1160" w:type="pct"/>
                  <w:vMerge w:val="restart"/>
                  <w:tcBorders>
                    <w:tl2br w:val="nil"/>
                    <w:tr2bl w:val="nil"/>
                  </w:tcBorders>
                  <w:noWrap w:val="0"/>
                  <w:vAlign w:val="center"/>
                </w:tcPr>
                <w:p w14:paraId="378F41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具有防静电功能的阻燃服</w:t>
                  </w:r>
                </w:p>
              </w:tc>
              <w:tc>
                <w:tcPr>
                  <w:tcW w:w="978" w:type="pct"/>
                  <w:tcBorders>
                    <w:tl2br w:val="nil"/>
                    <w:tr2bl w:val="nil"/>
                  </w:tcBorders>
                  <w:noWrap w:val="0"/>
                  <w:vAlign w:val="center"/>
                </w:tcPr>
                <w:p w14:paraId="044182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24</w:t>
                  </w:r>
                </w:p>
              </w:tc>
            </w:tr>
            <w:tr w14:paraId="568FA4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4C6E6B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397483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2587D7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夏</w:t>
                  </w:r>
                </w:p>
              </w:tc>
              <w:tc>
                <w:tcPr>
                  <w:tcW w:w="1160" w:type="pct"/>
                  <w:vMerge w:val="continue"/>
                  <w:tcBorders>
                    <w:tl2br w:val="nil"/>
                    <w:tr2bl w:val="nil"/>
                  </w:tcBorders>
                  <w:noWrap w:val="0"/>
                  <w:vAlign w:val="center"/>
                </w:tcPr>
                <w:p w14:paraId="4114EC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978" w:type="pct"/>
                  <w:tcBorders>
                    <w:tl2br w:val="nil"/>
                    <w:tr2bl w:val="nil"/>
                  </w:tcBorders>
                  <w:noWrap w:val="0"/>
                  <w:vAlign w:val="center"/>
                </w:tcPr>
                <w:p w14:paraId="469263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12</w:t>
                  </w:r>
                </w:p>
              </w:tc>
            </w:tr>
            <w:tr w14:paraId="145DE8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32C266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728D69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70B5E1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vMerge w:val="continue"/>
                  <w:tcBorders>
                    <w:tl2br w:val="nil"/>
                    <w:tr2bl w:val="nil"/>
                  </w:tcBorders>
                  <w:noWrap w:val="0"/>
                  <w:vAlign w:val="center"/>
                </w:tcPr>
                <w:p w14:paraId="3658EF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978" w:type="pct"/>
                  <w:tcBorders>
                    <w:tl2br w:val="nil"/>
                    <w:tr2bl w:val="nil"/>
                  </w:tcBorders>
                  <w:noWrap w:val="0"/>
                  <w:vAlign w:val="center"/>
                </w:tcPr>
                <w:p w14:paraId="686427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36</w:t>
                  </w:r>
                </w:p>
              </w:tc>
            </w:tr>
            <w:tr w14:paraId="678B65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4C88D8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restart"/>
                  <w:tcBorders>
                    <w:tl2br w:val="nil"/>
                    <w:tr2bl w:val="nil"/>
                  </w:tcBorders>
                  <w:noWrap w:val="0"/>
                  <w:vAlign w:val="center"/>
                </w:tcPr>
                <w:p w14:paraId="181323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防护手套</w:t>
                  </w:r>
                </w:p>
              </w:tc>
              <w:tc>
                <w:tcPr>
                  <w:tcW w:w="837" w:type="pct"/>
                  <w:tcBorders>
                    <w:tl2br w:val="nil"/>
                    <w:tr2bl w:val="nil"/>
                  </w:tcBorders>
                  <w:noWrap w:val="0"/>
                  <w:vAlign w:val="center"/>
                </w:tcPr>
                <w:p w14:paraId="20299C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春夏秋</w:t>
                  </w:r>
                </w:p>
              </w:tc>
              <w:tc>
                <w:tcPr>
                  <w:tcW w:w="1160" w:type="pct"/>
                  <w:tcBorders>
                    <w:tl2br w:val="nil"/>
                    <w:tr2bl w:val="nil"/>
                  </w:tcBorders>
                  <w:noWrap w:val="0"/>
                  <w:vAlign w:val="center"/>
                </w:tcPr>
                <w:p w14:paraId="3687FA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防静电、防机械危害、耐油、防滑</w:t>
                  </w:r>
                </w:p>
              </w:tc>
              <w:tc>
                <w:tcPr>
                  <w:tcW w:w="978" w:type="pct"/>
                  <w:tcBorders>
                    <w:tl2br w:val="nil"/>
                    <w:tr2bl w:val="nil"/>
                  </w:tcBorders>
                  <w:noWrap w:val="0"/>
                  <w:vAlign w:val="center"/>
                </w:tcPr>
                <w:p w14:paraId="314E15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p w14:paraId="6689A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w:t>
                  </w:r>
                </w:p>
              </w:tc>
            </w:tr>
            <w:tr w14:paraId="67CB2D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36942B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4BE5B3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19E8DE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tcBorders>
                    <w:tl2br w:val="nil"/>
                    <w:tr2bl w:val="nil"/>
                  </w:tcBorders>
                  <w:noWrap w:val="0"/>
                  <w:vAlign w:val="center"/>
                </w:tcPr>
                <w:p w14:paraId="23DB8C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防静电、防机械危害、耐油、防滑、防寒</w:t>
                  </w:r>
                </w:p>
              </w:tc>
              <w:tc>
                <w:tcPr>
                  <w:tcW w:w="978" w:type="pct"/>
                  <w:tcBorders>
                    <w:tl2br w:val="nil"/>
                    <w:tr2bl w:val="nil"/>
                  </w:tcBorders>
                  <w:noWrap w:val="0"/>
                  <w:vAlign w:val="center"/>
                </w:tcPr>
                <w:p w14:paraId="22424F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p w14:paraId="6F3166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3</w:t>
                  </w:r>
                </w:p>
              </w:tc>
            </w:tr>
            <w:tr w14:paraId="698DDE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187" w:type="pct"/>
                  <w:vMerge w:val="continue"/>
                  <w:tcBorders>
                    <w:tl2br w:val="nil"/>
                    <w:tr2bl w:val="nil"/>
                  </w:tcBorders>
                  <w:noWrap w:val="0"/>
                  <w:vAlign w:val="center"/>
                </w:tcPr>
                <w:p w14:paraId="18BAA6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restart"/>
                  <w:tcBorders>
                    <w:tl2br w:val="nil"/>
                    <w:tr2bl w:val="nil"/>
                  </w:tcBorders>
                  <w:noWrap w:val="0"/>
                  <w:vAlign w:val="center"/>
                </w:tcPr>
                <w:p w14:paraId="0908C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安全鞋</w:t>
                  </w:r>
                </w:p>
              </w:tc>
              <w:tc>
                <w:tcPr>
                  <w:tcW w:w="837" w:type="pct"/>
                  <w:tcBorders>
                    <w:tl2br w:val="nil"/>
                    <w:tr2bl w:val="nil"/>
                  </w:tcBorders>
                  <w:noWrap w:val="0"/>
                  <w:vAlign w:val="center"/>
                </w:tcPr>
                <w:p w14:paraId="61E1D2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春夏秋</w:t>
                  </w:r>
                </w:p>
              </w:tc>
              <w:tc>
                <w:tcPr>
                  <w:tcW w:w="1160" w:type="pct"/>
                  <w:tcBorders>
                    <w:tl2br w:val="nil"/>
                    <w:tr2bl w:val="nil"/>
                  </w:tcBorders>
                  <w:noWrap w:val="0"/>
                  <w:vAlign w:val="center"/>
                </w:tcPr>
                <w:p w14:paraId="3F8CA2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防静电、防机械危害、耐油、防滑</w:t>
                  </w:r>
                </w:p>
              </w:tc>
              <w:tc>
                <w:tcPr>
                  <w:tcW w:w="978" w:type="pct"/>
                  <w:tcBorders>
                    <w:tl2br w:val="nil"/>
                    <w:tr2bl w:val="nil"/>
                  </w:tcBorders>
                  <w:noWrap w:val="0"/>
                  <w:vAlign w:val="center"/>
                </w:tcPr>
                <w:p w14:paraId="1AF90C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12</w:t>
                  </w:r>
                </w:p>
              </w:tc>
            </w:tr>
            <w:tr w14:paraId="0ACA4E1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187" w:type="pct"/>
                  <w:vMerge w:val="continue"/>
                  <w:tcBorders>
                    <w:tl2br w:val="nil"/>
                    <w:tr2bl w:val="nil"/>
                  </w:tcBorders>
                  <w:noWrap w:val="0"/>
                  <w:vAlign w:val="center"/>
                </w:tcPr>
                <w:p w14:paraId="2A59A4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5" w:type="pct"/>
                  <w:vMerge w:val="continue"/>
                  <w:tcBorders>
                    <w:tl2br w:val="nil"/>
                    <w:tr2bl w:val="nil"/>
                  </w:tcBorders>
                  <w:noWrap w:val="0"/>
                  <w:vAlign w:val="center"/>
                </w:tcPr>
                <w:p w14:paraId="189E3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p>
              </w:tc>
              <w:tc>
                <w:tcPr>
                  <w:tcW w:w="837" w:type="pct"/>
                  <w:tcBorders>
                    <w:tl2br w:val="nil"/>
                    <w:tr2bl w:val="nil"/>
                  </w:tcBorders>
                  <w:noWrap w:val="0"/>
                  <w:vAlign w:val="center"/>
                </w:tcPr>
                <w:p w14:paraId="2C6377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冬</w:t>
                  </w:r>
                </w:p>
              </w:tc>
              <w:tc>
                <w:tcPr>
                  <w:tcW w:w="1160" w:type="pct"/>
                  <w:tcBorders>
                    <w:tl2br w:val="nil"/>
                    <w:tr2bl w:val="nil"/>
                  </w:tcBorders>
                  <w:noWrap w:val="0"/>
                  <w:vAlign w:val="center"/>
                </w:tcPr>
                <w:p w14:paraId="4DD9AB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防静电、防机械危害、耐油、防滑、防寒</w:t>
                  </w:r>
                </w:p>
              </w:tc>
              <w:tc>
                <w:tcPr>
                  <w:tcW w:w="978" w:type="pct"/>
                  <w:tcBorders>
                    <w:tl2br w:val="nil"/>
                    <w:tr2bl w:val="nil"/>
                  </w:tcBorders>
                  <w:noWrap w:val="0"/>
                  <w:vAlign w:val="center"/>
                </w:tcPr>
                <w:p w14:paraId="2EC54A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tLeast"/>
                    <w:ind w:left="0" w:right="0" w:firstLine="0" w:firstLineChars="0"/>
                    <w:jc w:val="center"/>
                    <w:textAlignment w:val="auto"/>
                    <w:rPr>
                      <w:rFonts w:hint="default" w:ascii="Times New Roman" w:hAnsi="Times New Roman" w:eastAsia="宋体" w:cs="Times New Roman"/>
                      <w:color w:val="auto"/>
                      <w:sz w:val="15"/>
                      <w:szCs w:val="15"/>
                      <w:lang w:val="en-US" w:eastAsia="zh-CN"/>
                    </w:rPr>
                  </w:pPr>
                  <w:r>
                    <w:rPr>
                      <w:rFonts w:hint="default" w:ascii="Times New Roman" w:hAnsi="Times New Roman" w:eastAsia="宋体" w:cs="Times New Roman"/>
                      <w:color w:val="auto"/>
                      <w:sz w:val="15"/>
                      <w:szCs w:val="15"/>
                      <w:lang w:val="en-US" w:eastAsia="zh-CN"/>
                    </w:rPr>
                    <w:t>24</w:t>
                  </w:r>
                </w:p>
              </w:tc>
            </w:tr>
          </w:tbl>
          <w:p w14:paraId="2453F07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p>
        </w:tc>
        <w:tc>
          <w:tcPr>
            <w:tcW w:w="1593" w:type="dxa"/>
            <w:noWrap w:val="0"/>
            <w:vAlign w:val="center"/>
          </w:tcPr>
          <w:p w14:paraId="321D3A8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为员工配备了相应的个体防护用品</w:t>
            </w:r>
          </w:p>
        </w:tc>
        <w:tc>
          <w:tcPr>
            <w:tcW w:w="825" w:type="dxa"/>
            <w:noWrap w:val="0"/>
            <w:vAlign w:val="center"/>
          </w:tcPr>
          <w:p w14:paraId="272DDF6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CF572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626" w:type="dxa"/>
            <w:noWrap w:val="0"/>
            <w:vAlign w:val="top"/>
          </w:tcPr>
          <w:p w14:paraId="5971E796">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0D57C03B">
            <w:pPr>
              <w:keepNext w:val="0"/>
              <w:keepLines w:val="0"/>
              <w:widowControl w:val="0"/>
              <w:suppressLineNumbers w:val="0"/>
              <w:spacing w:before="0" w:beforeAutospacing="0" w:after="0" w:afterAutospacing="0" w:line="200" w:lineRule="exact"/>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 xml:space="preserve">4.8 </w:t>
            </w:r>
            <w:r>
              <w:rPr>
                <w:rFonts w:hint="eastAsia" w:ascii="Times New Roman" w:hAnsi="Times New Roman" w:eastAsia="宋体" w:cs="Times New Roman"/>
                <w:b/>
                <w:bCs/>
                <w:color w:val="auto"/>
                <w:sz w:val="18"/>
                <w:szCs w:val="18"/>
              </w:rPr>
              <w:t>事故应急措施及安全管理机构</w:t>
            </w:r>
          </w:p>
        </w:tc>
      </w:tr>
      <w:tr w14:paraId="7918A9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6" w:type="dxa"/>
            <w:noWrap w:val="0"/>
            <w:vAlign w:val="top"/>
          </w:tcPr>
          <w:p w14:paraId="61CEAAE7">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077B012F">
            <w:pPr>
              <w:keepNext w:val="0"/>
              <w:keepLines w:val="0"/>
              <w:widowControl w:val="0"/>
              <w:suppressLineNumbers w:val="0"/>
              <w:spacing w:before="0" w:beforeAutospacing="0" w:after="0" w:afterAutospacing="0" w:line="200" w:lineRule="exact"/>
              <w:ind w:left="0" w:right="0" w:firstLine="0" w:firstLineChars="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4.8.1</w:t>
            </w:r>
            <w:r>
              <w:rPr>
                <w:rFonts w:hint="eastAsia" w:ascii="Times New Roman" w:hAnsi="Times New Roman" w:eastAsia="宋体" w:cs="Times New Roman"/>
                <w:b/>
                <w:bCs/>
                <w:color w:val="auto"/>
                <w:sz w:val="18"/>
                <w:szCs w:val="18"/>
              </w:rPr>
              <w:t>安全管理机构</w:t>
            </w:r>
          </w:p>
        </w:tc>
      </w:tr>
      <w:tr w14:paraId="28460A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4748FD0D">
            <w:pPr>
              <w:keepNext w:val="0"/>
              <w:keepLines w:val="0"/>
              <w:pageBreakBefore w:val="0"/>
              <w:widowControl/>
              <w:suppressLineNumbers w:val="0"/>
              <w:kinsoku/>
              <w:wordWrap/>
              <w:overflowPunct/>
              <w:topLinePunct w:val="0"/>
              <w:autoSpaceDE/>
              <w:autoSpaceDN/>
              <w:bidi w:val="0"/>
              <w:spacing w:before="0" w:beforeAutospacing="0" w:after="0" w:afterAutospacing="0" w:line="320" w:lineRule="exact"/>
              <w:ind w:left="0" w:right="0"/>
              <w:jc w:val="center"/>
              <w:textAlignment w:val="auto"/>
              <w:rPr>
                <w:rFonts w:hint="default" w:ascii="Times New Roman" w:hAnsi="Times New Roman" w:cs="Times New Roman"/>
                <w:color w:val="auto"/>
                <w:sz w:val="18"/>
                <w:szCs w:val="18"/>
              </w:rPr>
            </w:pPr>
          </w:p>
        </w:tc>
        <w:tc>
          <w:tcPr>
            <w:tcW w:w="6085" w:type="dxa"/>
            <w:noWrap w:val="0"/>
            <w:vAlign w:val="center"/>
          </w:tcPr>
          <w:p w14:paraId="33890B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加油站建立的安全生产责任制主要包括：加油站HSE职责、加油站站长HSE职责、加油站班长HSE职责、计量员HSE职责、记账员HSE职责、加油员HSE职责、收银员HSE监管、IC卡发卡员HSE职责、便利店管理员岗位HSE职责、安全员HSE职责、设备管理员HSE职责、值班员HSE职责、疏导员HSE职责、专兼职（义务）消防队（组）HSE职责。</w:t>
            </w:r>
          </w:p>
          <w:p w14:paraId="13A6F6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加油站制定的安全管理制度主要包括：HSE责任制、环境保护责任制、风险和隐患治理双重预防机制管理规定、安全生产费管理实施细则、安全教育培训制度、设备管理办法、应急物资配备及管理办法、作业许可管理规定、安全分析管理办法、用火作业安全管理规定、进入受限空间作业安全管理规定、高处作业安全管理规定、动土作业安全管理规定、临时用电作业安全管理规定、盲板抽堵作业安全管理规定、职业卫生管理规定、突发环境事件风险管理办法、生产安全事故事件管理规定、HSE检查监督管理规定等。</w:t>
            </w:r>
          </w:p>
          <w:p w14:paraId="6C8954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安全操作规程主要包括：加油站加油服务流程标准、加油站自助加油服务流程标准、加油站地罐交接卸油“八步法”操作流程标准、加油站计量操作流程标准、加油站油气回收装置操作流程标准、加油站加油机自校操作流程标准、加油站机械清罐作业流程标准、加油站发电操作流程标准、加油站加油机检修流程标准、加油站发电机检修流程标准、加油站电气设备检修流程标准、加油站油罐混油处理流程标准、加油站油罐排水作业流程标准、加油站应急预案演练流程标准、加油站顾客异议处理流程标准、加油站油品抽样作业流程标准、加油站班组工作交接流程标准、加油站售卡操作流程标准、加油站零配业务流程标准。</w:t>
            </w:r>
          </w:p>
        </w:tc>
        <w:tc>
          <w:tcPr>
            <w:tcW w:w="1593" w:type="dxa"/>
            <w:noWrap w:val="0"/>
            <w:vAlign w:val="center"/>
          </w:tcPr>
          <w:p w14:paraId="5DBCA1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已建立相应的安全生产责任制、安全管理制度和安全操作规程</w:t>
            </w:r>
          </w:p>
        </w:tc>
        <w:tc>
          <w:tcPr>
            <w:tcW w:w="825" w:type="dxa"/>
            <w:noWrap w:val="0"/>
            <w:vAlign w:val="center"/>
          </w:tcPr>
          <w:p w14:paraId="2638C7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firstLine="0" w:firstLineChars="0"/>
              <w:jc w:val="center"/>
              <w:textAlignment w:val="auto"/>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7395CA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626" w:type="dxa"/>
            <w:noWrap w:val="0"/>
            <w:vAlign w:val="top"/>
          </w:tcPr>
          <w:p w14:paraId="6ABE7EE5">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211F3CD9">
            <w:pPr>
              <w:keepNext w:val="0"/>
              <w:keepLines w:val="0"/>
              <w:widowControl w:val="0"/>
              <w:suppressLineNumbers w:val="0"/>
              <w:spacing w:before="0" w:beforeAutospacing="0" w:after="0" w:afterAutospacing="0" w:line="240" w:lineRule="auto"/>
              <w:ind w:left="0" w:right="0" w:firstLine="0" w:firstLineChars="0"/>
              <w:jc w:val="center"/>
              <w:rPr>
                <w:rFonts w:hint="default" w:ascii="Times New Roman" w:hAnsi="Times New Roman" w:cs="Times New Roman"/>
                <w:b/>
                <w:bCs/>
                <w:color w:val="auto"/>
                <w:sz w:val="18"/>
                <w:szCs w:val="18"/>
              </w:rPr>
            </w:pPr>
            <w:r>
              <w:rPr>
                <w:rFonts w:hint="default" w:ascii="Times New Roman" w:hAnsi="Times New Roman" w:eastAsia="宋体" w:cs="Times New Roman"/>
                <w:b/>
                <w:bCs/>
                <w:color w:val="auto"/>
                <w:sz w:val="18"/>
                <w:szCs w:val="18"/>
              </w:rPr>
              <w:t>4.8.2应急措施</w:t>
            </w:r>
          </w:p>
        </w:tc>
      </w:tr>
      <w:tr w14:paraId="248F06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626" w:type="dxa"/>
            <w:noWrap w:val="0"/>
            <w:vAlign w:val="center"/>
          </w:tcPr>
          <w:p w14:paraId="22F04123">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w:t>
            </w:r>
          </w:p>
        </w:tc>
        <w:tc>
          <w:tcPr>
            <w:tcW w:w="6085" w:type="dxa"/>
            <w:noWrap w:val="0"/>
            <w:vAlign w:val="center"/>
          </w:tcPr>
          <w:p w14:paraId="022C98E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本站设置应急救援器材见下表：</w:t>
            </w:r>
          </w:p>
          <w:p w14:paraId="634664C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表4-7 应急救援器材一览表</w:t>
            </w:r>
          </w:p>
          <w:tbl>
            <w:tblPr>
              <w:tblStyle w:val="48"/>
              <w:tblW w:w="5817"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2"/>
              <w:gridCol w:w="1820"/>
              <w:gridCol w:w="1365"/>
              <w:gridCol w:w="730"/>
              <w:gridCol w:w="1550"/>
            </w:tblGrid>
            <w:tr w14:paraId="271236F3">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352" w:type="dxa"/>
                  <w:noWrap w:val="0"/>
                  <w:vAlign w:val="center"/>
                </w:tcPr>
                <w:p w14:paraId="255CC2D4">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bCs/>
                      <w:color w:val="auto"/>
                      <w:kern w:val="0"/>
                      <w:sz w:val="10"/>
                      <w:szCs w:val="10"/>
                    </w:rPr>
                  </w:pPr>
                  <w:r>
                    <w:rPr>
                      <w:rFonts w:hint="default" w:ascii="Times New Roman" w:hAnsi="Times New Roman" w:eastAsia="宋体" w:cs="Arial"/>
                      <w:b/>
                      <w:bCs/>
                      <w:color w:val="auto"/>
                      <w:kern w:val="0"/>
                      <w:sz w:val="10"/>
                      <w:szCs w:val="10"/>
                    </w:rPr>
                    <w:t>序号</w:t>
                  </w:r>
                </w:p>
              </w:tc>
              <w:tc>
                <w:tcPr>
                  <w:tcW w:w="1820" w:type="dxa"/>
                  <w:noWrap w:val="0"/>
                  <w:vAlign w:val="center"/>
                </w:tcPr>
                <w:p w14:paraId="57DC4132">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bCs/>
                      <w:color w:val="auto"/>
                      <w:kern w:val="0"/>
                      <w:sz w:val="10"/>
                      <w:szCs w:val="10"/>
                    </w:rPr>
                  </w:pPr>
                  <w:r>
                    <w:rPr>
                      <w:rFonts w:hint="default" w:ascii="Times New Roman" w:hAnsi="Times New Roman" w:eastAsia="宋体" w:cs="Arial"/>
                      <w:b/>
                      <w:bCs/>
                      <w:color w:val="auto"/>
                      <w:kern w:val="0"/>
                      <w:sz w:val="10"/>
                      <w:szCs w:val="10"/>
                    </w:rPr>
                    <w:t>应急救援器材设备名称</w:t>
                  </w:r>
                </w:p>
              </w:tc>
              <w:tc>
                <w:tcPr>
                  <w:tcW w:w="1365" w:type="dxa"/>
                  <w:noWrap w:val="0"/>
                  <w:vAlign w:val="center"/>
                </w:tcPr>
                <w:p w14:paraId="2821D4FE">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bCs/>
                      <w:color w:val="auto"/>
                      <w:kern w:val="0"/>
                      <w:sz w:val="10"/>
                      <w:szCs w:val="10"/>
                    </w:rPr>
                  </w:pPr>
                  <w:r>
                    <w:rPr>
                      <w:rFonts w:hint="default" w:ascii="Times New Roman" w:hAnsi="Times New Roman" w:eastAsia="宋体" w:cs="Arial"/>
                      <w:b/>
                      <w:bCs/>
                      <w:color w:val="auto"/>
                      <w:kern w:val="0"/>
                      <w:sz w:val="10"/>
                      <w:szCs w:val="10"/>
                    </w:rPr>
                    <w:t>规格型号</w:t>
                  </w:r>
                </w:p>
              </w:tc>
              <w:tc>
                <w:tcPr>
                  <w:tcW w:w="730" w:type="dxa"/>
                  <w:noWrap w:val="0"/>
                  <w:vAlign w:val="center"/>
                </w:tcPr>
                <w:p w14:paraId="200C7B3F">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bCs/>
                      <w:color w:val="auto"/>
                      <w:kern w:val="0"/>
                      <w:sz w:val="10"/>
                      <w:szCs w:val="10"/>
                    </w:rPr>
                  </w:pPr>
                  <w:r>
                    <w:rPr>
                      <w:rFonts w:hint="default" w:ascii="Times New Roman" w:hAnsi="Times New Roman" w:eastAsia="宋体" w:cs="Arial"/>
                      <w:b/>
                      <w:bCs/>
                      <w:color w:val="auto"/>
                      <w:kern w:val="0"/>
                      <w:sz w:val="10"/>
                      <w:szCs w:val="10"/>
                    </w:rPr>
                    <w:t>配备数量</w:t>
                  </w:r>
                </w:p>
              </w:tc>
              <w:tc>
                <w:tcPr>
                  <w:tcW w:w="1550" w:type="dxa"/>
                  <w:noWrap w:val="0"/>
                  <w:vAlign w:val="center"/>
                </w:tcPr>
                <w:p w14:paraId="2AAB26AC">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bCs/>
                      <w:color w:val="auto"/>
                      <w:kern w:val="0"/>
                      <w:sz w:val="10"/>
                      <w:szCs w:val="10"/>
                    </w:rPr>
                  </w:pPr>
                  <w:r>
                    <w:rPr>
                      <w:rFonts w:hint="default" w:ascii="Times New Roman" w:hAnsi="Times New Roman" w:eastAsia="宋体" w:cs="Arial"/>
                      <w:b/>
                      <w:bCs/>
                      <w:color w:val="auto"/>
                      <w:kern w:val="0"/>
                      <w:sz w:val="10"/>
                      <w:szCs w:val="10"/>
                    </w:rPr>
                    <w:t>备注</w:t>
                  </w:r>
                </w:p>
              </w:tc>
            </w:tr>
            <w:tr w14:paraId="018ED1BB">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352" w:type="dxa"/>
                  <w:noWrap w:val="0"/>
                  <w:vAlign w:val="center"/>
                </w:tcPr>
                <w:p w14:paraId="07714673">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w:t>
                  </w:r>
                </w:p>
              </w:tc>
              <w:tc>
                <w:tcPr>
                  <w:tcW w:w="1820" w:type="dxa"/>
                  <w:noWrap w:val="0"/>
                  <w:vAlign w:val="center"/>
                </w:tcPr>
                <w:p w14:paraId="4F0FFA25">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正压式空气呼吸器</w:t>
                  </w:r>
                </w:p>
              </w:tc>
              <w:tc>
                <w:tcPr>
                  <w:tcW w:w="1365" w:type="dxa"/>
                  <w:noWrap w:val="0"/>
                  <w:vAlign w:val="center"/>
                </w:tcPr>
                <w:p w14:paraId="3D3DF6D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技术性能符合GB/T 16556-2007中第5章的要求</w:t>
                  </w:r>
                </w:p>
              </w:tc>
              <w:tc>
                <w:tcPr>
                  <w:tcW w:w="730" w:type="dxa"/>
                  <w:noWrap w:val="0"/>
                  <w:vAlign w:val="center"/>
                </w:tcPr>
                <w:p w14:paraId="0F40472E">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2套</w:t>
                  </w:r>
                </w:p>
              </w:tc>
              <w:tc>
                <w:tcPr>
                  <w:tcW w:w="1550" w:type="dxa"/>
                  <w:noWrap w:val="0"/>
                  <w:vAlign w:val="center"/>
                </w:tcPr>
                <w:p w14:paraId="1473CE75">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每套配备1个备用气瓶</w:t>
                  </w:r>
                </w:p>
              </w:tc>
            </w:tr>
            <w:tr w14:paraId="0AF6A932">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352" w:type="dxa"/>
                  <w:noWrap w:val="0"/>
                  <w:vAlign w:val="center"/>
                </w:tcPr>
                <w:p w14:paraId="2A179634">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2</w:t>
                  </w:r>
                </w:p>
              </w:tc>
              <w:tc>
                <w:tcPr>
                  <w:tcW w:w="1820" w:type="dxa"/>
                  <w:noWrap w:val="0"/>
                  <w:vAlign w:val="center"/>
                </w:tcPr>
                <w:p w14:paraId="54DF8177">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化学防护服</w:t>
                  </w:r>
                </w:p>
              </w:tc>
              <w:tc>
                <w:tcPr>
                  <w:tcW w:w="1365" w:type="dxa"/>
                  <w:noWrap w:val="0"/>
                  <w:vAlign w:val="center"/>
                </w:tcPr>
                <w:p w14:paraId="174E3360">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技术性能符合AQ/T 6107-2008中第4.2章的要求</w:t>
                  </w:r>
                </w:p>
              </w:tc>
              <w:tc>
                <w:tcPr>
                  <w:tcW w:w="730" w:type="dxa"/>
                  <w:noWrap w:val="0"/>
                  <w:vAlign w:val="center"/>
                </w:tcPr>
                <w:p w14:paraId="01AACCB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2套</w:t>
                  </w:r>
                </w:p>
              </w:tc>
              <w:tc>
                <w:tcPr>
                  <w:tcW w:w="1550" w:type="dxa"/>
                  <w:noWrap w:val="0"/>
                  <w:vAlign w:val="center"/>
                </w:tcPr>
                <w:p w14:paraId="063E0213">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具有有毒、腐蚀性危险化学品的作业场所</w:t>
                  </w:r>
                </w:p>
              </w:tc>
            </w:tr>
            <w:tr w14:paraId="43F25206">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78" w:hRule="atLeast"/>
                <w:jc w:val="center"/>
              </w:trPr>
              <w:tc>
                <w:tcPr>
                  <w:tcW w:w="352" w:type="dxa"/>
                  <w:noWrap w:val="0"/>
                  <w:vAlign w:val="center"/>
                </w:tcPr>
                <w:p w14:paraId="5ECEC57B">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3</w:t>
                  </w:r>
                </w:p>
              </w:tc>
              <w:tc>
                <w:tcPr>
                  <w:tcW w:w="1820" w:type="dxa"/>
                  <w:noWrap w:val="0"/>
                  <w:vAlign w:val="center"/>
                </w:tcPr>
                <w:p w14:paraId="31EA2375">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自吸过滤式防毒面具</w:t>
                  </w:r>
                </w:p>
              </w:tc>
              <w:tc>
                <w:tcPr>
                  <w:tcW w:w="1365" w:type="dxa"/>
                  <w:noWrap w:val="0"/>
                  <w:vAlign w:val="center"/>
                </w:tcPr>
                <w:p w14:paraId="207EA8B7">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技术性能符合GB 2890要求</w:t>
                  </w:r>
                </w:p>
              </w:tc>
              <w:tc>
                <w:tcPr>
                  <w:tcW w:w="730" w:type="dxa"/>
                  <w:noWrap w:val="0"/>
                  <w:vAlign w:val="center"/>
                </w:tcPr>
                <w:p w14:paraId="4DAA406E">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1个/人</w:t>
                  </w:r>
                </w:p>
              </w:tc>
              <w:tc>
                <w:tcPr>
                  <w:tcW w:w="1550" w:type="dxa"/>
                  <w:noWrap w:val="0"/>
                  <w:vAlign w:val="center"/>
                </w:tcPr>
                <w:p w14:paraId="1D59185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类型根据有毒有害物质确定</w:t>
                  </w:r>
                </w:p>
              </w:tc>
            </w:tr>
            <w:tr w14:paraId="0347521A">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746" w:hRule="atLeast"/>
                <w:jc w:val="center"/>
              </w:trPr>
              <w:tc>
                <w:tcPr>
                  <w:tcW w:w="352" w:type="dxa"/>
                  <w:noWrap w:val="0"/>
                  <w:vAlign w:val="center"/>
                </w:tcPr>
                <w:p w14:paraId="0A616292">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4</w:t>
                  </w:r>
                </w:p>
              </w:tc>
              <w:tc>
                <w:tcPr>
                  <w:tcW w:w="1820" w:type="dxa"/>
                  <w:noWrap w:val="0"/>
                  <w:vAlign w:val="center"/>
                </w:tcPr>
                <w:p w14:paraId="68468C39">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手电筒</w:t>
                  </w:r>
                </w:p>
              </w:tc>
              <w:tc>
                <w:tcPr>
                  <w:tcW w:w="1365" w:type="dxa"/>
                  <w:noWrap w:val="0"/>
                  <w:vAlign w:val="center"/>
                </w:tcPr>
                <w:p w14:paraId="3A0B76D7">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易燃易爆场所应防爆</w:t>
                  </w:r>
                </w:p>
              </w:tc>
              <w:tc>
                <w:tcPr>
                  <w:tcW w:w="730" w:type="dxa"/>
                  <w:noWrap w:val="0"/>
                  <w:vAlign w:val="center"/>
                </w:tcPr>
                <w:p w14:paraId="2FF5216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1个/人</w:t>
                  </w:r>
                </w:p>
              </w:tc>
              <w:tc>
                <w:tcPr>
                  <w:tcW w:w="1550" w:type="dxa"/>
                  <w:noWrap w:val="0"/>
                  <w:vAlign w:val="center"/>
                </w:tcPr>
                <w:p w14:paraId="0AD75FDB">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根据当班人数确定，包括作业人员随身携带的同类物资</w:t>
                  </w:r>
                </w:p>
              </w:tc>
            </w:tr>
            <w:tr w14:paraId="369D3F84">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2" w:hRule="atLeast"/>
                <w:jc w:val="center"/>
              </w:trPr>
              <w:tc>
                <w:tcPr>
                  <w:tcW w:w="352" w:type="dxa"/>
                  <w:noWrap w:val="0"/>
                  <w:vAlign w:val="center"/>
                </w:tcPr>
                <w:p w14:paraId="6435EE6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5</w:t>
                  </w:r>
                </w:p>
              </w:tc>
              <w:tc>
                <w:tcPr>
                  <w:tcW w:w="1820" w:type="dxa"/>
                  <w:noWrap w:val="0"/>
                  <w:vAlign w:val="center"/>
                </w:tcPr>
                <w:p w14:paraId="062854A3">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对讲机</w:t>
                  </w:r>
                </w:p>
              </w:tc>
              <w:tc>
                <w:tcPr>
                  <w:tcW w:w="1365" w:type="dxa"/>
                  <w:noWrap w:val="0"/>
                  <w:vAlign w:val="center"/>
                </w:tcPr>
                <w:p w14:paraId="036AFB3F">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易燃易爆场所应防爆</w:t>
                  </w:r>
                </w:p>
              </w:tc>
              <w:tc>
                <w:tcPr>
                  <w:tcW w:w="730" w:type="dxa"/>
                  <w:noWrap w:val="0"/>
                  <w:vAlign w:val="center"/>
                </w:tcPr>
                <w:p w14:paraId="553A4983">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1个/人</w:t>
                  </w:r>
                </w:p>
              </w:tc>
              <w:tc>
                <w:tcPr>
                  <w:tcW w:w="1550" w:type="dxa"/>
                  <w:noWrap w:val="0"/>
                  <w:vAlign w:val="center"/>
                </w:tcPr>
                <w:p w14:paraId="7EEB499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根据当班人数确定，包括作业人员随身携带的同类物资</w:t>
                  </w:r>
                </w:p>
              </w:tc>
            </w:tr>
            <w:tr w14:paraId="7B544AED">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jc w:val="center"/>
              </w:trPr>
              <w:tc>
                <w:tcPr>
                  <w:tcW w:w="352" w:type="dxa"/>
                  <w:noWrap w:val="0"/>
                  <w:vAlign w:val="center"/>
                </w:tcPr>
                <w:p w14:paraId="76AF01FC">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6</w:t>
                  </w:r>
                </w:p>
              </w:tc>
              <w:tc>
                <w:tcPr>
                  <w:tcW w:w="1820" w:type="dxa"/>
                  <w:noWrap w:val="0"/>
                  <w:vAlign w:val="center"/>
                </w:tcPr>
                <w:p w14:paraId="14076998">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急救箱或急救包</w:t>
                  </w:r>
                </w:p>
              </w:tc>
              <w:tc>
                <w:tcPr>
                  <w:tcW w:w="1365" w:type="dxa"/>
                  <w:noWrap w:val="0"/>
                  <w:vAlign w:val="center"/>
                </w:tcPr>
                <w:p w14:paraId="09A2F6A9">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物质清单符合GBZ1-2010中表A.4的要求</w:t>
                  </w:r>
                </w:p>
              </w:tc>
              <w:tc>
                <w:tcPr>
                  <w:tcW w:w="730" w:type="dxa"/>
                  <w:noWrap w:val="0"/>
                  <w:vAlign w:val="center"/>
                </w:tcPr>
                <w:p w14:paraId="564C885B">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1箱（包）</w:t>
                  </w:r>
                </w:p>
              </w:tc>
              <w:tc>
                <w:tcPr>
                  <w:tcW w:w="1550" w:type="dxa"/>
                  <w:noWrap w:val="0"/>
                  <w:vAlign w:val="center"/>
                </w:tcPr>
                <w:p w14:paraId="7FC52A35">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盛放常规外伤和化学伤害急救所需的敷料、药品和器械等</w:t>
                  </w:r>
                </w:p>
              </w:tc>
            </w:tr>
            <w:tr w14:paraId="6E0F44CE">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995" w:hRule="atLeast"/>
                <w:jc w:val="center"/>
              </w:trPr>
              <w:tc>
                <w:tcPr>
                  <w:tcW w:w="352" w:type="dxa"/>
                  <w:noWrap w:val="0"/>
                  <w:vAlign w:val="center"/>
                </w:tcPr>
                <w:p w14:paraId="51464DC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7</w:t>
                  </w:r>
                </w:p>
              </w:tc>
              <w:tc>
                <w:tcPr>
                  <w:tcW w:w="1820" w:type="dxa"/>
                  <w:noWrap w:val="0"/>
                  <w:vAlign w:val="center"/>
                </w:tcPr>
                <w:p w14:paraId="235D9F82">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危险品收容输转器具</w:t>
                  </w:r>
                </w:p>
              </w:tc>
              <w:tc>
                <w:tcPr>
                  <w:tcW w:w="1365" w:type="dxa"/>
                  <w:noWrap w:val="0"/>
                  <w:vAlign w:val="center"/>
                </w:tcPr>
                <w:p w14:paraId="027690E1">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危险化学品泄漏物的收容输转，易燃易爆场所应防爆</w:t>
                  </w:r>
                </w:p>
              </w:tc>
              <w:tc>
                <w:tcPr>
                  <w:tcW w:w="730" w:type="dxa"/>
                  <w:noWrap w:val="0"/>
                  <w:vAlign w:val="center"/>
                </w:tcPr>
                <w:p w14:paraId="66E55655">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1套</w:t>
                  </w:r>
                </w:p>
              </w:tc>
              <w:tc>
                <w:tcPr>
                  <w:tcW w:w="1550" w:type="dxa"/>
                  <w:noWrap w:val="0"/>
                  <w:vAlign w:val="center"/>
                </w:tcPr>
                <w:p w14:paraId="4A8C0326">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根据泄漏介质理化性质选择配备，常用物资包括危险化学品真空收集器，收容桶或其他输转器具</w:t>
                  </w:r>
                </w:p>
              </w:tc>
            </w:tr>
            <w:tr w14:paraId="77BD1190">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jc w:val="center"/>
              </w:trPr>
              <w:tc>
                <w:tcPr>
                  <w:tcW w:w="352" w:type="dxa"/>
                  <w:noWrap w:val="0"/>
                  <w:vAlign w:val="center"/>
                </w:tcPr>
                <w:p w14:paraId="75212161">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8</w:t>
                  </w:r>
                </w:p>
              </w:tc>
              <w:tc>
                <w:tcPr>
                  <w:tcW w:w="1820" w:type="dxa"/>
                  <w:noWrap w:val="0"/>
                  <w:vAlign w:val="center"/>
                </w:tcPr>
                <w:p w14:paraId="325A2713">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应急处置工具箱</w:t>
                  </w:r>
                </w:p>
              </w:tc>
              <w:tc>
                <w:tcPr>
                  <w:tcW w:w="1365" w:type="dxa"/>
                  <w:noWrap w:val="0"/>
                  <w:vAlign w:val="center"/>
                </w:tcPr>
                <w:p w14:paraId="325CD31B">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default"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工具箱内配备常用工具或专业处置工具、警戒绳、风向标、救生绳等</w:t>
                  </w:r>
                </w:p>
              </w:tc>
              <w:tc>
                <w:tcPr>
                  <w:tcW w:w="730" w:type="dxa"/>
                  <w:noWrap w:val="0"/>
                  <w:vAlign w:val="center"/>
                </w:tcPr>
                <w:p w14:paraId="39AEA407">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1套</w:t>
                  </w:r>
                </w:p>
              </w:tc>
              <w:tc>
                <w:tcPr>
                  <w:tcW w:w="1550" w:type="dxa"/>
                  <w:noWrap w:val="0"/>
                  <w:vAlign w:val="center"/>
                </w:tcPr>
                <w:p w14:paraId="6709D5A2">
                  <w:pPr>
                    <w:pStyle w:val="82"/>
                    <w:keepNext w:val="0"/>
                    <w:keepLines w:val="0"/>
                    <w:pageBreakBefore w:val="0"/>
                    <w:widowControl w:val="0"/>
                    <w:suppressLineNumbers w:val="0"/>
                    <w:kinsoku/>
                    <w:wordWrap w:val="0"/>
                    <w:overflowPunct/>
                    <w:topLinePunct w:val="0"/>
                    <w:autoSpaceDE/>
                    <w:autoSpaceDN/>
                    <w:bidi w:val="0"/>
                    <w:adjustRightInd w:val="0"/>
                    <w:snapToGrid/>
                    <w:spacing w:before="0" w:beforeAutospacing="0" w:after="0" w:afterAutospacing="0" w:line="240" w:lineRule="atLeast"/>
                    <w:ind w:left="0" w:right="0" w:firstLine="0" w:firstLineChars="0"/>
                    <w:jc w:val="center"/>
                    <w:textAlignment w:val="baseline"/>
                    <w:rPr>
                      <w:rFonts w:hint="eastAsia" w:ascii="Times New Roman" w:hAnsi="Times New Roman" w:eastAsia="宋体" w:cs="Arial"/>
                      <w:b w:val="0"/>
                      <w:bCs/>
                      <w:color w:val="auto"/>
                      <w:kern w:val="0"/>
                      <w:sz w:val="10"/>
                      <w:szCs w:val="10"/>
                      <w:lang w:val="en-US" w:eastAsia="zh-CN"/>
                    </w:rPr>
                  </w:pPr>
                  <w:r>
                    <w:rPr>
                      <w:rFonts w:hint="eastAsia" w:ascii="Times New Roman" w:hAnsi="Times New Roman" w:eastAsia="宋体" w:cs="Arial"/>
                      <w:b w:val="0"/>
                      <w:bCs/>
                      <w:color w:val="auto"/>
                      <w:kern w:val="0"/>
                      <w:sz w:val="10"/>
                      <w:szCs w:val="10"/>
                      <w:lang w:val="en-US" w:eastAsia="zh-CN"/>
                    </w:rPr>
                    <w:t>易燃易爆炸所应配置无火花工具</w:t>
                  </w:r>
                </w:p>
              </w:tc>
            </w:tr>
          </w:tbl>
          <w:p w14:paraId="3DC4DC19">
            <w:pPr>
              <w:keepNext w:val="0"/>
              <w:keepLines w:val="0"/>
              <w:widowControl/>
              <w:suppressLineNumbers w:val="0"/>
              <w:adjustRightInd w:val="0"/>
              <w:snapToGrid w:val="0"/>
              <w:spacing w:before="0" w:beforeAutospacing="0" w:after="0" w:afterAutospacing="0"/>
              <w:ind w:left="0" w:right="0"/>
              <w:rPr>
                <w:rFonts w:hint="eastAsia" w:ascii="Times New Roman" w:hAnsi="Times New Roman" w:cs="Times New Roman"/>
                <w:color w:val="auto"/>
                <w:sz w:val="18"/>
                <w:szCs w:val="18"/>
                <w:lang w:val="en-US" w:eastAsia="zh-CN"/>
              </w:rPr>
            </w:pPr>
          </w:p>
        </w:tc>
        <w:tc>
          <w:tcPr>
            <w:tcW w:w="1593" w:type="dxa"/>
            <w:noWrap w:val="0"/>
            <w:vAlign w:val="center"/>
          </w:tcPr>
          <w:p w14:paraId="35E69B4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已配备相应的应急救援器材</w:t>
            </w:r>
          </w:p>
        </w:tc>
        <w:tc>
          <w:tcPr>
            <w:tcW w:w="825" w:type="dxa"/>
            <w:noWrap w:val="0"/>
            <w:vAlign w:val="center"/>
          </w:tcPr>
          <w:p w14:paraId="0E30BCE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2BA013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626" w:type="dxa"/>
            <w:noWrap w:val="0"/>
            <w:vAlign w:val="top"/>
          </w:tcPr>
          <w:p w14:paraId="33C6261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18"/>
                <w:szCs w:val="18"/>
              </w:rPr>
            </w:pPr>
          </w:p>
        </w:tc>
        <w:tc>
          <w:tcPr>
            <w:tcW w:w="8503" w:type="dxa"/>
            <w:gridSpan w:val="3"/>
            <w:noWrap w:val="0"/>
            <w:vAlign w:val="center"/>
          </w:tcPr>
          <w:p w14:paraId="2F9975D2">
            <w:pPr>
              <w:keepNext w:val="0"/>
              <w:keepLines w:val="0"/>
              <w:widowControl/>
              <w:suppressLineNumbers w:val="0"/>
              <w:spacing w:before="0" w:beforeAutospacing="0" w:after="0" w:afterAutospacing="0" w:line="240" w:lineRule="auto"/>
              <w:ind w:left="0" w:right="0"/>
              <w:jc w:val="center"/>
              <w:rPr>
                <w:rFonts w:hint="default" w:ascii="Times New Roman" w:hAnsi="Times New Roman" w:cs="Times New Roman"/>
                <w:b/>
                <w:bCs/>
                <w:color w:val="auto"/>
                <w:sz w:val="18"/>
                <w:szCs w:val="18"/>
              </w:rPr>
            </w:pPr>
            <w:r>
              <w:rPr>
                <w:rFonts w:hint="default" w:ascii="Times New Roman" w:hAnsi="Times New Roman" w:eastAsia="宋体" w:cs="Times New Roman"/>
                <w:b/>
                <w:bCs/>
                <w:color w:val="auto"/>
                <w:sz w:val="18"/>
                <w:szCs w:val="18"/>
              </w:rPr>
              <w:t>4.8.3</w:t>
            </w:r>
            <w:r>
              <w:rPr>
                <w:rFonts w:hint="eastAsia" w:ascii="Times New Roman" w:hAnsi="Times New Roman" w:eastAsia="宋体" w:cs="Times New Roman"/>
                <w:b/>
                <w:bCs/>
                <w:color w:val="auto"/>
                <w:sz w:val="18"/>
                <w:szCs w:val="18"/>
              </w:rPr>
              <w:t>可能排放的最大污水量及防止排出厂/界外的采取的事故应急措施</w:t>
            </w:r>
          </w:p>
        </w:tc>
      </w:tr>
      <w:tr w14:paraId="30DB23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626" w:type="dxa"/>
            <w:noWrap w:val="0"/>
            <w:vAlign w:val="center"/>
          </w:tcPr>
          <w:p w14:paraId="43ACF36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w:t>
            </w:r>
          </w:p>
        </w:tc>
        <w:tc>
          <w:tcPr>
            <w:tcW w:w="6085" w:type="dxa"/>
            <w:noWrap w:val="0"/>
            <w:vAlign w:val="center"/>
          </w:tcPr>
          <w:p w14:paraId="1502A58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本加油站生产环节不使用水，也没有污水，站内地面污水排至加油站隔油池。</w:t>
            </w:r>
          </w:p>
        </w:tc>
        <w:tc>
          <w:tcPr>
            <w:tcW w:w="1593" w:type="dxa"/>
            <w:noWrap w:val="0"/>
            <w:vAlign w:val="center"/>
          </w:tcPr>
          <w:p w14:paraId="1175AA1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站内地面污水排至加油站隔油池</w:t>
            </w:r>
          </w:p>
        </w:tc>
        <w:tc>
          <w:tcPr>
            <w:tcW w:w="825" w:type="dxa"/>
            <w:noWrap w:val="0"/>
            <w:vAlign w:val="center"/>
          </w:tcPr>
          <w:p w14:paraId="5868AD3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4AD04A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626" w:type="dxa"/>
            <w:noWrap w:val="0"/>
            <w:vAlign w:val="center"/>
          </w:tcPr>
          <w:p w14:paraId="08F7E3E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rPr>
            </w:pPr>
          </w:p>
        </w:tc>
        <w:tc>
          <w:tcPr>
            <w:tcW w:w="8503" w:type="dxa"/>
            <w:gridSpan w:val="3"/>
            <w:noWrap w:val="0"/>
            <w:vAlign w:val="center"/>
          </w:tcPr>
          <w:p w14:paraId="5212D0B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18"/>
                <w:szCs w:val="18"/>
              </w:rPr>
            </w:pPr>
            <w:r>
              <w:rPr>
                <w:rFonts w:hint="default" w:ascii="Times New Roman" w:hAnsi="Times New Roman" w:cs="Times New Roman"/>
                <w:b/>
                <w:bCs/>
                <w:color w:val="auto"/>
                <w:sz w:val="18"/>
                <w:szCs w:val="18"/>
              </w:rPr>
              <w:t>4.8.</w:t>
            </w:r>
            <w:r>
              <w:rPr>
                <w:rFonts w:hint="eastAsia" w:ascii="Times New Roman" w:hAnsi="Times New Roman" w:cs="Times New Roman"/>
                <w:b/>
                <w:bCs/>
                <w:color w:val="auto"/>
                <w:sz w:val="18"/>
                <w:szCs w:val="18"/>
                <w:lang w:val="en-US" w:eastAsia="zh-CN"/>
              </w:rPr>
              <w:t>4</w:t>
            </w:r>
            <w:r>
              <w:rPr>
                <w:rFonts w:hint="eastAsia" w:ascii="Times New Roman" w:hAnsi="Times New Roman" w:cs="Times New Roman"/>
                <w:b/>
                <w:bCs/>
                <w:color w:val="auto"/>
                <w:sz w:val="18"/>
                <w:szCs w:val="18"/>
              </w:rPr>
              <w:t>设备使用、维护、检修的安全要求</w:t>
            </w:r>
          </w:p>
        </w:tc>
      </w:tr>
      <w:tr w14:paraId="5E7258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6FE1B7B9">
            <w:pPr>
              <w:keepNext w:val="0"/>
              <w:keepLines w:val="0"/>
              <w:widowControl/>
              <w:suppressLineNumbers w:val="0"/>
              <w:spacing w:before="0" w:beforeAutospacing="0" w:after="0" w:afterAutospacing="0"/>
              <w:ind w:left="0" w:leftChars="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1</w:t>
            </w:r>
          </w:p>
        </w:tc>
        <w:tc>
          <w:tcPr>
            <w:tcW w:w="6085" w:type="dxa"/>
            <w:noWrap w:val="0"/>
            <w:vAlign w:val="center"/>
          </w:tcPr>
          <w:p w14:paraId="0CC2C13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清洗油罐</w:t>
            </w:r>
          </w:p>
          <w:p w14:paraId="1859073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1）清洗油罐应根据GB30871-2022的规定按照受限空间作业进行管理，办理作业许可手续。</w:t>
            </w:r>
          </w:p>
          <w:p w14:paraId="3320CEA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2）清罐作业前，应对特种作业人员操作证进行核对和审查，根据作业分组情况对检测、施工、监护、维修等清罐人员进行安全和清罐操作技术的培训。机械清罐应按其操作规程执行。</w:t>
            </w:r>
          </w:p>
          <w:p w14:paraId="299D711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3）监护人应对施工作业进行全过程监护。</w:t>
            </w:r>
          </w:p>
          <w:p w14:paraId="209E28C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4）向油罐内引入空气、水或蒸汽的管线，其喷嘴等金属部分以及用于排出油品的胶管等应与油罐 做等电位连接，并可靠接地，操作过程应防止金属部件碰撞。</w:t>
            </w:r>
          </w:p>
          <w:p w14:paraId="177C682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5）作业停工期间，油罐人孔处应上锁并设置“危险、严禁入内”警示标志。</w:t>
            </w:r>
          </w:p>
          <w:p w14:paraId="176E84F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6）进入油罐作业前，应做好工艺处理，与油罐连通的可能危及安全作业的管道应采用插入盲板或拆除一段管道的方式进行隔绝。</w:t>
            </w:r>
          </w:p>
          <w:p w14:paraId="5EF7BB8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7）人员进入油罐前应进行通风置换，油罐内空气达不到安全要求时，人员不应进入油罐内。</w:t>
            </w:r>
          </w:p>
          <w:p w14:paraId="3729741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8）作业现场应配置便携式或移动式气体检测报警仪，连续监测罐内氧气、可燃气体和有毒气体浓度，发现气体浓度超限报警时，应立即停止作业、撤离人员、对现场进行处理，在分析合格后方可恢复作业。如作业中断超30 min，再次</w:t>
            </w:r>
            <w:r>
              <w:rPr>
                <w:rFonts w:hint="eastAsia" w:ascii="Times New Roman" w:hAnsi="Times New Roman" w:eastAsia="宋体" w:cs="Times New Roman"/>
                <w:color w:val="auto"/>
                <w:sz w:val="18"/>
                <w:szCs w:val="18"/>
                <w:lang w:eastAsia="zh-CN"/>
              </w:rPr>
              <w:t>进入</w:t>
            </w:r>
            <w:r>
              <w:rPr>
                <w:rFonts w:hint="eastAsia" w:ascii="Times New Roman" w:hAnsi="Times New Roman" w:eastAsia="宋体" w:cs="Times New Roman"/>
                <w:color w:val="auto"/>
                <w:sz w:val="18"/>
                <w:szCs w:val="18"/>
              </w:rPr>
              <w:t>前应重新进行气体分析。</w:t>
            </w:r>
          </w:p>
          <w:p w14:paraId="0851FD67">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9）油罐内监测点应有代表性，应对上、中、下各部位进行监测分析；分析仪器应在校验有效期内，使用前应保证其处于正常工作状态。</w:t>
            </w:r>
          </w:p>
          <w:p w14:paraId="0EEE42E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10）进入油罐的水不应含油，使用的进水管不应采用含油管线，以防油品进入罐内。</w:t>
            </w:r>
          </w:p>
          <w:p w14:paraId="6263529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11）在雷雨或风力在五级以上等恶劣天气环境下，不应进行油罐清洗作业。</w:t>
            </w:r>
          </w:p>
          <w:p w14:paraId="4A2910B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12）油罐清洗作业前，应在作业场所的上风向配置适量消防器材。</w:t>
            </w:r>
          </w:p>
          <w:p w14:paraId="217597E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13）清出的罐底污杂应存放在油桶或指定容器内并作出危险废弃物的标识，不应随意倾倒。</w:t>
            </w:r>
          </w:p>
        </w:tc>
        <w:tc>
          <w:tcPr>
            <w:tcW w:w="1593" w:type="dxa"/>
            <w:noWrap w:val="0"/>
            <w:vAlign w:val="center"/>
          </w:tcPr>
          <w:p w14:paraId="1BC96D8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按要求清洗油罐</w:t>
            </w:r>
          </w:p>
        </w:tc>
        <w:tc>
          <w:tcPr>
            <w:tcW w:w="825" w:type="dxa"/>
            <w:noWrap w:val="0"/>
            <w:vAlign w:val="center"/>
          </w:tcPr>
          <w:p w14:paraId="1EAFE54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已落实</w:t>
            </w:r>
          </w:p>
        </w:tc>
      </w:tr>
      <w:tr w14:paraId="45B89A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6EFE5B7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6085" w:type="dxa"/>
            <w:noWrap w:val="0"/>
            <w:vAlign w:val="center"/>
          </w:tcPr>
          <w:p w14:paraId="6059087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加油机维修</w:t>
            </w:r>
          </w:p>
          <w:p w14:paraId="533E81D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1）维修之前应切断电源，并在</w:t>
            </w:r>
            <w:r>
              <w:rPr>
                <w:rFonts w:hint="eastAsia" w:ascii="Times New Roman" w:hAnsi="Times New Roman" w:eastAsia="宋体" w:cs="Times New Roman"/>
                <w:color w:val="auto"/>
                <w:sz w:val="18"/>
                <w:szCs w:val="18"/>
                <w:lang w:eastAsia="zh-CN"/>
              </w:rPr>
              <w:t>电源开关</w:t>
            </w:r>
            <w:r>
              <w:rPr>
                <w:rFonts w:hint="eastAsia" w:ascii="Times New Roman" w:hAnsi="Times New Roman" w:eastAsia="宋体" w:cs="Times New Roman"/>
                <w:color w:val="auto"/>
                <w:sz w:val="18"/>
                <w:szCs w:val="18"/>
              </w:rPr>
              <w:t>处加锁并加挂安全警示牌。</w:t>
            </w:r>
          </w:p>
          <w:p w14:paraId="49E10B8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2）维修时应设警示标志并对维修区域进行隔离，隔离范围不宜小于以加油机为中心、半径为4.5m的区域范围。</w:t>
            </w:r>
          </w:p>
          <w:p w14:paraId="4AB6061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3）若所修的部件需要放油时，应使用金属容器收集。</w:t>
            </w:r>
          </w:p>
        </w:tc>
        <w:tc>
          <w:tcPr>
            <w:tcW w:w="1593" w:type="dxa"/>
            <w:noWrap w:val="0"/>
            <w:vAlign w:val="center"/>
          </w:tcPr>
          <w:p w14:paraId="11E95D5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按规程维修加油机</w:t>
            </w:r>
          </w:p>
        </w:tc>
        <w:tc>
          <w:tcPr>
            <w:tcW w:w="825" w:type="dxa"/>
            <w:noWrap w:val="0"/>
            <w:vAlign w:val="center"/>
          </w:tcPr>
          <w:p w14:paraId="330B2EF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8DF3D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2036053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w:t>
            </w:r>
          </w:p>
        </w:tc>
        <w:tc>
          <w:tcPr>
            <w:tcW w:w="6085" w:type="dxa"/>
            <w:noWrap w:val="0"/>
            <w:vAlign w:val="center"/>
          </w:tcPr>
          <w:p w14:paraId="5CF2360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动火作业</w:t>
            </w:r>
          </w:p>
          <w:p w14:paraId="0313CB3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1）应根据 GB30871-2022的规定对动火作业进行管理。</w:t>
            </w:r>
          </w:p>
          <w:p w14:paraId="1B6FDD8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2）在加油站作业区内进行动火作业前，应办理动火审批手续；动火人员应按动火审批要求作业；设置现场监护人。</w:t>
            </w:r>
          </w:p>
          <w:p w14:paraId="4FA2F5C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3）动火作业前，与动火设备相连的所有管线均应加堵盲板与系统彻底隔离，并进行清洗、置换，分析合格后方可作业。不应以水封或关闭阀门代替盲板作为隔断措施。</w:t>
            </w:r>
          </w:p>
          <w:p w14:paraId="17C0B0B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4）动火作业前应清除动火现场及周围的易燃物品，或采取其他有效安全防火措施，并配备消防器材，满足作业现场应急需求。作业现场应设置警示标志、警戒区，作业现场严禁无关人员进入。</w:t>
            </w:r>
          </w:p>
          <w:p w14:paraId="3E561A67">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5）动火设备内的油品等可燃物应彻底清理干净，并按照GB30871-2022的规定进行动火分析，合格后方可进行动火作业。</w:t>
            </w:r>
          </w:p>
          <w:p w14:paraId="1EB9968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6）在爆炸危险区域附近动火施工时，应隔离并注意风向。</w:t>
            </w:r>
          </w:p>
          <w:p w14:paraId="77A087F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7）动火点周围15m内如有可燃物、窨井、水封井、隔油池、地沟等，应检查分析并采取清理或封盖 等措施；动火点周围30m内不应排放可燃气体，15m内不应排放可燃液体。</w:t>
            </w:r>
          </w:p>
          <w:p w14:paraId="4D5F801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8）施工中如需启停管线阀门，施工人员应会同值班站长处理，不应擅自操作。</w:t>
            </w:r>
          </w:p>
          <w:p w14:paraId="0214B5A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9）电焊回路线应接在焊件上，不应穿过窨井或其他设备搭火。</w:t>
            </w:r>
          </w:p>
          <w:p w14:paraId="332BE8A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10）使用气焊、气割进行动火作业时，乙炔瓶应直立放置，氧气瓶与乙炔瓶间距应不小于5m，两者 与作业点间距应不小于10m，并设置防晒设施和防倾倒措施。</w:t>
            </w:r>
          </w:p>
          <w:p w14:paraId="13AAAA2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11）高处动火(2m以上)应采取防止火花飞溅措施，五级风以上(含五级)天气，不应露天动火作业。</w:t>
            </w:r>
          </w:p>
        </w:tc>
        <w:tc>
          <w:tcPr>
            <w:tcW w:w="1593" w:type="dxa"/>
            <w:noWrap w:val="0"/>
            <w:vAlign w:val="center"/>
          </w:tcPr>
          <w:p w14:paraId="0EEF915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按规定进行动火作业</w:t>
            </w:r>
          </w:p>
        </w:tc>
        <w:tc>
          <w:tcPr>
            <w:tcW w:w="825" w:type="dxa"/>
            <w:noWrap w:val="0"/>
            <w:vAlign w:val="center"/>
          </w:tcPr>
          <w:p w14:paraId="0901FF6E">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1851FA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4D36C0F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w:t>
            </w:r>
          </w:p>
        </w:tc>
        <w:tc>
          <w:tcPr>
            <w:tcW w:w="6085" w:type="dxa"/>
            <w:noWrap w:val="0"/>
            <w:vAlign w:val="center"/>
          </w:tcPr>
          <w:p w14:paraId="25C812C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防雷、防静电设施和接地装置检测</w:t>
            </w:r>
          </w:p>
          <w:p w14:paraId="40354A4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1）防雷防静电装置应每半年至少检测1次，并建立检测档案。</w:t>
            </w:r>
          </w:p>
          <w:p w14:paraId="5F0FC6A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2）所有防雷防静电设施应定期检查、维修，并建立设施管理档案。</w:t>
            </w:r>
          </w:p>
          <w:p w14:paraId="42692FD7">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3）定期检查加油枪、胶管和加油机之间的连接情况，保持其具有良好的接地性能，并建立检查记录。</w:t>
            </w:r>
          </w:p>
        </w:tc>
        <w:tc>
          <w:tcPr>
            <w:tcW w:w="1593" w:type="dxa"/>
            <w:noWrap w:val="0"/>
            <w:vAlign w:val="center"/>
          </w:tcPr>
          <w:p w14:paraId="76A02CC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rPr>
              <w:t>防雷防静电装置应每半年至少检测1次</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rPr>
              <w:t>定期检查、维修防雷防静电设施</w:t>
            </w:r>
            <w:r>
              <w:rPr>
                <w:rFonts w:hint="eastAsia" w:ascii="Times New Roman" w:hAnsi="Times New Roman" w:eastAsia="宋体" w:cs="Times New Roman"/>
                <w:color w:val="auto"/>
                <w:sz w:val="18"/>
                <w:szCs w:val="18"/>
                <w:lang w:val="en-US" w:eastAsia="zh-CN"/>
              </w:rPr>
              <w:t>等</w:t>
            </w:r>
          </w:p>
        </w:tc>
        <w:tc>
          <w:tcPr>
            <w:tcW w:w="825" w:type="dxa"/>
            <w:noWrap w:val="0"/>
            <w:vAlign w:val="center"/>
          </w:tcPr>
          <w:p w14:paraId="600D114A">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0A5779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6" w:type="dxa"/>
            <w:noWrap w:val="0"/>
            <w:vAlign w:val="center"/>
          </w:tcPr>
          <w:p w14:paraId="79D36BD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5</w:t>
            </w:r>
          </w:p>
        </w:tc>
        <w:tc>
          <w:tcPr>
            <w:tcW w:w="6085" w:type="dxa"/>
            <w:noWrap w:val="0"/>
            <w:vAlign w:val="center"/>
          </w:tcPr>
          <w:p w14:paraId="01A671BB">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用电、发电</w:t>
            </w:r>
          </w:p>
          <w:p w14:paraId="3064E89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1）基本要求应按GB/T13869-2017的规定执行。</w:t>
            </w:r>
          </w:p>
          <w:p w14:paraId="1F5CECE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2）电气检修、临时用电应执行工作票制度，并明确工作票签发人、工作负责人、监护人、工作许可人、操作人员责任；应在办理签发、许可手续后方可作业。</w:t>
            </w:r>
          </w:p>
          <w:p w14:paraId="2DA56AB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3）变、配电房间应制定运行规程、巡回检查制度。</w:t>
            </w:r>
          </w:p>
          <w:p w14:paraId="45526C1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4）在高压设备或大容量低压总盘上倒闸操作及在带电设备附近工作时，应由两人进行。</w:t>
            </w:r>
          </w:p>
          <w:p w14:paraId="47BEC879">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5）不应在电气设备、供电线路上带电作业。断电后，应在电源开关处上锁、拆下熔断器或关闭断路器，并挂上“禁止合闸、有人工作”等安全警示标牌；工作未结束，任何人不应拿下标牌或送电。工作完毕 并经复查无误后，由工作负责人将检修情况与值班人员做好交接后方可摘牌送电。</w:t>
            </w:r>
          </w:p>
          <w:p w14:paraId="4C9C6E2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6）发电、用电过程中应有专人巡回检查。</w:t>
            </w:r>
          </w:p>
          <w:p w14:paraId="4D76822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7）当外线停电时，及时断开</w:t>
            </w:r>
            <w:r>
              <w:rPr>
                <w:rFonts w:hint="eastAsia" w:ascii="Times New Roman" w:hAnsi="Times New Roman" w:eastAsia="宋体" w:cs="Times New Roman"/>
                <w:color w:val="auto"/>
                <w:sz w:val="18"/>
                <w:szCs w:val="18"/>
                <w:lang w:eastAsia="zh-CN"/>
              </w:rPr>
              <w:t>配电箱</w:t>
            </w:r>
            <w:r>
              <w:rPr>
                <w:rFonts w:hint="eastAsia" w:ascii="Times New Roman" w:hAnsi="Times New Roman" w:eastAsia="宋体" w:cs="Times New Roman"/>
                <w:color w:val="auto"/>
                <w:sz w:val="18"/>
                <w:szCs w:val="18"/>
              </w:rPr>
              <w:t>中外电总闸和加油站内设备及照明的电源开关。按发电操作规程启动发电设备。</w:t>
            </w:r>
          </w:p>
          <w:p w14:paraId="40B9A85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8）当外线来电时，注意观察外电指示灯及电压表变化情况，确认电压稳定后，按操作规程恢复常用电源。</w:t>
            </w:r>
          </w:p>
        </w:tc>
        <w:tc>
          <w:tcPr>
            <w:tcW w:w="1593" w:type="dxa"/>
            <w:noWrap w:val="0"/>
            <w:vAlign w:val="center"/>
          </w:tcPr>
          <w:p w14:paraId="08C58DE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rPr>
              <w:t>电气检修、临时用电应执行工作票制度</w:t>
            </w:r>
            <w:r>
              <w:rPr>
                <w:rFonts w:hint="eastAsia" w:ascii="Times New Roman" w:hAnsi="Times New Roman" w:eastAsia="宋体" w:cs="Times New Roman"/>
                <w:color w:val="auto"/>
                <w:sz w:val="18"/>
                <w:szCs w:val="18"/>
                <w:lang w:eastAsia="zh-CN"/>
              </w:rPr>
              <w:t>、</w:t>
            </w:r>
            <w:r>
              <w:rPr>
                <w:rFonts w:hint="eastAsia" w:ascii="Times New Roman" w:hAnsi="Times New Roman" w:eastAsia="宋体" w:cs="Times New Roman"/>
                <w:color w:val="auto"/>
                <w:sz w:val="18"/>
                <w:szCs w:val="18"/>
              </w:rPr>
              <w:t>不在电气设备、供电线路上带电作业</w:t>
            </w:r>
            <w:r>
              <w:rPr>
                <w:rFonts w:hint="eastAsia" w:ascii="Times New Roman" w:hAnsi="Times New Roman" w:eastAsia="宋体" w:cs="Times New Roman"/>
                <w:color w:val="auto"/>
                <w:sz w:val="18"/>
                <w:szCs w:val="18"/>
                <w:lang w:val="en-US" w:eastAsia="zh-CN"/>
              </w:rPr>
              <w:t>等</w:t>
            </w:r>
          </w:p>
        </w:tc>
        <w:tc>
          <w:tcPr>
            <w:tcW w:w="825" w:type="dxa"/>
            <w:noWrap w:val="0"/>
            <w:vAlign w:val="center"/>
          </w:tcPr>
          <w:p w14:paraId="21E5BB17">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58BB54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26" w:type="dxa"/>
            <w:noWrap w:val="0"/>
            <w:vAlign w:val="center"/>
          </w:tcPr>
          <w:p w14:paraId="6054EC2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w:t>
            </w:r>
          </w:p>
        </w:tc>
        <w:tc>
          <w:tcPr>
            <w:tcW w:w="6085" w:type="dxa"/>
            <w:noWrap w:val="0"/>
            <w:vAlign w:val="center"/>
          </w:tcPr>
          <w:p w14:paraId="52D658D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施工过程</w:t>
            </w:r>
          </w:p>
          <w:p w14:paraId="266E7A2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1）施工前应明确划分施工区域，并设立明显的施工标志和警示线。</w:t>
            </w:r>
          </w:p>
          <w:p w14:paraId="421A026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2）施工前，施工单位应与建设单位共同编制施工安全管理方案。该方案中应包括施工安全管理组织、职责与义务、现场监护方案、事故处理程度等，并制定出切实有效的对策措施，以保证施工过程的安全。</w:t>
            </w:r>
          </w:p>
          <w:p w14:paraId="597B2F6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3）施工前严格审查施工单位的资质，并与施工单位</w:t>
            </w:r>
            <w:r>
              <w:rPr>
                <w:rFonts w:hint="eastAsia" w:ascii="Times New Roman" w:hAnsi="Times New Roman" w:eastAsia="宋体" w:cs="Times New Roman"/>
                <w:color w:val="auto"/>
                <w:sz w:val="18"/>
                <w:szCs w:val="18"/>
                <w:lang w:eastAsia="zh-CN"/>
              </w:rPr>
              <w:t>签订</w:t>
            </w:r>
            <w:r>
              <w:rPr>
                <w:rFonts w:hint="eastAsia" w:ascii="Times New Roman" w:hAnsi="Times New Roman" w:eastAsia="宋体" w:cs="Times New Roman"/>
                <w:color w:val="auto"/>
                <w:sz w:val="18"/>
                <w:szCs w:val="18"/>
              </w:rPr>
              <w:t>施工安全管理协议。</w:t>
            </w:r>
          </w:p>
          <w:p w14:paraId="54DAA95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4）加强施工过程中的安全监督管理，切实履行好业主单位在安全方面的协调和监管责任。</w:t>
            </w:r>
          </w:p>
          <w:p w14:paraId="6CAF267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5）加强施工过程中安全、消防、职业卫生设施安装</w:t>
            </w:r>
            <w:r>
              <w:rPr>
                <w:rFonts w:hint="eastAsia" w:ascii="Times New Roman" w:hAnsi="Times New Roman" w:eastAsia="宋体" w:cs="Times New Roman"/>
                <w:color w:val="auto"/>
                <w:sz w:val="18"/>
                <w:szCs w:val="18"/>
                <w:lang w:eastAsia="zh-CN"/>
              </w:rPr>
              <w:t>质量</w:t>
            </w:r>
            <w:r>
              <w:rPr>
                <w:rFonts w:hint="eastAsia" w:ascii="Times New Roman" w:hAnsi="Times New Roman" w:eastAsia="宋体" w:cs="Times New Roman"/>
                <w:color w:val="auto"/>
                <w:sz w:val="18"/>
                <w:szCs w:val="18"/>
              </w:rPr>
              <w:t>的监督，确保上述设施能与主体工程同时施工。</w:t>
            </w:r>
          </w:p>
          <w:p w14:paraId="5B9046A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6）拆除施工安全防范措施和建议</w:t>
            </w:r>
          </w:p>
          <w:p w14:paraId="711C41D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①拆除油罐的防范措施</w:t>
            </w:r>
          </w:p>
          <w:p w14:paraId="0572B4D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加油站在拆除油罐前应对油罐进行清洗、置换处理，用水泵将油罐注满水后将法兰连接处用专用工具卸开，将水抽出后，将油罐加注氮气并密封，用吊车将油罐吊出、运走。</w:t>
            </w:r>
          </w:p>
          <w:p w14:paraId="52E06A4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在拆除油罐时应对油罐所有管道接口采用法兰盲板封堵密封，电气线路需全部拆除断开；并在罐区周围超挖部分进行放坡处理，必要时采用钢板桩支护，防止罐区周围土方坍塌。</w:t>
            </w:r>
          </w:p>
          <w:p w14:paraId="3FAD3ECF">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在油罐吊装前对起重吊具进行安全检查确认，确保处于完好状态（如：吊钩保险扣是否有效、钢丝绳是否有断丝断股现象、U型环是否有滑丝脱扣现象），起重作业时必须明确指挥人员，指挥人员应佩戴明显的标志，避免从事起重作业时由于操作失误、设备故障等发生油罐撞人、脱钩砸人等机械伤害事故。</w:t>
            </w:r>
          </w:p>
          <w:p w14:paraId="583F121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在油罐拆除前若人员进入油罐需对管内气体成分检测、分析，专人监护；</w:t>
            </w:r>
          </w:p>
          <w:p w14:paraId="38338311">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原有埋地油罐的抗浮措施拆除。抗浮措施一般是两种：地脚螺栓抗浮或抱箍抗浮。切割宜采用冷切割。</w:t>
            </w:r>
          </w:p>
          <w:p w14:paraId="6027DAA0">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②拆除管线的防范措施</w:t>
            </w:r>
          </w:p>
          <w:p w14:paraId="59BF037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用水泵对管道上水冲洗，冲洗完成后再用压风机对管道进行吹扫，吹出管道内的水；</w:t>
            </w:r>
          </w:p>
          <w:p w14:paraId="651431C7">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用压风机对管道进行吹扫，吹出管道内残留的油污。可进行多次吹扫，在出口放一白布，白布上无油污为合格；</w:t>
            </w:r>
          </w:p>
          <w:p w14:paraId="5BC8D74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拆除管线宜采用冷切割，可用锯进行切割；</w:t>
            </w:r>
          </w:p>
          <w:p w14:paraId="4721631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人孔井内卸油、发油、通气管线的法兰短管拆除前，法兰下方应放置铝盆、铝桶盛接管内存油，避免油</w:t>
            </w:r>
            <w:r>
              <w:rPr>
                <w:rFonts w:hint="eastAsia" w:ascii="Times New Roman" w:hAnsi="Times New Roman" w:eastAsia="宋体" w:cs="Times New Roman"/>
                <w:color w:val="auto"/>
                <w:sz w:val="18"/>
                <w:szCs w:val="18"/>
                <w:lang w:eastAsia="zh-CN"/>
              </w:rPr>
              <w:t>蒸气流散</w:t>
            </w:r>
            <w:r>
              <w:rPr>
                <w:rFonts w:hint="eastAsia" w:ascii="Times New Roman" w:hAnsi="Times New Roman" w:eastAsia="宋体" w:cs="Times New Roman"/>
                <w:color w:val="auto"/>
                <w:sz w:val="18"/>
                <w:szCs w:val="18"/>
              </w:rPr>
              <w:t>，污染环境和造成安全隐患。</w:t>
            </w:r>
          </w:p>
          <w:p w14:paraId="29F1CA98">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7）受限空间作业防范措施和建议</w:t>
            </w:r>
          </w:p>
          <w:p w14:paraId="6374ADEE">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 xml:space="preserve">加油站在储油罐安装、检修及清罐作业，工人进入限定性空间作业，首先要经清洗置换，并经分析化验合格，办理进罐作业票，再经主要负责人签认，才能进行入罐、并检修作业，作业时间超过2小时，必须再次进行分析；     </w:t>
            </w:r>
          </w:p>
          <w:p w14:paraId="4A3D74DC">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现场必须有人监护，不得在无人监护的情况下作业，确保入罐作业的安全；监护人必须接受 过此类专业的培训，熟悉作业区域的环境，工艺、有判断和处理突发情况的能力。</w:t>
            </w:r>
          </w:p>
          <w:p w14:paraId="4269AD4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8）动火作业防范措施和建议</w:t>
            </w:r>
          </w:p>
          <w:p w14:paraId="30B9513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动火作业前需按照审批程序和权限填报《加油站用火审批单》；</w:t>
            </w:r>
          </w:p>
          <w:p w14:paraId="1517B34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动火前必须对动火点进行油气浓度进行检测，油气浓度在爆炸下限的20%</w:t>
            </w:r>
            <w:r>
              <w:rPr>
                <w:rFonts w:hint="eastAsia" w:ascii="Times New Roman" w:hAnsi="Times New Roman" w:eastAsia="宋体" w:cs="Times New Roman"/>
                <w:color w:val="auto"/>
                <w:sz w:val="18"/>
                <w:szCs w:val="18"/>
                <w:lang w:eastAsia="zh-CN"/>
              </w:rPr>
              <w:t>以下</w:t>
            </w:r>
            <w:r>
              <w:rPr>
                <w:rFonts w:hint="eastAsia" w:ascii="Times New Roman" w:hAnsi="Times New Roman" w:eastAsia="宋体" w:cs="Times New Roman"/>
                <w:color w:val="auto"/>
                <w:sz w:val="18"/>
                <w:szCs w:val="18"/>
              </w:rPr>
              <w:t>时方可动火，油气浓度检测合格后，在动火期间应随时检测，动火停止超过一个小时，必须重新检测；</w:t>
            </w:r>
          </w:p>
          <w:p w14:paraId="5B44357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动火现场要按要求配备足够的消防设施和消防器材，必要时通知消防车现场防护；</w:t>
            </w:r>
          </w:p>
          <w:p w14:paraId="029C503D">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动火完工后，需对动火现场认真检查，确认无火种存在，动火设备、工具及其他物品清理后，方可离开。</w:t>
            </w:r>
          </w:p>
        </w:tc>
        <w:tc>
          <w:tcPr>
            <w:tcW w:w="1593" w:type="dxa"/>
            <w:noWrap w:val="0"/>
            <w:vAlign w:val="center"/>
          </w:tcPr>
          <w:p w14:paraId="7516236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按要求施工</w:t>
            </w:r>
          </w:p>
        </w:tc>
        <w:tc>
          <w:tcPr>
            <w:tcW w:w="825" w:type="dxa"/>
            <w:noWrap w:val="0"/>
            <w:vAlign w:val="center"/>
          </w:tcPr>
          <w:p w14:paraId="22DEBCB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r w14:paraId="687746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626" w:type="dxa"/>
            <w:noWrap w:val="0"/>
            <w:vAlign w:val="center"/>
          </w:tcPr>
          <w:p w14:paraId="270531A6">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c>
          <w:tcPr>
            <w:tcW w:w="8503" w:type="dxa"/>
            <w:gridSpan w:val="3"/>
            <w:noWrap w:val="0"/>
            <w:vAlign w:val="center"/>
          </w:tcPr>
          <w:p w14:paraId="5959AD39">
            <w:pPr>
              <w:keepNext w:val="0"/>
              <w:keepLines w:val="0"/>
              <w:widowControl/>
              <w:suppressLineNumbers w:val="0"/>
              <w:spacing w:before="0" w:beforeAutospacing="0" w:after="0" w:afterAutospacing="0" w:line="240" w:lineRule="auto"/>
              <w:ind w:left="0" w:right="0"/>
              <w:jc w:val="center"/>
              <w:rPr>
                <w:rFonts w:hint="eastAsia" w:ascii="Times New Roman" w:hAnsi="Times New Roman" w:cs="Times New Roman"/>
                <w:color w:val="auto"/>
                <w:sz w:val="18"/>
                <w:szCs w:val="18"/>
                <w:lang w:val="en-US" w:eastAsia="zh-CN"/>
              </w:rPr>
            </w:pPr>
            <w:r>
              <w:rPr>
                <w:rFonts w:hint="eastAsia" w:ascii="Times New Roman" w:hAnsi="Times New Roman" w:eastAsia="宋体" w:cs="Times New Roman"/>
                <w:b/>
                <w:bCs/>
                <w:color w:val="auto"/>
                <w:sz w:val="18"/>
                <w:szCs w:val="18"/>
              </w:rPr>
              <w:t>4.8.</w:t>
            </w:r>
            <w:r>
              <w:rPr>
                <w:rFonts w:hint="eastAsia" w:ascii="Times New Roman" w:hAnsi="Times New Roman" w:eastAsia="宋体" w:cs="Times New Roman"/>
                <w:b/>
                <w:bCs/>
                <w:color w:val="auto"/>
                <w:sz w:val="18"/>
                <w:szCs w:val="18"/>
                <w:lang w:val="en-US" w:eastAsia="zh-CN"/>
              </w:rPr>
              <w:t>5</w:t>
            </w:r>
            <w:r>
              <w:rPr>
                <w:rFonts w:hint="eastAsia" w:ascii="Times New Roman" w:hAnsi="Times New Roman" w:eastAsia="宋体" w:cs="Times New Roman"/>
                <w:b/>
                <w:bCs/>
                <w:color w:val="auto"/>
                <w:sz w:val="18"/>
                <w:szCs w:val="18"/>
              </w:rPr>
              <w:t>对安全管理机构设计及人员配备的建议</w:t>
            </w:r>
          </w:p>
        </w:tc>
      </w:tr>
      <w:tr w14:paraId="71FE3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626" w:type="dxa"/>
            <w:noWrap w:val="0"/>
            <w:vAlign w:val="center"/>
          </w:tcPr>
          <w:p w14:paraId="2385253F">
            <w:pPr>
              <w:keepNext w:val="0"/>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1</w:t>
            </w:r>
          </w:p>
        </w:tc>
        <w:tc>
          <w:tcPr>
            <w:tcW w:w="6085" w:type="dxa"/>
            <w:noWrap w:val="0"/>
            <w:vAlign w:val="center"/>
          </w:tcPr>
          <w:p w14:paraId="18A728D6">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原有加油站设置了安全管理机构及安全管理制度。</w:t>
            </w:r>
          </w:p>
          <w:p w14:paraId="2CFC19BA">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加油站根据国家相关要求并结合加油站实际情况，组织制定了以下安全管理制度，见下表。</w:t>
            </w:r>
          </w:p>
          <w:tbl>
            <w:tblPr>
              <w:tblStyle w:val="48"/>
              <w:tblW w:w="595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2592"/>
              <w:gridCol w:w="521"/>
              <w:gridCol w:w="2386"/>
            </w:tblGrid>
            <w:tr w14:paraId="4D6C92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blHeader/>
                <w:jc w:val="center"/>
              </w:trPr>
              <w:tc>
                <w:tcPr>
                  <w:tcW w:w="459" w:type="dxa"/>
                  <w:noWrap w:val="0"/>
                  <w:vAlign w:val="center"/>
                </w:tcPr>
                <w:p w14:paraId="27C162AE">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snapToGrid w:val="0"/>
                      <w:color w:val="auto"/>
                      <w:kern w:val="0"/>
                      <w:sz w:val="16"/>
                      <w:szCs w:val="16"/>
                    </w:rPr>
                  </w:pPr>
                  <w:r>
                    <w:rPr>
                      <w:rFonts w:hint="default" w:ascii="Times New Roman" w:hAnsi="Times New Roman" w:eastAsia="宋体" w:cs="Times New Roman"/>
                      <w:b/>
                      <w:bCs/>
                      <w:snapToGrid w:val="0"/>
                      <w:color w:val="auto"/>
                      <w:kern w:val="0"/>
                      <w:sz w:val="16"/>
                      <w:szCs w:val="16"/>
                    </w:rPr>
                    <w:t>序号</w:t>
                  </w:r>
                </w:p>
              </w:tc>
              <w:tc>
                <w:tcPr>
                  <w:tcW w:w="2592" w:type="dxa"/>
                  <w:noWrap w:val="0"/>
                  <w:vAlign w:val="center"/>
                </w:tcPr>
                <w:p w14:paraId="4ED8828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snapToGrid w:val="0"/>
                      <w:color w:val="auto"/>
                      <w:kern w:val="0"/>
                      <w:sz w:val="16"/>
                      <w:szCs w:val="16"/>
                    </w:rPr>
                  </w:pPr>
                  <w:r>
                    <w:rPr>
                      <w:rFonts w:hint="default" w:ascii="Times New Roman" w:hAnsi="Times New Roman" w:eastAsia="宋体" w:cs="Times New Roman"/>
                      <w:b/>
                      <w:bCs/>
                      <w:snapToGrid w:val="0"/>
                      <w:color w:val="auto"/>
                      <w:kern w:val="0"/>
                      <w:sz w:val="16"/>
                      <w:szCs w:val="16"/>
                    </w:rPr>
                    <w:t>安全管理制度</w:t>
                  </w:r>
                </w:p>
              </w:tc>
              <w:tc>
                <w:tcPr>
                  <w:tcW w:w="521" w:type="dxa"/>
                  <w:noWrap w:val="0"/>
                  <w:vAlign w:val="center"/>
                </w:tcPr>
                <w:p w14:paraId="53E23081">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snapToGrid w:val="0"/>
                      <w:color w:val="auto"/>
                      <w:kern w:val="0"/>
                      <w:sz w:val="16"/>
                      <w:szCs w:val="16"/>
                    </w:rPr>
                  </w:pPr>
                  <w:r>
                    <w:rPr>
                      <w:rFonts w:hint="default" w:ascii="Times New Roman" w:hAnsi="Times New Roman" w:eastAsia="宋体" w:cs="Times New Roman"/>
                      <w:b/>
                      <w:bCs/>
                      <w:snapToGrid w:val="0"/>
                      <w:color w:val="auto"/>
                      <w:kern w:val="0"/>
                      <w:sz w:val="16"/>
                      <w:szCs w:val="16"/>
                    </w:rPr>
                    <w:t>序号</w:t>
                  </w:r>
                </w:p>
              </w:tc>
              <w:tc>
                <w:tcPr>
                  <w:tcW w:w="2386" w:type="dxa"/>
                  <w:noWrap w:val="0"/>
                  <w:vAlign w:val="center"/>
                </w:tcPr>
                <w:p w14:paraId="68C13F4E">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bCs/>
                      <w:snapToGrid w:val="0"/>
                      <w:color w:val="auto"/>
                      <w:kern w:val="0"/>
                      <w:sz w:val="16"/>
                      <w:szCs w:val="16"/>
                    </w:rPr>
                  </w:pPr>
                  <w:r>
                    <w:rPr>
                      <w:rFonts w:hint="default" w:ascii="Times New Roman" w:hAnsi="Times New Roman" w:eastAsia="宋体" w:cs="Times New Roman"/>
                      <w:b/>
                      <w:bCs/>
                      <w:snapToGrid w:val="0"/>
                      <w:color w:val="auto"/>
                      <w:kern w:val="0"/>
                      <w:sz w:val="16"/>
                      <w:szCs w:val="16"/>
                    </w:rPr>
                    <w:t>安全管理制度</w:t>
                  </w:r>
                </w:p>
              </w:tc>
            </w:tr>
            <w:tr w14:paraId="1566861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1F4AD4F9">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w:t>
                  </w:r>
                </w:p>
              </w:tc>
              <w:tc>
                <w:tcPr>
                  <w:tcW w:w="2592" w:type="dxa"/>
                  <w:noWrap w:val="0"/>
                  <w:vAlign w:val="center"/>
                </w:tcPr>
                <w:p w14:paraId="3A21AF4A">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安全生产责任制</w:t>
                  </w:r>
                </w:p>
              </w:tc>
              <w:tc>
                <w:tcPr>
                  <w:tcW w:w="521" w:type="dxa"/>
                  <w:noWrap w:val="0"/>
                  <w:vAlign w:val="center"/>
                </w:tcPr>
                <w:p w14:paraId="66E6696D">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w:t>
                  </w:r>
                </w:p>
              </w:tc>
              <w:tc>
                <w:tcPr>
                  <w:tcW w:w="2386" w:type="dxa"/>
                  <w:noWrap w:val="0"/>
                  <w:vAlign w:val="center"/>
                </w:tcPr>
                <w:p w14:paraId="62095EF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安全生产奖惩制度</w:t>
                  </w:r>
                </w:p>
              </w:tc>
            </w:tr>
            <w:tr w14:paraId="4E8869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459" w:type="dxa"/>
                  <w:noWrap w:val="0"/>
                  <w:vAlign w:val="center"/>
                </w:tcPr>
                <w:p w14:paraId="43806D71">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3</w:t>
                  </w:r>
                </w:p>
              </w:tc>
              <w:tc>
                <w:tcPr>
                  <w:tcW w:w="2592" w:type="dxa"/>
                  <w:noWrap w:val="0"/>
                  <w:vAlign w:val="center"/>
                </w:tcPr>
                <w:p w14:paraId="4613D511">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领导干部带班（值班）制度</w:t>
                  </w:r>
                </w:p>
              </w:tc>
              <w:tc>
                <w:tcPr>
                  <w:tcW w:w="521" w:type="dxa"/>
                  <w:noWrap w:val="0"/>
                  <w:vAlign w:val="center"/>
                </w:tcPr>
                <w:p w14:paraId="62A0CCCC">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4</w:t>
                  </w:r>
                </w:p>
              </w:tc>
              <w:tc>
                <w:tcPr>
                  <w:tcW w:w="2386" w:type="dxa"/>
                  <w:noWrap w:val="0"/>
                  <w:vAlign w:val="center"/>
                </w:tcPr>
                <w:p w14:paraId="1769BD89">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安全生产会议（活动）管理制度</w:t>
                  </w:r>
                </w:p>
              </w:tc>
            </w:tr>
            <w:tr w14:paraId="37F6AC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553755A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5</w:t>
                  </w:r>
                </w:p>
              </w:tc>
              <w:tc>
                <w:tcPr>
                  <w:tcW w:w="2592" w:type="dxa"/>
                  <w:noWrap w:val="0"/>
                  <w:vAlign w:val="center"/>
                </w:tcPr>
                <w:p w14:paraId="0817BBD6">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安全投入保障制度</w:t>
                  </w:r>
                </w:p>
              </w:tc>
              <w:tc>
                <w:tcPr>
                  <w:tcW w:w="521" w:type="dxa"/>
                  <w:noWrap w:val="0"/>
                  <w:vAlign w:val="center"/>
                </w:tcPr>
                <w:p w14:paraId="461B9128">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6</w:t>
                  </w:r>
                </w:p>
              </w:tc>
              <w:tc>
                <w:tcPr>
                  <w:tcW w:w="2386" w:type="dxa"/>
                  <w:noWrap w:val="0"/>
                  <w:vAlign w:val="center"/>
                </w:tcPr>
                <w:p w14:paraId="0B43DD58">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隐患排查治理制度</w:t>
                  </w:r>
                </w:p>
              </w:tc>
            </w:tr>
            <w:tr w14:paraId="7DC12F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jc w:val="center"/>
              </w:trPr>
              <w:tc>
                <w:tcPr>
                  <w:tcW w:w="459" w:type="dxa"/>
                  <w:noWrap w:val="0"/>
                  <w:vAlign w:val="center"/>
                </w:tcPr>
                <w:p w14:paraId="3BBBAD04">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7</w:t>
                  </w:r>
                </w:p>
              </w:tc>
              <w:tc>
                <w:tcPr>
                  <w:tcW w:w="2592" w:type="dxa"/>
                  <w:noWrap w:val="0"/>
                  <w:vAlign w:val="center"/>
                </w:tcPr>
                <w:p w14:paraId="4F895838">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安全生产教育培训制度</w:t>
                  </w:r>
                </w:p>
              </w:tc>
              <w:tc>
                <w:tcPr>
                  <w:tcW w:w="521" w:type="dxa"/>
                  <w:noWrap w:val="0"/>
                  <w:vAlign w:val="center"/>
                </w:tcPr>
                <w:p w14:paraId="17BDD63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8</w:t>
                  </w:r>
                </w:p>
              </w:tc>
              <w:tc>
                <w:tcPr>
                  <w:tcW w:w="2386" w:type="dxa"/>
                  <w:noWrap w:val="0"/>
                  <w:vAlign w:val="center"/>
                </w:tcPr>
                <w:p w14:paraId="4284113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危化品购销管理制度</w:t>
                  </w:r>
                </w:p>
              </w:tc>
            </w:tr>
            <w:tr w14:paraId="258291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22B20F65">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9</w:t>
                  </w:r>
                </w:p>
              </w:tc>
              <w:tc>
                <w:tcPr>
                  <w:tcW w:w="2592" w:type="dxa"/>
                  <w:noWrap w:val="0"/>
                  <w:vAlign w:val="center"/>
                </w:tcPr>
                <w:p w14:paraId="5678C6EA">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应急管理制度</w:t>
                  </w:r>
                </w:p>
              </w:tc>
              <w:tc>
                <w:tcPr>
                  <w:tcW w:w="521" w:type="dxa"/>
                  <w:noWrap w:val="0"/>
                  <w:vAlign w:val="center"/>
                </w:tcPr>
                <w:p w14:paraId="3FA2DA31">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10</w:t>
                  </w:r>
                </w:p>
              </w:tc>
              <w:tc>
                <w:tcPr>
                  <w:tcW w:w="2386" w:type="dxa"/>
                  <w:noWrap w:val="0"/>
                  <w:vAlign w:val="center"/>
                </w:tcPr>
                <w:p w14:paraId="2636B9F8">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事故管理制度</w:t>
                  </w:r>
                </w:p>
              </w:tc>
            </w:tr>
            <w:tr w14:paraId="0EC3D8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6F7FBF4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11</w:t>
                  </w:r>
                </w:p>
              </w:tc>
              <w:tc>
                <w:tcPr>
                  <w:tcW w:w="2592" w:type="dxa"/>
                  <w:noWrap w:val="0"/>
                  <w:vAlign w:val="center"/>
                </w:tcPr>
                <w:p w14:paraId="73A5CC1F">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安全风险管理制度</w:t>
                  </w:r>
                </w:p>
              </w:tc>
              <w:tc>
                <w:tcPr>
                  <w:tcW w:w="521" w:type="dxa"/>
                  <w:noWrap w:val="0"/>
                  <w:vAlign w:val="center"/>
                </w:tcPr>
                <w:p w14:paraId="1CF35169">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12</w:t>
                  </w:r>
                </w:p>
              </w:tc>
              <w:tc>
                <w:tcPr>
                  <w:tcW w:w="2386" w:type="dxa"/>
                  <w:noWrap w:val="0"/>
                  <w:vAlign w:val="center"/>
                </w:tcPr>
                <w:p w14:paraId="3EF9632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职业卫生管理制度</w:t>
                  </w:r>
                </w:p>
              </w:tc>
            </w:tr>
            <w:tr w14:paraId="366AD9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459" w:type="dxa"/>
                  <w:noWrap w:val="0"/>
                  <w:vAlign w:val="center"/>
                </w:tcPr>
                <w:p w14:paraId="2682F98A">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13</w:t>
                  </w:r>
                </w:p>
              </w:tc>
              <w:tc>
                <w:tcPr>
                  <w:tcW w:w="2592" w:type="dxa"/>
                  <w:noWrap w:val="0"/>
                  <w:vAlign w:val="center"/>
                </w:tcPr>
                <w:p w14:paraId="56558C4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成品油安全管理制度</w:t>
                  </w:r>
                </w:p>
              </w:tc>
              <w:tc>
                <w:tcPr>
                  <w:tcW w:w="521" w:type="dxa"/>
                  <w:noWrap w:val="0"/>
                  <w:vAlign w:val="center"/>
                </w:tcPr>
                <w:p w14:paraId="6061442A">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14</w:t>
                  </w:r>
                </w:p>
              </w:tc>
              <w:tc>
                <w:tcPr>
                  <w:tcW w:w="2386" w:type="dxa"/>
                  <w:noWrap w:val="0"/>
                  <w:vAlign w:val="center"/>
                </w:tcPr>
                <w:p w14:paraId="47329E3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危险作业安全管理制度</w:t>
                  </w:r>
                </w:p>
              </w:tc>
            </w:tr>
            <w:tr w14:paraId="673A14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4C253FE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15</w:t>
                  </w:r>
                </w:p>
              </w:tc>
              <w:tc>
                <w:tcPr>
                  <w:tcW w:w="2592" w:type="dxa"/>
                  <w:noWrap w:val="0"/>
                  <w:vAlign w:val="center"/>
                </w:tcPr>
                <w:p w14:paraId="683CE8DE">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防泄漏管理制度</w:t>
                  </w:r>
                </w:p>
              </w:tc>
              <w:tc>
                <w:tcPr>
                  <w:tcW w:w="521" w:type="dxa"/>
                  <w:noWrap w:val="0"/>
                  <w:vAlign w:val="center"/>
                </w:tcPr>
                <w:p w14:paraId="4691230C">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16</w:t>
                  </w:r>
                </w:p>
              </w:tc>
              <w:tc>
                <w:tcPr>
                  <w:tcW w:w="2386" w:type="dxa"/>
                  <w:noWrap w:val="0"/>
                  <w:vAlign w:val="center"/>
                </w:tcPr>
                <w:p w14:paraId="5FBC8D7C">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消防管理制度</w:t>
                  </w:r>
                </w:p>
              </w:tc>
            </w:tr>
            <w:tr w14:paraId="7A512F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459" w:type="dxa"/>
                  <w:noWrap w:val="0"/>
                  <w:vAlign w:val="center"/>
                </w:tcPr>
                <w:p w14:paraId="49F07C36">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17</w:t>
                  </w:r>
                </w:p>
              </w:tc>
              <w:tc>
                <w:tcPr>
                  <w:tcW w:w="2592" w:type="dxa"/>
                  <w:noWrap w:val="0"/>
                  <w:vAlign w:val="center"/>
                </w:tcPr>
                <w:p w14:paraId="161A99EE">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关键装置及重点部位安全管理制度</w:t>
                  </w:r>
                </w:p>
              </w:tc>
              <w:tc>
                <w:tcPr>
                  <w:tcW w:w="521" w:type="dxa"/>
                  <w:noWrap w:val="0"/>
                  <w:vAlign w:val="center"/>
                </w:tcPr>
                <w:p w14:paraId="009B1960">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 xml:space="preserve">18 </w:t>
                  </w:r>
                </w:p>
              </w:tc>
              <w:tc>
                <w:tcPr>
                  <w:tcW w:w="2386" w:type="dxa"/>
                  <w:noWrap w:val="0"/>
                  <w:vAlign w:val="center"/>
                </w:tcPr>
                <w:p w14:paraId="0E619D19">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安全检查管理制度</w:t>
                  </w:r>
                </w:p>
              </w:tc>
            </w:tr>
            <w:tr w14:paraId="280AE42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459" w:type="dxa"/>
                  <w:noWrap w:val="0"/>
                  <w:vAlign w:val="center"/>
                </w:tcPr>
                <w:p w14:paraId="20921042">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19</w:t>
                  </w:r>
                </w:p>
              </w:tc>
              <w:tc>
                <w:tcPr>
                  <w:tcW w:w="2592" w:type="dxa"/>
                  <w:noWrap w:val="0"/>
                  <w:vAlign w:val="center"/>
                </w:tcPr>
                <w:p w14:paraId="21B36A5B">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设备、设施检维护安全管理制度</w:t>
                  </w:r>
                </w:p>
              </w:tc>
              <w:tc>
                <w:tcPr>
                  <w:tcW w:w="521" w:type="dxa"/>
                  <w:noWrap w:val="0"/>
                  <w:vAlign w:val="center"/>
                </w:tcPr>
                <w:p w14:paraId="05F53C67">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20</w:t>
                  </w:r>
                </w:p>
              </w:tc>
              <w:tc>
                <w:tcPr>
                  <w:tcW w:w="2386" w:type="dxa"/>
                  <w:noWrap w:val="0"/>
                  <w:vAlign w:val="center"/>
                </w:tcPr>
                <w:p w14:paraId="5A3E7025">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劳动保护用品管理制度</w:t>
                  </w:r>
                </w:p>
              </w:tc>
            </w:tr>
            <w:tr w14:paraId="3FE00F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59" w:type="dxa"/>
                  <w:noWrap w:val="0"/>
                  <w:vAlign w:val="center"/>
                </w:tcPr>
                <w:p w14:paraId="5E53F854">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21</w:t>
                  </w:r>
                </w:p>
              </w:tc>
              <w:tc>
                <w:tcPr>
                  <w:tcW w:w="2592" w:type="dxa"/>
                  <w:noWrap w:val="0"/>
                  <w:vAlign w:val="center"/>
                </w:tcPr>
                <w:p w14:paraId="2077453F">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监视和测量设备管理制度</w:t>
                  </w:r>
                </w:p>
              </w:tc>
              <w:tc>
                <w:tcPr>
                  <w:tcW w:w="521" w:type="dxa"/>
                  <w:noWrap w:val="0"/>
                  <w:vAlign w:val="center"/>
                </w:tcPr>
                <w:p w14:paraId="4D25B9F9">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22</w:t>
                  </w:r>
                </w:p>
              </w:tc>
              <w:tc>
                <w:tcPr>
                  <w:tcW w:w="2386" w:type="dxa"/>
                  <w:noWrap w:val="0"/>
                  <w:vAlign w:val="center"/>
                </w:tcPr>
                <w:p w14:paraId="6BEA97AE">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安全管理规章制度评审和修订管理制度</w:t>
                  </w:r>
                </w:p>
              </w:tc>
            </w:tr>
            <w:tr w14:paraId="199227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9" w:type="dxa"/>
                  <w:noWrap w:val="0"/>
                  <w:vAlign w:val="center"/>
                </w:tcPr>
                <w:p w14:paraId="12217AD8">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23</w:t>
                  </w:r>
                </w:p>
              </w:tc>
              <w:tc>
                <w:tcPr>
                  <w:tcW w:w="2592" w:type="dxa"/>
                  <w:noWrap w:val="0"/>
                  <w:vAlign w:val="center"/>
                </w:tcPr>
                <w:p w14:paraId="4A01AFD5">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安全用电管理制度</w:t>
                  </w:r>
                </w:p>
              </w:tc>
              <w:tc>
                <w:tcPr>
                  <w:tcW w:w="521" w:type="dxa"/>
                  <w:noWrap w:val="0"/>
                  <w:vAlign w:val="center"/>
                </w:tcPr>
                <w:p w14:paraId="08BB32AF">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24</w:t>
                  </w:r>
                </w:p>
              </w:tc>
              <w:tc>
                <w:tcPr>
                  <w:tcW w:w="2386" w:type="dxa"/>
                  <w:noWrap w:val="0"/>
                  <w:vAlign w:val="center"/>
                </w:tcPr>
                <w:p w14:paraId="3DDF5F24">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防火、防爆管理制度</w:t>
                  </w:r>
                </w:p>
              </w:tc>
            </w:tr>
            <w:tr w14:paraId="0E57F5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459" w:type="dxa"/>
                  <w:noWrap w:val="0"/>
                  <w:vAlign w:val="center"/>
                </w:tcPr>
                <w:p w14:paraId="6912460A">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25</w:t>
                  </w:r>
                </w:p>
              </w:tc>
              <w:tc>
                <w:tcPr>
                  <w:tcW w:w="2592" w:type="dxa"/>
                  <w:noWrap w:val="0"/>
                  <w:vAlign w:val="center"/>
                </w:tcPr>
                <w:p w14:paraId="57ACAE0F">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r>
                    <w:rPr>
                      <w:rFonts w:hint="default" w:ascii="Times New Roman" w:hAnsi="Times New Roman" w:eastAsia="宋体" w:cs="Times New Roman"/>
                      <w:snapToGrid w:val="0"/>
                      <w:color w:val="auto"/>
                      <w:kern w:val="0"/>
                      <w:sz w:val="16"/>
                      <w:szCs w:val="16"/>
                    </w:rPr>
                    <w:t>防中毒管理制度</w:t>
                  </w:r>
                </w:p>
              </w:tc>
              <w:tc>
                <w:tcPr>
                  <w:tcW w:w="521" w:type="dxa"/>
                  <w:noWrap w:val="0"/>
                  <w:vAlign w:val="center"/>
                </w:tcPr>
                <w:p w14:paraId="5183DC5C">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p>
              </w:tc>
              <w:tc>
                <w:tcPr>
                  <w:tcW w:w="2386" w:type="dxa"/>
                  <w:noWrap w:val="0"/>
                  <w:vAlign w:val="center"/>
                </w:tcPr>
                <w:p w14:paraId="29F0A591">
                  <w:pPr>
                    <w:keepNext w:val="0"/>
                    <w:keepLines w:val="0"/>
                    <w:widowControl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snapToGrid w:val="0"/>
                      <w:color w:val="auto"/>
                      <w:kern w:val="0"/>
                      <w:sz w:val="16"/>
                      <w:szCs w:val="16"/>
                    </w:rPr>
                  </w:pPr>
                </w:p>
              </w:tc>
            </w:tr>
          </w:tbl>
          <w:p w14:paraId="61D4640A">
            <w:pPr>
              <w:keepNext w:val="0"/>
              <w:keepLines w:val="0"/>
              <w:widowControl/>
              <w:suppressLineNumbers w:val="0"/>
              <w:adjustRightInd w:val="0"/>
              <w:snapToGrid w:val="0"/>
              <w:spacing w:before="0" w:beforeAutospacing="0" w:after="0" w:afterAutospacing="0"/>
              <w:ind w:left="0" w:right="0"/>
              <w:rPr>
                <w:rFonts w:hint="eastAsia" w:ascii="Times New Roman" w:hAnsi="Times New Roman" w:cs="Times New Roman"/>
                <w:color w:val="auto"/>
                <w:sz w:val="18"/>
                <w:szCs w:val="18"/>
              </w:rPr>
            </w:pPr>
          </w:p>
        </w:tc>
        <w:tc>
          <w:tcPr>
            <w:tcW w:w="1593" w:type="dxa"/>
            <w:noWrap w:val="0"/>
            <w:vAlign w:val="center"/>
          </w:tcPr>
          <w:p w14:paraId="444DE704">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cs="Times New Roman"/>
                <w:color w:val="auto"/>
                <w:sz w:val="18"/>
                <w:szCs w:val="18"/>
                <w:lang w:val="en-US" w:eastAsia="zh-CN"/>
              </w:rPr>
            </w:pPr>
            <w:r>
              <w:rPr>
                <w:rFonts w:hint="eastAsia" w:ascii="Times New Roman" w:hAnsi="Times New Roman" w:eastAsia="宋体" w:cs="Times New Roman"/>
                <w:color w:val="auto"/>
                <w:sz w:val="18"/>
                <w:szCs w:val="18"/>
              </w:rPr>
              <w:t>设</w:t>
            </w:r>
            <w:r>
              <w:rPr>
                <w:rFonts w:hint="eastAsia" w:ascii="Times New Roman" w:hAnsi="Times New Roman" w:eastAsia="宋体" w:cs="Times New Roman"/>
                <w:color w:val="auto"/>
                <w:sz w:val="18"/>
                <w:szCs w:val="18"/>
                <w:lang w:val="en-US" w:eastAsia="zh-CN"/>
              </w:rPr>
              <w:t>有</w:t>
            </w:r>
            <w:r>
              <w:rPr>
                <w:rFonts w:hint="eastAsia" w:ascii="Times New Roman" w:hAnsi="Times New Roman" w:eastAsia="宋体" w:cs="Times New Roman"/>
                <w:color w:val="auto"/>
                <w:sz w:val="18"/>
                <w:szCs w:val="18"/>
              </w:rPr>
              <w:t>安全管理机构及安全管理制度</w:t>
            </w:r>
          </w:p>
        </w:tc>
        <w:tc>
          <w:tcPr>
            <w:tcW w:w="825" w:type="dxa"/>
            <w:noWrap w:val="0"/>
            <w:vAlign w:val="center"/>
          </w:tcPr>
          <w:p w14:paraId="6C75DD6E">
            <w:pPr>
              <w:keepNext w:val="0"/>
              <w:keepLines w:val="0"/>
              <w:widowControl/>
              <w:suppressLineNumbers w:val="0"/>
              <w:spacing w:before="0" w:beforeAutospacing="0" w:after="0" w:afterAutospacing="0"/>
              <w:ind w:left="0" w:right="0"/>
              <w:jc w:val="center"/>
              <w:rPr>
                <w:rFonts w:hint="eastAsia" w:ascii="Times New Roman" w:hAnsi="Times New Roman" w:cs="Times New Roman"/>
                <w:color w:val="auto"/>
                <w:sz w:val="18"/>
                <w:szCs w:val="18"/>
                <w:lang w:val="en-US" w:eastAsia="zh-CN"/>
              </w:rPr>
            </w:pPr>
          </w:p>
        </w:tc>
      </w:tr>
      <w:tr w14:paraId="2CA255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9" w:hRule="atLeast"/>
          <w:jc w:val="center"/>
        </w:trPr>
        <w:tc>
          <w:tcPr>
            <w:tcW w:w="626" w:type="dxa"/>
            <w:noWrap w:val="0"/>
            <w:vAlign w:val="center"/>
          </w:tcPr>
          <w:p w14:paraId="2F09DCF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w:t>
            </w:r>
          </w:p>
        </w:tc>
        <w:tc>
          <w:tcPr>
            <w:tcW w:w="6085" w:type="dxa"/>
            <w:noWrap w:val="0"/>
            <w:vAlign w:val="center"/>
          </w:tcPr>
          <w:p w14:paraId="588D9542">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应急预案演练</w:t>
            </w:r>
          </w:p>
          <w:p w14:paraId="1A90B875">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按照《生产安全事故应急预案管理办法》（国家安全生产监督管理总局令第88号，根据应急管理部第2号令修正）的要求，该加油站根据事故预防的重点，制定了年度应急预案演练计划，至少每半年组织一次生产安全事故应急预案演练，并在演练之前进行了教育和培训，普及了安全事故预防、避险、自救和互救知识。通过应急预案演练，提高了从业人员的安全意识和应急处置能力。</w:t>
            </w:r>
          </w:p>
        </w:tc>
        <w:tc>
          <w:tcPr>
            <w:tcW w:w="1593" w:type="dxa"/>
            <w:noWrap w:val="0"/>
            <w:vAlign w:val="center"/>
          </w:tcPr>
          <w:p w14:paraId="11365E03">
            <w:pPr>
              <w:keepNext w:val="0"/>
              <w:keepLines w:val="0"/>
              <w:widowControl w:val="0"/>
              <w:suppressLineNumbers w:val="0"/>
              <w:adjustRightInd w:val="0"/>
              <w:snapToGrid w:val="0"/>
              <w:spacing w:before="0" w:beforeAutospacing="0" w:after="0" w:afterAutospacing="0" w:line="240" w:lineRule="auto"/>
              <w:ind w:left="0" w:right="0" w:firstLine="0" w:firstLineChars="0"/>
              <w:rPr>
                <w:rFonts w:hint="eastAsia"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rPr>
              <w:t>制定了年度应急预案演练计划，至少每半年组织一次生产安全事故应急预案演练</w:t>
            </w:r>
          </w:p>
        </w:tc>
        <w:tc>
          <w:tcPr>
            <w:tcW w:w="825" w:type="dxa"/>
            <w:noWrap w:val="0"/>
            <w:vAlign w:val="center"/>
          </w:tcPr>
          <w:p w14:paraId="6D1D192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已落实</w:t>
            </w:r>
          </w:p>
        </w:tc>
      </w:tr>
    </w:tbl>
    <w:p w14:paraId="34D92C64">
      <w:pPr>
        <w:pStyle w:val="5"/>
        <w:spacing w:line="360" w:lineRule="auto"/>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7.2.3未采取（用）的安全设施设计的说明</w:t>
      </w:r>
      <w:bookmarkEnd w:id="386"/>
    </w:p>
    <w:p w14:paraId="55A30D11">
      <w:pPr>
        <w:spacing w:line="360" w:lineRule="auto"/>
        <w:ind w:firstLine="560"/>
        <w:rPr>
          <w:rFonts w:hint="default" w:ascii="Times New Roman" w:hAnsi="Times New Roman" w:cs="Times New Roman"/>
          <w:color w:val="auto"/>
          <w:spacing w:val="-6"/>
          <w:sz w:val="28"/>
        </w:rPr>
      </w:pPr>
      <w:r>
        <w:rPr>
          <w:rFonts w:hint="default" w:ascii="Times New Roman" w:hAnsi="Times New Roman" w:cs="Times New Roman"/>
          <w:color w:val="auto"/>
          <w:spacing w:val="-6"/>
          <w:sz w:val="28"/>
        </w:rPr>
        <w:t>该加油站建设项目安全设施设计中涉及的安全设施和措施均已得到采纳。</w:t>
      </w:r>
    </w:p>
    <w:p w14:paraId="77889BA9">
      <w:pPr>
        <w:pStyle w:val="5"/>
        <w:spacing w:line="360" w:lineRule="auto"/>
        <w:ind w:left="0" w:leftChars="0" w:firstLine="0" w:firstLineChars="0"/>
        <w:rPr>
          <w:rFonts w:hint="default" w:ascii="Times New Roman" w:hAnsi="Times New Roman" w:cs="Times New Roman"/>
          <w:color w:val="auto"/>
        </w:rPr>
      </w:pPr>
      <w:bookmarkStart w:id="391" w:name="_Toc15450"/>
      <w:r>
        <w:rPr>
          <w:rFonts w:hint="default" w:ascii="Times New Roman" w:hAnsi="Times New Roman" w:cs="Times New Roman"/>
          <w:color w:val="auto"/>
        </w:rPr>
        <w:t>7.2.4安全生产管理落实情况</w:t>
      </w:r>
      <w:bookmarkEnd w:id="387"/>
      <w:bookmarkEnd w:id="391"/>
    </w:p>
    <w:bookmarkEnd w:id="388"/>
    <w:bookmarkEnd w:id="389"/>
    <w:p w14:paraId="6CBC50F6">
      <w:pPr>
        <w:pStyle w:val="6"/>
        <w:spacing w:line="360" w:lineRule="auto"/>
        <w:ind w:left="0" w:leftChars="0" w:firstLine="0" w:firstLineChars="0"/>
        <w:rPr>
          <w:rFonts w:hint="default" w:ascii="Times New Roman" w:hAnsi="Times New Roman" w:cs="Times New Roman"/>
          <w:color w:val="auto"/>
        </w:rPr>
      </w:pPr>
      <w:bookmarkStart w:id="392" w:name="_Toc2691671"/>
      <w:r>
        <w:rPr>
          <w:rFonts w:hint="default" w:ascii="Times New Roman" w:hAnsi="Times New Roman" w:cs="Times New Roman"/>
          <w:color w:val="auto"/>
        </w:rPr>
        <w:t>7.2.4.</w:t>
      </w:r>
      <w:r>
        <w:rPr>
          <w:rFonts w:hint="default" w:ascii="Times New Roman" w:hAnsi="Times New Roman" w:cs="Times New Roman"/>
          <w:color w:val="auto"/>
          <w:lang w:val="en-US" w:eastAsia="zh-CN"/>
        </w:rPr>
        <w:t>1</w:t>
      </w:r>
      <w:r>
        <w:rPr>
          <w:rFonts w:hint="default" w:ascii="Times New Roman" w:hAnsi="Times New Roman" w:cs="Times New Roman"/>
          <w:color w:val="auto"/>
        </w:rPr>
        <w:t>安全生产管理机构的设置和专职安全生产管理人员的配备情况</w:t>
      </w:r>
      <w:bookmarkEnd w:id="392"/>
    </w:p>
    <w:p w14:paraId="2F86F69C">
      <w:pPr>
        <w:spacing w:line="360" w:lineRule="auto"/>
        <w:ind w:firstLine="560"/>
        <w:rPr>
          <w:rFonts w:hint="default" w:ascii="Times New Roman" w:hAnsi="Times New Roman" w:cs="Times New Roman"/>
          <w:color w:val="auto"/>
          <w:sz w:val="24"/>
        </w:rPr>
      </w:pPr>
      <w:r>
        <w:rPr>
          <w:rFonts w:hint="default" w:ascii="Times New Roman" w:hAnsi="Times New Roman" w:cs="Times New Roman"/>
          <w:color w:val="auto"/>
        </w:rPr>
        <w:t>安全管理组织是安全管理的保证。该加油站建立了以站长为第一责任人的安全生产责任制，并配备有专职安全生产管理人员1人。</w:t>
      </w:r>
    </w:p>
    <w:p w14:paraId="38825DBA">
      <w:pPr>
        <w:pStyle w:val="6"/>
        <w:snapToGrid w:val="0"/>
        <w:spacing w:line="360" w:lineRule="auto"/>
        <w:ind w:left="0" w:leftChars="0" w:firstLine="0" w:firstLineChars="0"/>
        <w:rPr>
          <w:rFonts w:hint="default" w:ascii="Times New Roman" w:hAnsi="Times New Roman" w:cs="Times New Roman"/>
          <w:color w:val="auto"/>
        </w:rPr>
      </w:pPr>
      <w:bookmarkStart w:id="393" w:name="_Toc2691672"/>
      <w:r>
        <w:rPr>
          <w:rFonts w:hint="default" w:ascii="Times New Roman" w:hAnsi="Times New Roman" w:cs="Times New Roman"/>
          <w:color w:val="auto"/>
        </w:rPr>
        <w:t>7.2.4.</w:t>
      </w:r>
      <w:r>
        <w:rPr>
          <w:rFonts w:hint="default" w:ascii="Times New Roman" w:hAnsi="Times New Roman" w:cs="Times New Roman"/>
          <w:color w:val="auto"/>
          <w:lang w:val="en-US" w:eastAsia="zh-CN"/>
        </w:rPr>
        <w:t>2</w:t>
      </w:r>
      <w:r>
        <w:rPr>
          <w:rFonts w:hint="default" w:ascii="Times New Roman" w:hAnsi="Times New Roman" w:cs="Times New Roman"/>
          <w:color w:val="auto"/>
        </w:rPr>
        <w:t>主要负责人、安全管理人员安全生产知识和管理能力</w:t>
      </w:r>
      <w:bookmarkEnd w:id="393"/>
    </w:p>
    <w:p w14:paraId="03C8B1D8">
      <w:pPr>
        <w:spacing w:line="360" w:lineRule="auto"/>
        <w:ind w:firstLine="560"/>
        <w:rPr>
          <w:rFonts w:hint="default" w:ascii="Times New Roman" w:hAnsi="Times New Roman" w:cs="Times New Roman"/>
          <w:color w:val="auto"/>
        </w:rPr>
      </w:pPr>
      <w:bookmarkStart w:id="394" w:name="OLE_LINK56"/>
      <w:bookmarkStart w:id="395" w:name="OLE_LINK55"/>
      <w:bookmarkStart w:id="396" w:name="OLE_LINK68"/>
      <w:r>
        <w:rPr>
          <w:rFonts w:hint="default" w:ascii="Times New Roman" w:hAnsi="Times New Roman" w:cs="Times New Roman"/>
          <w:color w:val="auto"/>
        </w:rPr>
        <w:t>加油站的主要负责人、安全管理人员已经取得了安全生产知识和管理能力考核合格证。其他从业人员依照相关规定经安全生产教育和专业技术培训合格。安全生产教育培训的持证情况见表7.2-</w:t>
      </w:r>
      <w:r>
        <w:rPr>
          <w:rFonts w:hint="eastAsia" w:cs="Times New Roman"/>
          <w:color w:val="auto"/>
          <w:lang w:val="en-US" w:eastAsia="zh-CN"/>
        </w:rPr>
        <w:t>3</w:t>
      </w:r>
      <w:r>
        <w:rPr>
          <w:rFonts w:hint="default" w:ascii="Times New Roman" w:hAnsi="Times New Roman" w:cs="Times New Roman"/>
          <w:color w:val="auto"/>
        </w:rPr>
        <w:t>。</w:t>
      </w:r>
    </w:p>
    <w:p w14:paraId="585EB9FA">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表7.2-</w:t>
      </w: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 xml:space="preserve"> 主要负责人、安全管理人员取得证书一览表</w:t>
      </w:r>
    </w:p>
    <w:bookmarkEnd w:id="394"/>
    <w:bookmarkEnd w:id="395"/>
    <w:bookmarkEnd w:id="396"/>
    <w:tbl>
      <w:tblPr>
        <w:tblStyle w:val="48"/>
        <w:tblW w:w="892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8"/>
        <w:gridCol w:w="971"/>
        <w:gridCol w:w="1934"/>
        <w:gridCol w:w="2234"/>
        <w:gridCol w:w="1200"/>
        <w:gridCol w:w="1919"/>
      </w:tblGrid>
      <w:tr w14:paraId="6AE44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09" w:hRule="atLeast"/>
          <w:jc w:val="center"/>
        </w:trPr>
        <w:tc>
          <w:tcPr>
            <w:tcW w:w="668" w:type="dxa"/>
            <w:noWrap w:val="0"/>
            <w:vAlign w:val="top"/>
          </w:tcPr>
          <w:p w14:paraId="29B88F1D">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bookmarkStart w:id="397" w:name="_Toc2691673"/>
            <w:r>
              <w:rPr>
                <w:rFonts w:hint="default" w:ascii="Times New Roman" w:hAnsi="Times New Roman" w:eastAsia="宋体" w:cs="Times New Roman"/>
                <w:b/>
                <w:bCs/>
                <w:color w:val="auto"/>
                <w:kern w:val="0"/>
                <w:sz w:val="21"/>
                <w:szCs w:val="21"/>
              </w:rPr>
              <w:t>序号</w:t>
            </w:r>
          </w:p>
        </w:tc>
        <w:tc>
          <w:tcPr>
            <w:tcW w:w="971" w:type="dxa"/>
            <w:noWrap w:val="0"/>
            <w:vAlign w:val="center"/>
          </w:tcPr>
          <w:p w14:paraId="6A176D1F">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姓名</w:t>
            </w:r>
          </w:p>
        </w:tc>
        <w:tc>
          <w:tcPr>
            <w:tcW w:w="1934" w:type="dxa"/>
            <w:noWrap w:val="0"/>
            <w:vAlign w:val="center"/>
          </w:tcPr>
          <w:p w14:paraId="6DB62127">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职务</w:t>
            </w:r>
          </w:p>
        </w:tc>
        <w:tc>
          <w:tcPr>
            <w:tcW w:w="2234" w:type="dxa"/>
            <w:noWrap w:val="0"/>
            <w:vAlign w:val="center"/>
          </w:tcPr>
          <w:p w14:paraId="5E0D4734">
            <w:pPr>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证书编号</w:t>
            </w:r>
          </w:p>
        </w:tc>
        <w:tc>
          <w:tcPr>
            <w:tcW w:w="1200" w:type="dxa"/>
            <w:noWrap w:val="0"/>
            <w:vAlign w:val="center"/>
          </w:tcPr>
          <w:p w14:paraId="16E723AB">
            <w:pPr>
              <w:keepNext w:val="0"/>
              <w:keepLines w:val="0"/>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有效期</w:t>
            </w:r>
            <w:r>
              <w:rPr>
                <w:rFonts w:hint="eastAsia" w:ascii="Times New Roman" w:hAnsi="Times New Roman" w:eastAsia="宋体" w:cs="Times New Roman"/>
                <w:b/>
                <w:bCs/>
                <w:color w:val="auto"/>
                <w:kern w:val="0"/>
                <w:sz w:val="21"/>
                <w:szCs w:val="21"/>
              </w:rPr>
              <w:t>至</w:t>
            </w:r>
          </w:p>
        </w:tc>
        <w:tc>
          <w:tcPr>
            <w:tcW w:w="1919" w:type="dxa"/>
            <w:noWrap w:val="0"/>
            <w:vAlign w:val="top"/>
          </w:tcPr>
          <w:p w14:paraId="40F129A1">
            <w:pPr>
              <w:keepNext w:val="0"/>
              <w:keepLines w:val="0"/>
              <w:widowControl/>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kern w:val="0"/>
                <w:sz w:val="21"/>
                <w:szCs w:val="21"/>
                <w:lang w:eastAsia="zh-CN"/>
              </w:rPr>
            </w:pPr>
            <w:r>
              <w:rPr>
                <w:rFonts w:hint="eastAsia" w:ascii="Times New Roman" w:hAnsi="Times New Roman" w:eastAsia="宋体" w:cs="Times New Roman"/>
                <w:b/>
                <w:bCs/>
                <w:color w:val="auto"/>
                <w:kern w:val="0"/>
                <w:sz w:val="21"/>
                <w:szCs w:val="21"/>
                <w:lang w:val="en-US" w:eastAsia="zh-CN"/>
              </w:rPr>
              <w:t>发证机关</w:t>
            </w:r>
          </w:p>
        </w:tc>
      </w:tr>
      <w:tr w14:paraId="1B738F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68" w:type="dxa"/>
            <w:noWrap w:val="0"/>
            <w:vAlign w:val="center"/>
          </w:tcPr>
          <w:p w14:paraId="152FD103">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1</w:t>
            </w:r>
          </w:p>
        </w:tc>
        <w:tc>
          <w:tcPr>
            <w:tcW w:w="971" w:type="dxa"/>
            <w:noWrap w:val="0"/>
            <w:vAlign w:val="center"/>
          </w:tcPr>
          <w:p w14:paraId="051204D7">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文名志</w:t>
            </w:r>
          </w:p>
        </w:tc>
        <w:tc>
          <w:tcPr>
            <w:tcW w:w="1934" w:type="dxa"/>
            <w:noWrap w:val="0"/>
            <w:vAlign w:val="center"/>
          </w:tcPr>
          <w:p w14:paraId="1DAEECF4">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危险化学品经营单位主要负责人</w:t>
            </w:r>
          </w:p>
        </w:tc>
        <w:tc>
          <w:tcPr>
            <w:tcW w:w="2234" w:type="dxa"/>
            <w:noWrap w:val="0"/>
            <w:vAlign w:val="center"/>
          </w:tcPr>
          <w:p w14:paraId="785A30CE">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362233196905260018</w:t>
            </w:r>
          </w:p>
        </w:tc>
        <w:tc>
          <w:tcPr>
            <w:tcW w:w="1200" w:type="dxa"/>
            <w:noWrap w:val="0"/>
            <w:vAlign w:val="center"/>
          </w:tcPr>
          <w:p w14:paraId="0CDBC99B">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default" w:ascii="Times New Roman" w:hAnsi="Times New Roman" w:eastAsia="宋体" w:cs="Times New Roman"/>
                <w:b w:val="0"/>
                <w:bCs/>
                <w:color w:val="auto"/>
                <w:kern w:val="0"/>
                <w:sz w:val="21"/>
                <w:szCs w:val="21"/>
                <w:lang w:val="en-US" w:eastAsia="zh-CN"/>
              </w:rPr>
              <w:t>202</w:t>
            </w:r>
            <w:r>
              <w:rPr>
                <w:rFonts w:hint="eastAsia" w:ascii="Times New Roman" w:hAnsi="Times New Roman" w:eastAsia="宋体" w:cs="Times New Roman"/>
                <w:b w:val="0"/>
                <w:bCs/>
                <w:color w:val="auto"/>
                <w:kern w:val="0"/>
                <w:sz w:val="21"/>
                <w:szCs w:val="21"/>
                <w:lang w:val="en-US" w:eastAsia="zh-CN"/>
              </w:rPr>
              <w:t>5</w:t>
            </w:r>
            <w:r>
              <w:rPr>
                <w:rFonts w:hint="default" w:ascii="Times New Roman" w:hAnsi="Times New Roman" w:eastAsia="宋体" w:cs="Times New Roman"/>
                <w:b w:val="0"/>
                <w:bCs/>
                <w:color w:val="auto"/>
                <w:kern w:val="0"/>
                <w:sz w:val="21"/>
                <w:szCs w:val="21"/>
                <w:lang w:val="en-US" w:eastAsia="zh-CN"/>
              </w:rPr>
              <w:t>-</w:t>
            </w:r>
            <w:r>
              <w:rPr>
                <w:rFonts w:hint="eastAsia" w:ascii="Times New Roman" w:hAnsi="Times New Roman" w:eastAsia="宋体" w:cs="Times New Roman"/>
                <w:b w:val="0"/>
                <w:bCs/>
                <w:color w:val="auto"/>
                <w:kern w:val="0"/>
                <w:sz w:val="21"/>
                <w:szCs w:val="21"/>
                <w:lang w:val="en-US" w:eastAsia="zh-CN"/>
              </w:rPr>
              <w:t>10-</w:t>
            </w:r>
            <w:r>
              <w:rPr>
                <w:rFonts w:hint="default" w:ascii="Times New Roman" w:hAnsi="Times New Roman" w:eastAsia="宋体" w:cs="Times New Roman"/>
                <w:b w:val="0"/>
                <w:bCs/>
                <w:color w:val="auto"/>
                <w:kern w:val="0"/>
                <w:sz w:val="21"/>
                <w:szCs w:val="21"/>
                <w:lang w:val="en-US" w:eastAsia="zh-CN"/>
              </w:rPr>
              <w:t>1</w:t>
            </w:r>
            <w:r>
              <w:rPr>
                <w:rFonts w:hint="eastAsia" w:ascii="Times New Roman" w:hAnsi="Times New Roman" w:eastAsia="宋体" w:cs="Times New Roman"/>
                <w:b w:val="0"/>
                <w:bCs/>
                <w:color w:val="auto"/>
                <w:kern w:val="0"/>
                <w:sz w:val="21"/>
                <w:szCs w:val="21"/>
                <w:lang w:val="en-US" w:eastAsia="zh-CN"/>
              </w:rPr>
              <w:t>2</w:t>
            </w:r>
          </w:p>
        </w:tc>
        <w:tc>
          <w:tcPr>
            <w:tcW w:w="1919" w:type="dxa"/>
            <w:noWrap w:val="0"/>
            <w:vAlign w:val="center"/>
          </w:tcPr>
          <w:p w14:paraId="5579907A">
            <w:pPr>
              <w:pStyle w:val="156"/>
              <w:keepNext w:val="0"/>
              <w:keepLines w:val="0"/>
              <w:widowControl w:val="0"/>
              <w:spacing w:before="0" w:beforeLines="0" w:beforeAutospacing="0" w:after="0" w:afterAutospacing="0" w:line="240" w:lineRule="auto"/>
              <w:ind w:left="0" w:right="0" w:firstLine="0" w:firstLineChars="0"/>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宜春市应急管理局</w:t>
            </w:r>
          </w:p>
        </w:tc>
      </w:tr>
      <w:tr w14:paraId="33F74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668" w:type="dxa"/>
            <w:noWrap w:val="0"/>
            <w:vAlign w:val="center"/>
          </w:tcPr>
          <w:p w14:paraId="5796B275">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2</w:t>
            </w:r>
          </w:p>
        </w:tc>
        <w:tc>
          <w:tcPr>
            <w:tcW w:w="971" w:type="dxa"/>
            <w:noWrap w:val="0"/>
            <w:vAlign w:val="center"/>
          </w:tcPr>
          <w:p w14:paraId="50CD59DF">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黄昌兰</w:t>
            </w:r>
          </w:p>
        </w:tc>
        <w:tc>
          <w:tcPr>
            <w:tcW w:w="1934" w:type="dxa"/>
            <w:noWrap w:val="0"/>
            <w:vAlign w:val="center"/>
          </w:tcPr>
          <w:p w14:paraId="623D891D">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危险化学品经营单位安全管理人员</w:t>
            </w:r>
          </w:p>
        </w:tc>
        <w:tc>
          <w:tcPr>
            <w:tcW w:w="2234" w:type="dxa"/>
            <w:noWrap w:val="0"/>
            <w:vAlign w:val="center"/>
          </w:tcPr>
          <w:p w14:paraId="47F03C82">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513021197910295124</w:t>
            </w:r>
          </w:p>
        </w:tc>
        <w:tc>
          <w:tcPr>
            <w:tcW w:w="1200" w:type="dxa"/>
            <w:noWrap w:val="0"/>
            <w:vAlign w:val="center"/>
          </w:tcPr>
          <w:p w14:paraId="7A3C60C0">
            <w:pPr>
              <w:pStyle w:val="156"/>
              <w:keepNext w:val="0"/>
              <w:keepLines w:val="0"/>
              <w:widowControl w:val="0"/>
              <w:spacing w:before="0" w:beforeLines="0" w:beforeAutospacing="0" w:after="0" w:afterAutospacing="0" w:line="240" w:lineRule="auto"/>
              <w:ind w:left="0" w:right="0" w:firstLine="0" w:firstLineChars="0"/>
              <w:rPr>
                <w:rFonts w:hint="default"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2025-09-04</w:t>
            </w:r>
          </w:p>
        </w:tc>
        <w:tc>
          <w:tcPr>
            <w:tcW w:w="1919" w:type="dxa"/>
            <w:noWrap w:val="0"/>
            <w:vAlign w:val="center"/>
          </w:tcPr>
          <w:p w14:paraId="7064A54B">
            <w:pPr>
              <w:pStyle w:val="156"/>
              <w:keepNext w:val="0"/>
              <w:keepLines w:val="0"/>
              <w:widowControl w:val="0"/>
              <w:spacing w:before="0" w:beforeLines="0" w:beforeAutospacing="0" w:after="0" w:afterAutospacing="0" w:line="240" w:lineRule="auto"/>
              <w:ind w:left="0" w:right="0" w:firstLine="0" w:firstLineChars="0"/>
              <w:rPr>
                <w:rFonts w:hint="eastAsia" w:ascii="Times New Roman" w:hAnsi="Times New Roman" w:eastAsia="宋体" w:cs="Times New Roman"/>
                <w:b w:val="0"/>
                <w:bCs/>
                <w:color w:val="auto"/>
                <w:kern w:val="0"/>
                <w:sz w:val="21"/>
                <w:szCs w:val="21"/>
                <w:lang w:val="en-US" w:eastAsia="zh-CN"/>
              </w:rPr>
            </w:pPr>
            <w:r>
              <w:rPr>
                <w:rFonts w:hint="eastAsia" w:ascii="Times New Roman" w:hAnsi="Times New Roman" w:eastAsia="宋体" w:cs="Times New Roman"/>
                <w:b w:val="0"/>
                <w:bCs/>
                <w:color w:val="auto"/>
                <w:kern w:val="0"/>
                <w:sz w:val="21"/>
                <w:szCs w:val="21"/>
                <w:lang w:val="en-US" w:eastAsia="zh-CN"/>
              </w:rPr>
              <w:t>宜春市应急管理局</w:t>
            </w:r>
          </w:p>
        </w:tc>
      </w:tr>
    </w:tbl>
    <w:p w14:paraId="168FE4B5">
      <w:pPr>
        <w:pStyle w:val="6"/>
        <w:spacing w:line="360" w:lineRule="auto"/>
        <w:ind w:left="0" w:leftChars="0" w:firstLine="0" w:firstLineChars="0"/>
        <w:rPr>
          <w:rFonts w:hint="default" w:ascii="Times New Roman" w:hAnsi="Times New Roman" w:cs="Times New Roman"/>
          <w:color w:val="auto"/>
        </w:rPr>
      </w:pPr>
      <w:r>
        <w:rPr>
          <w:rFonts w:hint="default" w:ascii="Times New Roman" w:hAnsi="Times New Roman" w:cs="Times New Roman"/>
          <w:color w:val="auto"/>
        </w:rPr>
        <w:t>7.2.4.</w:t>
      </w:r>
      <w:r>
        <w:rPr>
          <w:rFonts w:hint="default" w:ascii="Times New Roman" w:hAnsi="Times New Roman" w:cs="Times New Roman"/>
          <w:color w:val="auto"/>
          <w:lang w:val="en-US" w:eastAsia="zh-CN"/>
        </w:rPr>
        <w:t>3</w:t>
      </w:r>
      <w:r>
        <w:rPr>
          <w:rFonts w:hint="default" w:ascii="Times New Roman" w:hAnsi="Times New Roman" w:cs="Times New Roman"/>
          <w:color w:val="auto"/>
        </w:rPr>
        <w:t>安全教育培训情况</w:t>
      </w:r>
      <w:bookmarkEnd w:id="397"/>
    </w:p>
    <w:p w14:paraId="5A592A71">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该加油站重视员工的安全生产教育培训，定期对员工开展安全生产管理制度、安全操作规程、应急救援培训并制定了定期开展应急救援演练计划。</w:t>
      </w:r>
    </w:p>
    <w:p w14:paraId="28E820AB">
      <w:pPr>
        <w:pStyle w:val="6"/>
        <w:spacing w:line="360" w:lineRule="auto"/>
        <w:ind w:left="0" w:leftChars="0" w:firstLine="0" w:firstLineChars="0"/>
        <w:rPr>
          <w:rFonts w:hint="default" w:ascii="Times New Roman" w:hAnsi="Times New Roman" w:cs="Times New Roman"/>
          <w:color w:val="auto"/>
        </w:rPr>
      </w:pPr>
      <w:bookmarkStart w:id="398" w:name="_Toc2691675"/>
      <w:r>
        <w:rPr>
          <w:rFonts w:hint="default" w:ascii="Times New Roman" w:hAnsi="Times New Roman" w:cs="Times New Roman"/>
          <w:color w:val="auto"/>
        </w:rPr>
        <w:t>7.2.4.</w:t>
      </w:r>
      <w:r>
        <w:rPr>
          <w:rFonts w:hint="default" w:ascii="Times New Roman" w:hAnsi="Times New Roman" w:cs="Times New Roman"/>
          <w:color w:val="auto"/>
          <w:lang w:val="en-US" w:eastAsia="zh-CN"/>
        </w:rPr>
        <w:t>4</w:t>
      </w:r>
      <w:r>
        <w:rPr>
          <w:rFonts w:hint="default" w:ascii="Times New Roman" w:hAnsi="Times New Roman" w:cs="Times New Roman"/>
          <w:color w:val="auto"/>
        </w:rPr>
        <w:t>安全生产检查情况</w:t>
      </w:r>
      <w:bookmarkEnd w:id="398"/>
    </w:p>
    <w:p w14:paraId="29682158">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该加油站为危险化学品经营单位（带仓储），不涉及危险化学品生产。该加油站的静电接地报警仪</w:t>
      </w:r>
      <w:r>
        <w:rPr>
          <w:rFonts w:hint="default" w:ascii="Times New Roman" w:hAnsi="Times New Roman" w:cs="Times New Roman"/>
          <w:color w:val="auto"/>
          <w:lang w:eastAsia="zh-CN"/>
        </w:rPr>
        <w:t>、</w:t>
      </w:r>
      <w:r>
        <w:rPr>
          <w:rFonts w:hint="default" w:ascii="Times New Roman" w:hAnsi="Times New Roman" w:cs="Times New Roman"/>
          <w:color w:val="auto"/>
        </w:rPr>
        <w:t>过电压（电涌）保护器、应急照明灯等设备运行正常。</w:t>
      </w:r>
    </w:p>
    <w:p w14:paraId="44F89333">
      <w:pPr>
        <w:pStyle w:val="5"/>
        <w:spacing w:line="360" w:lineRule="auto"/>
        <w:ind w:left="0" w:leftChars="0" w:firstLine="0" w:firstLineChars="0"/>
        <w:rPr>
          <w:rFonts w:hint="default" w:ascii="Times New Roman" w:hAnsi="Times New Roman" w:cs="Times New Roman"/>
          <w:color w:val="auto"/>
        </w:rPr>
      </w:pPr>
      <w:bookmarkStart w:id="399" w:name="_Toc2691678"/>
      <w:bookmarkStart w:id="400" w:name="_Toc23496"/>
      <w:r>
        <w:rPr>
          <w:rFonts w:hint="default" w:ascii="Times New Roman" w:hAnsi="Times New Roman" w:cs="Times New Roman"/>
          <w:color w:val="auto"/>
        </w:rPr>
        <w:t>7.2.5技术、工艺</w:t>
      </w:r>
      <w:bookmarkEnd w:id="399"/>
      <w:bookmarkEnd w:id="400"/>
    </w:p>
    <w:p w14:paraId="6FC6F98D">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rPr>
        <w:t>该加油站建设项目，储罐区、加油区工艺流程较简单，采用目前国内常用的储运工艺，主要是油料的装卸、输送、储存，不涉及化学反应生产过程。</w:t>
      </w:r>
    </w:p>
    <w:p w14:paraId="1913A643">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rFonts w:hint="default" w:ascii="Times New Roman" w:hAnsi="Times New Roman" w:cs="Times New Roman"/>
          <w:color w:val="auto"/>
        </w:rPr>
        <w:t>该加油站的储罐区、加油区工艺流程，采用的装置和技术为国内普遍加</w:t>
      </w:r>
      <w:r>
        <w:rPr>
          <w:rFonts w:hint="eastAsia"/>
          <w:color w:val="auto"/>
        </w:rPr>
        <w:t>油站使用的装置和技术。使用的装置和技术成熟稳妥、性能可靠、操作方便，简单可行，经济效益可观。</w:t>
      </w:r>
    </w:p>
    <w:p w14:paraId="7A3B45DF">
      <w:pPr>
        <w:pStyle w:val="5"/>
        <w:spacing w:line="360" w:lineRule="auto"/>
        <w:ind w:left="0" w:leftChars="0" w:firstLine="0" w:firstLineChars="0"/>
        <w:rPr>
          <w:rFonts w:hint="default" w:ascii="Times New Roman" w:hAnsi="Times New Roman" w:cs="Times New Roman"/>
          <w:color w:val="auto"/>
        </w:rPr>
      </w:pPr>
      <w:bookmarkStart w:id="401" w:name="_Toc2691680"/>
      <w:bookmarkStart w:id="402" w:name="_Toc6547"/>
      <w:bookmarkStart w:id="403" w:name="OLE_LINK45"/>
      <w:bookmarkStart w:id="404" w:name="OLE_LINK46"/>
      <w:r>
        <w:rPr>
          <w:rFonts w:hint="default" w:ascii="Times New Roman" w:hAnsi="Times New Roman" w:cs="Times New Roman"/>
          <w:color w:val="auto"/>
        </w:rPr>
        <w:t>7.2.</w:t>
      </w:r>
      <w:r>
        <w:rPr>
          <w:rFonts w:hint="default" w:ascii="Times New Roman" w:hAnsi="Times New Roman" w:cs="Times New Roman"/>
          <w:color w:val="auto"/>
          <w:lang w:val="en-US" w:eastAsia="zh-CN"/>
        </w:rPr>
        <w:t>6</w:t>
      </w:r>
      <w:r>
        <w:rPr>
          <w:rFonts w:hint="default" w:ascii="Times New Roman" w:hAnsi="Times New Roman" w:cs="Times New Roman"/>
          <w:color w:val="auto"/>
        </w:rPr>
        <w:t>原料、辅助材料和产品</w:t>
      </w:r>
      <w:bookmarkEnd w:id="401"/>
      <w:bookmarkEnd w:id="402"/>
    </w:p>
    <w:bookmarkEnd w:id="403"/>
    <w:bookmarkEnd w:id="404"/>
    <w:p w14:paraId="42776AAF">
      <w:pPr>
        <w:spacing w:line="360" w:lineRule="auto"/>
        <w:ind w:firstLine="560"/>
        <w:rPr>
          <w:rFonts w:hint="default" w:ascii="Times New Roman" w:hAnsi="Times New Roman" w:cs="Times New Roman"/>
          <w:color w:val="auto"/>
          <w:szCs w:val="21"/>
        </w:rPr>
      </w:pPr>
      <w:r>
        <w:rPr>
          <w:rFonts w:hint="default" w:ascii="Times New Roman" w:hAnsi="Times New Roman" w:cs="Times New Roman"/>
          <w:color w:val="auto"/>
        </w:rPr>
        <w:t>根据</w:t>
      </w:r>
      <w:r>
        <w:rPr>
          <w:rFonts w:hint="default" w:ascii="Times New Roman" w:hAnsi="Times New Roman" w:cs="Times New Roman"/>
          <w:color w:val="auto"/>
          <w:lang w:eastAsia="zh-CN"/>
        </w:rPr>
        <w:t>《危险化学品目录》</w:t>
      </w:r>
      <w:r>
        <w:rPr>
          <w:rFonts w:hint="default" w:ascii="Times New Roman" w:hAnsi="Times New Roman" w:cs="Times New Roman"/>
          <w:color w:val="auto"/>
        </w:rPr>
        <w:t>，该加油站涉及的危险化学品及危险性分析结果见下表：</w:t>
      </w:r>
    </w:p>
    <w:p w14:paraId="02429020">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表7.2-</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 xml:space="preserve"> 涉及危险化学品的原料、产品的危险性分析结果</w:t>
      </w:r>
    </w:p>
    <w:tbl>
      <w:tblPr>
        <w:tblStyle w:val="48"/>
        <w:tblW w:w="9366"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22"/>
        <w:gridCol w:w="1211"/>
        <w:gridCol w:w="835"/>
        <w:gridCol w:w="2978"/>
        <w:gridCol w:w="881"/>
        <w:gridCol w:w="1200"/>
        <w:gridCol w:w="1050"/>
        <w:gridCol w:w="689"/>
      </w:tblGrid>
      <w:tr w14:paraId="1FDE82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522" w:type="dxa"/>
            <w:vAlign w:val="center"/>
          </w:tcPr>
          <w:p w14:paraId="704611F8">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序号</w:t>
            </w:r>
          </w:p>
        </w:tc>
        <w:tc>
          <w:tcPr>
            <w:tcW w:w="1211" w:type="dxa"/>
            <w:vAlign w:val="center"/>
          </w:tcPr>
          <w:p w14:paraId="2CC5FAF6">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品名</w:t>
            </w:r>
          </w:p>
        </w:tc>
        <w:tc>
          <w:tcPr>
            <w:tcW w:w="835" w:type="dxa"/>
            <w:vAlign w:val="center"/>
          </w:tcPr>
          <w:p w14:paraId="69A094E2">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危化品</w:t>
            </w:r>
          </w:p>
          <w:p w14:paraId="15C16A1B">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序号</w:t>
            </w:r>
          </w:p>
        </w:tc>
        <w:tc>
          <w:tcPr>
            <w:tcW w:w="2978" w:type="dxa"/>
            <w:vAlign w:val="center"/>
          </w:tcPr>
          <w:p w14:paraId="2EC91AE4">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危险性类别</w:t>
            </w:r>
          </w:p>
        </w:tc>
        <w:tc>
          <w:tcPr>
            <w:tcW w:w="881" w:type="dxa"/>
            <w:vAlign w:val="center"/>
          </w:tcPr>
          <w:p w14:paraId="057125EA">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闪点℃</w:t>
            </w:r>
          </w:p>
        </w:tc>
        <w:tc>
          <w:tcPr>
            <w:tcW w:w="1200" w:type="dxa"/>
            <w:vAlign w:val="center"/>
          </w:tcPr>
          <w:p w14:paraId="40FBDD14">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爆炸极限%（V/V）</w:t>
            </w:r>
          </w:p>
        </w:tc>
        <w:tc>
          <w:tcPr>
            <w:tcW w:w="1050" w:type="dxa"/>
            <w:vAlign w:val="center"/>
          </w:tcPr>
          <w:p w14:paraId="1BC67E60">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火灾危险性分类</w:t>
            </w:r>
          </w:p>
        </w:tc>
        <w:tc>
          <w:tcPr>
            <w:tcW w:w="689" w:type="dxa"/>
            <w:vAlign w:val="center"/>
          </w:tcPr>
          <w:p w14:paraId="034E70D6">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毒性等级</w:t>
            </w:r>
          </w:p>
        </w:tc>
      </w:tr>
      <w:tr w14:paraId="2E78D9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522" w:type="dxa"/>
            <w:vAlign w:val="center"/>
          </w:tcPr>
          <w:p w14:paraId="39BB651F">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p>
        </w:tc>
        <w:tc>
          <w:tcPr>
            <w:tcW w:w="1211" w:type="dxa"/>
            <w:vAlign w:val="center"/>
          </w:tcPr>
          <w:p w14:paraId="54E9D275">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汽油</w:t>
            </w:r>
          </w:p>
        </w:tc>
        <w:tc>
          <w:tcPr>
            <w:tcW w:w="835" w:type="dxa"/>
            <w:vAlign w:val="center"/>
          </w:tcPr>
          <w:p w14:paraId="45577C31">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1630</w:t>
            </w:r>
          </w:p>
        </w:tc>
        <w:tc>
          <w:tcPr>
            <w:tcW w:w="2978" w:type="dxa"/>
            <w:vAlign w:val="center"/>
          </w:tcPr>
          <w:p w14:paraId="7A315192">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易燃液体，类别2*</w:t>
            </w:r>
          </w:p>
          <w:p w14:paraId="100825CF">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生殖细胞致突变性，类别1B</w:t>
            </w:r>
          </w:p>
          <w:p w14:paraId="0A62F3D4">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致癌性，类别2</w:t>
            </w:r>
          </w:p>
          <w:p w14:paraId="6F84346C">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吸入危害，类别1</w:t>
            </w:r>
          </w:p>
          <w:p w14:paraId="7EC28B39">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危害水生环境-急性危害，类别2</w:t>
            </w:r>
          </w:p>
          <w:p w14:paraId="35C0FC8F">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危害水生环境-长期危害，类别2</w:t>
            </w:r>
          </w:p>
        </w:tc>
        <w:tc>
          <w:tcPr>
            <w:tcW w:w="881" w:type="dxa"/>
            <w:vAlign w:val="center"/>
          </w:tcPr>
          <w:p w14:paraId="6FEFEA50">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lang w:val="en-US"/>
              </w:rPr>
            </w:pPr>
            <w:r>
              <w:rPr>
                <w:rFonts w:hint="default" w:ascii="Times New Roman" w:hAnsi="Times New Roman" w:cs="Times New Roman"/>
                <w:color w:val="auto"/>
              </w:rPr>
              <w:t>-</w:t>
            </w:r>
            <w:r>
              <w:rPr>
                <w:rFonts w:hint="default" w:ascii="Times New Roman" w:hAnsi="Times New Roman" w:cs="Times New Roman"/>
                <w:color w:val="auto"/>
                <w:lang w:val="en-US" w:eastAsia="zh-CN"/>
              </w:rPr>
              <w:t>50</w:t>
            </w:r>
          </w:p>
        </w:tc>
        <w:tc>
          <w:tcPr>
            <w:tcW w:w="1200" w:type="dxa"/>
            <w:vAlign w:val="center"/>
          </w:tcPr>
          <w:p w14:paraId="4F761777">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1.3～6.0</w:t>
            </w:r>
          </w:p>
        </w:tc>
        <w:tc>
          <w:tcPr>
            <w:tcW w:w="1050" w:type="dxa"/>
            <w:vAlign w:val="center"/>
          </w:tcPr>
          <w:p w14:paraId="36C8CDFD">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甲类</w:t>
            </w:r>
          </w:p>
        </w:tc>
        <w:tc>
          <w:tcPr>
            <w:tcW w:w="689" w:type="dxa"/>
            <w:vAlign w:val="center"/>
          </w:tcPr>
          <w:p w14:paraId="2C07821F">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Ⅲ</w:t>
            </w:r>
          </w:p>
        </w:tc>
      </w:tr>
    </w:tbl>
    <w:p w14:paraId="6CAA107C">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该加油站油罐埋地设置，油品的存储能力基本与经营情况相匹配。</w:t>
      </w:r>
    </w:p>
    <w:p w14:paraId="1224E545">
      <w:pPr>
        <w:pStyle w:val="5"/>
        <w:spacing w:line="360" w:lineRule="auto"/>
        <w:ind w:left="0" w:leftChars="0" w:firstLine="0" w:firstLineChars="0"/>
        <w:rPr>
          <w:rFonts w:hint="default" w:ascii="Times New Roman" w:hAnsi="Times New Roman" w:cs="Times New Roman"/>
          <w:color w:val="auto"/>
        </w:rPr>
      </w:pPr>
      <w:bookmarkStart w:id="405" w:name="_Toc20107"/>
      <w:r>
        <w:rPr>
          <w:rFonts w:hint="default" w:ascii="Times New Roman" w:hAnsi="Times New Roman" w:cs="Times New Roman"/>
          <w:color w:val="auto"/>
        </w:rPr>
        <w:t>7.2.</w:t>
      </w:r>
      <w:r>
        <w:rPr>
          <w:rFonts w:hint="eastAsia" w:ascii="Times New Roman" w:hAnsi="Times New Roman" w:cs="Times New Roman"/>
          <w:color w:val="auto"/>
          <w:lang w:val="en-US" w:eastAsia="zh-CN"/>
        </w:rPr>
        <w:t>7</w:t>
      </w:r>
      <w:r>
        <w:rPr>
          <w:rFonts w:hint="default" w:ascii="Times New Roman" w:hAnsi="Times New Roman" w:cs="Times New Roman"/>
          <w:color w:val="auto"/>
        </w:rPr>
        <w:t>作业场所职业危害情况</w:t>
      </w:r>
      <w:bookmarkEnd w:id="405"/>
    </w:p>
    <w:p w14:paraId="093BE72B">
      <w:pPr>
        <w:keepNext w:val="0"/>
        <w:keepLines w:val="0"/>
        <w:pageBreakBefore w:val="0"/>
        <w:widowControl/>
        <w:kinsoku/>
        <w:wordWrap/>
        <w:overflowPunct/>
        <w:topLinePunct w:val="0"/>
        <w:autoSpaceDE/>
        <w:autoSpaceDN/>
        <w:bidi w:val="0"/>
        <w:adjustRightInd/>
        <w:snapToGrid/>
        <w:spacing w:line="360" w:lineRule="auto"/>
        <w:ind w:firstLine="560"/>
        <w:textAlignment w:val="auto"/>
        <w:rPr>
          <w:color w:val="auto"/>
        </w:rPr>
      </w:pPr>
      <w:r>
        <w:rPr>
          <w:rFonts w:hint="eastAsia" w:ascii="Times New Roman" w:hAnsi="Times New Roman"/>
          <w:color w:val="auto"/>
        </w:rPr>
        <w:t>1</w:t>
      </w:r>
      <w:r>
        <w:rPr>
          <w:rFonts w:hint="eastAsia"/>
          <w:color w:val="auto"/>
        </w:rPr>
        <w:t>）职业危害防护设施的设置情况</w:t>
      </w:r>
    </w:p>
    <w:p w14:paraId="13256E63">
      <w:pPr>
        <w:keepNext w:val="0"/>
        <w:keepLines w:val="0"/>
        <w:pageBreakBefore w:val="0"/>
        <w:widowControl/>
        <w:kinsoku/>
        <w:wordWrap/>
        <w:overflowPunct/>
        <w:topLinePunct w:val="0"/>
        <w:autoSpaceDE/>
        <w:autoSpaceDN/>
        <w:bidi w:val="0"/>
        <w:adjustRightInd/>
        <w:snapToGrid/>
        <w:spacing w:line="360" w:lineRule="auto"/>
        <w:ind w:firstLine="560"/>
        <w:textAlignment w:val="auto"/>
        <w:rPr>
          <w:color w:val="auto"/>
        </w:rPr>
      </w:pPr>
      <w:r>
        <w:rPr>
          <w:rFonts w:hint="eastAsia"/>
          <w:color w:val="auto"/>
        </w:rPr>
        <w:t>为了有效防止职业危害的发生，建设项目的加油、卸油作业均采用密闭式作业，通风良好，有利</w:t>
      </w:r>
      <w:r>
        <w:rPr>
          <w:rFonts w:hint="eastAsia"/>
          <w:color w:val="auto"/>
          <w:lang w:eastAsia="zh-CN"/>
        </w:rPr>
        <w:t>于</w:t>
      </w:r>
      <w:r>
        <w:rPr>
          <w:rFonts w:hint="eastAsia"/>
          <w:color w:val="auto"/>
        </w:rPr>
        <w:t>有毒有害物质的扩散。作业现场配备了必要的应急物资，并为作业人员发放劳动防护用品和必要的防暑降温用品，其职业危害防护设施的设置符合安全要求。</w:t>
      </w:r>
    </w:p>
    <w:p w14:paraId="6725B9C0">
      <w:pPr>
        <w:keepNext w:val="0"/>
        <w:keepLines w:val="0"/>
        <w:pageBreakBefore w:val="0"/>
        <w:widowControl/>
        <w:kinsoku/>
        <w:wordWrap/>
        <w:overflowPunct/>
        <w:topLinePunct w:val="0"/>
        <w:autoSpaceDE/>
        <w:autoSpaceDN/>
        <w:bidi w:val="0"/>
        <w:adjustRightInd/>
        <w:snapToGrid/>
        <w:spacing w:line="360" w:lineRule="auto"/>
        <w:ind w:firstLine="560"/>
        <w:textAlignment w:val="auto"/>
        <w:rPr>
          <w:color w:val="auto"/>
        </w:rPr>
      </w:pPr>
      <w:r>
        <w:rPr>
          <w:rFonts w:hint="eastAsia" w:ascii="Times New Roman" w:hAnsi="Times New Roman"/>
          <w:color w:val="auto"/>
        </w:rPr>
        <w:t>2</w:t>
      </w:r>
      <w:r>
        <w:rPr>
          <w:rFonts w:hint="eastAsia"/>
          <w:color w:val="auto"/>
        </w:rPr>
        <w:t>）职业危害防护设施的检修、维护情况</w:t>
      </w:r>
    </w:p>
    <w:p w14:paraId="27A37DB6">
      <w:pPr>
        <w:keepNext w:val="0"/>
        <w:keepLines w:val="0"/>
        <w:pageBreakBefore w:val="0"/>
        <w:widowControl/>
        <w:kinsoku/>
        <w:wordWrap/>
        <w:overflowPunct/>
        <w:topLinePunct w:val="0"/>
        <w:autoSpaceDE/>
        <w:autoSpaceDN/>
        <w:bidi w:val="0"/>
        <w:adjustRightInd/>
        <w:snapToGrid/>
        <w:spacing w:line="360" w:lineRule="auto"/>
        <w:ind w:left="560" w:leftChars="200" w:firstLine="0" w:firstLineChars="0"/>
        <w:textAlignment w:val="auto"/>
        <w:rPr>
          <w:color w:val="auto"/>
        </w:rPr>
      </w:pPr>
      <w:r>
        <w:rPr>
          <w:rFonts w:hint="eastAsia"/>
          <w:color w:val="auto"/>
        </w:rPr>
        <w:t>该加油站职业危害防护</w:t>
      </w:r>
      <w:r>
        <w:rPr>
          <w:rFonts w:hint="eastAsia"/>
          <w:color w:val="auto"/>
          <w:lang w:eastAsia="zh-CN"/>
        </w:rPr>
        <w:t>设施</w:t>
      </w:r>
      <w:r>
        <w:rPr>
          <w:rFonts w:hint="eastAsia"/>
          <w:color w:val="auto"/>
        </w:rPr>
        <w:t>目前不需要检修，日常维护情况良好。</w:t>
      </w:r>
    </w:p>
    <w:p w14:paraId="09924473">
      <w:pPr>
        <w:pStyle w:val="5"/>
        <w:spacing w:line="360" w:lineRule="auto"/>
        <w:ind w:left="0" w:leftChars="0" w:firstLine="0" w:firstLineChars="0"/>
        <w:rPr>
          <w:rFonts w:hint="default" w:ascii="Times New Roman" w:hAnsi="Times New Roman" w:cs="Times New Roman"/>
          <w:color w:val="auto"/>
        </w:rPr>
      </w:pPr>
      <w:bookmarkStart w:id="406" w:name="_Toc11621"/>
      <w:bookmarkStart w:id="407" w:name="_Toc2691681"/>
      <w:bookmarkStart w:id="408" w:name="OLE_LINK49"/>
      <w:bookmarkStart w:id="409" w:name="OLE_LINK191"/>
      <w:r>
        <w:rPr>
          <w:rFonts w:hint="default" w:ascii="Times New Roman" w:hAnsi="Times New Roman" w:cs="Times New Roman"/>
          <w:color w:val="auto"/>
        </w:rPr>
        <w:t>7.2.</w:t>
      </w:r>
      <w:r>
        <w:rPr>
          <w:rFonts w:hint="eastAsia" w:cs="Times New Roman"/>
          <w:color w:val="auto"/>
          <w:lang w:val="en-US" w:eastAsia="zh-CN"/>
        </w:rPr>
        <w:t>8</w:t>
      </w:r>
      <w:r>
        <w:rPr>
          <w:rFonts w:hint="default" w:ascii="Times New Roman" w:hAnsi="Times New Roman" w:cs="Times New Roman"/>
          <w:color w:val="auto"/>
        </w:rPr>
        <w:t>事故及应急管理</w:t>
      </w:r>
      <w:bookmarkEnd w:id="406"/>
      <w:bookmarkEnd w:id="407"/>
    </w:p>
    <w:bookmarkEnd w:id="408"/>
    <w:bookmarkEnd w:id="409"/>
    <w:p w14:paraId="4C130886">
      <w:pPr>
        <w:pStyle w:val="6"/>
        <w:spacing w:line="360" w:lineRule="auto"/>
        <w:ind w:left="0" w:leftChars="0" w:firstLine="0" w:firstLineChars="0"/>
        <w:rPr>
          <w:rFonts w:hint="default" w:ascii="Times New Roman" w:hAnsi="Times New Roman" w:cs="Times New Roman"/>
          <w:color w:val="auto"/>
        </w:rPr>
      </w:pPr>
      <w:bookmarkStart w:id="410" w:name="_Toc2691697"/>
      <w:bookmarkStart w:id="411" w:name="OLE_LINK103"/>
      <w:bookmarkStart w:id="412" w:name="OLE_LINK102"/>
      <w:r>
        <w:rPr>
          <w:rFonts w:hint="default" w:ascii="Times New Roman" w:hAnsi="Times New Roman" w:cs="Times New Roman"/>
          <w:color w:val="auto"/>
        </w:rPr>
        <w:t>7.2.</w:t>
      </w:r>
      <w:r>
        <w:rPr>
          <w:rFonts w:hint="default" w:ascii="Times New Roman" w:hAnsi="Times New Roman" w:cs="Times New Roman"/>
          <w:color w:val="auto"/>
          <w:lang w:val="en-US" w:eastAsia="zh-CN"/>
        </w:rPr>
        <w:t>8</w:t>
      </w:r>
      <w:r>
        <w:rPr>
          <w:rFonts w:hint="default" w:ascii="Times New Roman" w:hAnsi="Times New Roman" w:cs="Times New Roman"/>
          <w:color w:val="auto"/>
        </w:rPr>
        <w:t>.</w:t>
      </w:r>
      <w:r>
        <w:rPr>
          <w:rFonts w:hint="default" w:ascii="Times New Roman" w:hAnsi="Times New Roman" w:cs="Times New Roman"/>
          <w:color w:val="auto"/>
          <w:lang w:val="en-US" w:eastAsia="zh-CN"/>
        </w:rPr>
        <w:t>1</w:t>
      </w:r>
      <w:r>
        <w:rPr>
          <w:rFonts w:hint="default" w:ascii="Times New Roman" w:hAnsi="Times New Roman" w:cs="Times New Roman"/>
          <w:color w:val="auto"/>
        </w:rPr>
        <w:t>事故应急救援器材、设备的配备</w:t>
      </w:r>
      <w:bookmarkEnd w:id="410"/>
    </w:p>
    <w:bookmarkEnd w:id="411"/>
    <w:bookmarkEnd w:id="412"/>
    <w:p w14:paraId="1074EF3F">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该加油站站内配备了应急救援器材、设备，配备情况见表7.2-</w:t>
      </w:r>
      <w:r>
        <w:rPr>
          <w:rFonts w:hint="default" w:ascii="Times New Roman" w:hAnsi="Times New Roman" w:cs="Times New Roman"/>
          <w:color w:val="auto"/>
          <w:lang w:val="en-US" w:eastAsia="zh-CN"/>
        </w:rPr>
        <w:t>5</w:t>
      </w:r>
      <w:r>
        <w:rPr>
          <w:rFonts w:hint="default" w:ascii="Times New Roman" w:hAnsi="Times New Roman" w:cs="Times New Roman"/>
          <w:color w:val="auto"/>
        </w:rPr>
        <w:t>、表7.2-</w:t>
      </w:r>
      <w:r>
        <w:rPr>
          <w:rFonts w:hint="default" w:ascii="Times New Roman" w:hAnsi="Times New Roman" w:cs="Times New Roman"/>
          <w:color w:val="auto"/>
          <w:lang w:val="en-US" w:eastAsia="zh-CN"/>
        </w:rPr>
        <w:t>6</w:t>
      </w:r>
      <w:r>
        <w:rPr>
          <w:rFonts w:hint="default" w:ascii="Times New Roman" w:hAnsi="Times New Roman" w:cs="Times New Roman"/>
          <w:color w:val="auto"/>
        </w:rPr>
        <w:t>：</w:t>
      </w:r>
    </w:p>
    <w:p w14:paraId="15AB9A07">
      <w:pPr>
        <w:pStyle w:val="21"/>
        <w:rPr>
          <w:rFonts w:hint="default" w:ascii="Times New Roman" w:hAnsi="Times New Roman" w:cs="Times New Roman"/>
          <w:color w:val="auto"/>
          <w:szCs w:val="21"/>
        </w:rPr>
      </w:pPr>
      <w:r>
        <w:rPr>
          <w:rFonts w:hint="default" w:ascii="Times New Roman" w:hAnsi="Times New Roman" w:cs="Times New Roman"/>
          <w:color w:val="auto"/>
          <w:szCs w:val="21"/>
        </w:rPr>
        <w:t>表7.2-</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 xml:space="preserve"> 消防设施清单</w:t>
      </w:r>
    </w:p>
    <w:tbl>
      <w:tblPr>
        <w:tblStyle w:val="48"/>
        <w:tblW w:w="879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2026"/>
        <w:gridCol w:w="1215"/>
        <w:gridCol w:w="2721"/>
      </w:tblGrid>
      <w:tr w14:paraId="5259A1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836" w:type="dxa"/>
            <w:tcBorders>
              <w:tl2br w:val="nil"/>
              <w:tr2bl w:val="nil"/>
            </w:tcBorders>
            <w:noWrap w:val="0"/>
            <w:vAlign w:val="center"/>
          </w:tcPr>
          <w:p w14:paraId="50B171C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名称</w:t>
            </w:r>
          </w:p>
        </w:tc>
        <w:tc>
          <w:tcPr>
            <w:tcW w:w="2026" w:type="dxa"/>
            <w:tcBorders>
              <w:tl2br w:val="nil"/>
              <w:tr2bl w:val="nil"/>
            </w:tcBorders>
            <w:noWrap w:val="0"/>
            <w:vAlign w:val="center"/>
          </w:tcPr>
          <w:p w14:paraId="55A7687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规格、型号</w:t>
            </w:r>
          </w:p>
        </w:tc>
        <w:tc>
          <w:tcPr>
            <w:tcW w:w="1215" w:type="dxa"/>
            <w:tcBorders>
              <w:tl2br w:val="nil"/>
              <w:tr2bl w:val="nil"/>
            </w:tcBorders>
            <w:noWrap w:val="0"/>
            <w:vAlign w:val="center"/>
          </w:tcPr>
          <w:p w14:paraId="0F3ADCC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数量</w:t>
            </w:r>
          </w:p>
        </w:tc>
        <w:tc>
          <w:tcPr>
            <w:tcW w:w="2721" w:type="dxa"/>
            <w:tcBorders>
              <w:tl2br w:val="nil"/>
              <w:tr2bl w:val="nil"/>
            </w:tcBorders>
            <w:noWrap w:val="0"/>
            <w:vAlign w:val="center"/>
          </w:tcPr>
          <w:p w14:paraId="015108A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设置位置</w:t>
            </w:r>
          </w:p>
        </w:tc>
      </w:tr>
      <w:tr w14:paraId="06F122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2836" w:type="dxa"/>
            <w:tcBorders>
              <w:tl2br w:val="nil"/>
              <w:tr2bl w:val="nil"/>
            </w:tcBorders>
            <w:noWrap w:val="0"/>
            <w:vAlign w:val="center"/>
          </w:tcPr>
          <w:p w14:paraId="6D0613E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手提式干粉灭火器</w:t>
            </w:r>
          </w:p>
        </w:tc>
        <w:tc>
          <w:tcPr>
            <w:tcW w:w="2026" w:type="dxa"/>
            <w:tcBorders>
              <w:tl2br w:val="nil"/>
              <w:tr2bl w:val="nil"/>
            </w:tcBorders>
            <w:noWrap w:val="0"/>
            <w:vAlign w:val="center"/>
          </w:tcPr>
          <w:p w14:paraId="133604B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rPr>
              <w:t>MFZ</w:t>
            </w:r>
            <w:r>
              <w:rPr>
                <w:rFonts w:hint="default" w:ascii="Times New Roman" w:hAnsi="Times New Roman" w:eastAsia="宋体" w:cs="Times New Roman"/>
                <w:b w:val="0"/>
                <w:bCs/>
                <w:snapToGrid w:val="0"/>
                <w:color w:val="000000"/>
                <w:sz w:val="21"/>
                <w:szCs w:val="21"/>
                <w:lang w:val="en-US" w:eastAsia="zh-CN"/>
              </w:rPr>
              <w:t>5</w:t>
            </w:r>
            <w:r>
              <w:rPr>
                <w:rFonts w:hint="default" w:ascii="Times New Roman" w:hAnsi="Times New Roman" w:eastAsia="宋体" w:cs="Times New Roman"/>
                <w:b w:val="0"/>
                <w:bCs/>
                <w:snapToGrid w:val="0"/>
                <w:color w:val="000000"/>
                <w:sz w:val="21"/>
                <w:szCs w:val="21"/>
              </w:rPr>
              <w:t>型</w:t>
            </w:r>
          </w:p>
        </w:tc>
        <w:tc>
          <w:tcPr>
            <w:tcW w:w="1215" w:type="dxa"/>
            <w:tcBorders>
              <w:tl2br w:val="nil"/>
              <w:tr2bl w:val="nil"/>
            </w:tcBorders>
            <w:noWrap w:val="0"/>
            <w:vAlign w:val="center"/>
          </w:tcPr>
          <w:p w14:paraId="0DDD08E5">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8</w:t>
            </w:r>
            <w:r>
              <w:rPr>
                <w:rFonts w:hint="default" w:ascii="Times New Roman" w:hAnsi="Times New Roman" w:eastAsia="宋体" w:cs="Times New Roman"/>
                <w:color w:val="auto"/>
                <w:sz w:val="21"/>
                <w:szCs w:val="21"/>
                <w:lang w:val="en-US" w:eastAsia="zh-CN"/>
              </w:rPr>
              <w:t>具</w:t>
            </w:r>
          </w:p>
        </w:tc>
        <w:tc>
          <w:tcPr>
            <w:tcW w:w="2721" w:type="dxa"/>
            <w:tcBorders>
              <w:tl2br w:val="nil"/>
              <w:tr2bl w:val="nil"/>
            </w:tcBorders>
            <w:noWrap w:val="0"/>
            <w:vAlign w:val="center"/>
          </w:tcPr>
          <w:p w14:paraId="5D9D1DC3">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b w:val="0"/>
                <w:bCs/>
                <w:snapToGrid w:val="0"/>
                <w:color w:val="000000"/>
                <w:sz w:val="21"/>
                <w:szCs w:val="21"/>
              </w:rPr>
              <w:t>加油区、卸油区</w:t>
            </w:r>
            <w:r>
              <w:rPr>
                <w:rFonts w:hint="default" w:ascii="Times New Roman" w:hAnsi="Times New Roman" w:eastAsia="宋体" w:cs="Times New Roman"/>
                <w:b w:val="0"/>
                <w:bCs/>
                <w:snapToGrid w:val="0"/>
                <w:color w:val="000000"/>
                <w:sz w:val="21"/>
                <w:szCs w:val="21"/>
                <w:lang w:eastAsia="zh-CN"/>
              </w:rPr>
              <w:t>、</w:t>
            </w:r>
            <w:r>
              <w:rPr>
                <w:rFonts w:hint="default" w:ascii="Times New Roman" w:hAnsi="Times New Roman" w:eastAsia="宋体" w:cs="Times New Roman"/>
                <w:b w:val="0"/>
                <w:bCs/>
                <w:snapToGrid w:val="0"/>
                <w:color w:val="000000"/>
                <w:sz w:val="21"/>
                <w:szCs w:val="21"/>
              </w:rPr>
              <w:t>配电间、</w:t>
            </w:r>
            <w:r>
              <w:rPr>
                <w:rFonts w:hint="default" w:ascii="Times New Roman" w:hAnsi="Times New Roman" w:eastAsia="宋体" w:cs="Times New Roman"/>
                <w:b w:val="0"/>
                <w:bCs/>
                <w:snapToGrid w:val="0"/>
                <w:color w:val="000000"/>
                <w:sz w:val="21"/>
                <w:szCs w:val="21"/>
                <w:lang w:val="en-US" w:eastAsia="zh-CN"/>
              </w:rPr>
              <w:t>站房</w:t>
            </w:r>
          </w:p>
        </w:tc>
      </w:tr>
      <w:tr w14:paraId="5569A8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836" w:type="dxa"/>
            <w:tcBorders>
              <w:tl2br w:val="nil"/>
              <w:tr2bl w:val="nil"/>
            </w:tcBorders>
            <w:noWrap w:val="0"/>
            <w:vAlign w:val="center"/>
          </w:tcPr>
          <w:p w14:paraId="27D7D61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35kg推车式干粉灭火器</w:t>
            </w:r>
          </w:p>
        </w:tc>
        <w:tc>
          <w:tcPr>
            <w:tcW w:w="2026" w:type="dxa"/>
            <w:tcBorders>
              <w:tl2br w:val="nil"/>
              <w:tr2bl w:val="nil"/>
            </w:tcBorders>
            <w:noWrap w:val="0"/>
            <w:vAlign w:val="center"/>
          </w:tcPr>
          <w:p w14:paraId="76C5314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val="0"/>
                <w:bCs/>
                <w:snapToGrid w:val="0"/>
                <w:color w:val="000000"/>
                <w:sz w:val="21"/>
                <w:szCs w:val="21"/>
              </w:rPr>
              <w:t>MFTZ35</w:t>
            </w:r>
          </w:p>
        </w:tc>
        <w:tc>
          <w:tcPr>
            <w:tcW w:w="1215" w:type="dxa"/>
            <w:tcBorders>
              <w:tl2br w:val="nil"/>
              <w:tr2bl w:val="nil"/>
            </w:tcBorders>
            <w:noWrap w:val="0"/>
            <w:vAlign w:val="center"/>
          </w:tcPr>
          <w:p w14:paraId="1A95FAB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lang w:val="en-US" w:eastAsia="zh-CN"/>
              </w:rPr>
              <w:t>具</w:t>
            </w:r>
          </w:p>
        </w:tc>
        <w:tc>
          <w:tcPr>
            <w:tcW w:w="2721" w:type="dxa"/>
            <w:tcBorders>
              <w:tl2br w:val="nil"/>
              <w:tr2bl w:val="nil"/>
            </w:tcBorders>
            <w:noWrap w:val="0"/>
            <w:vAlign w:val="center"/>
          </w:tcPr>
          <w:p w14:paraId="564D231F">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rPr>
              <w:t>卸油区</w:t>
            </w:r>
          </w:p>
        </w:tc>
      </w:tr>
      <w:tr w14:paraId="200B9E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2836" w:type="dxa"/>
            <w:tcBorders>
              <w:tl2br w:val="nil"/>
              <w:tr2bl w:val="nil"/>
            </w:tcBorders>
            <w:noWrap w:val="0"/>
            <w:vAlign w:val="center"/>
          </w:tcPr>
          <w:p w14:paraId="1F68F869">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灭火毯</w:t>
            </w:r>
          </w:p>
        </w:tc>
        <w:tc>
          <w:tcPr>
            <w:tcW w:w="2026" w:type="dxa"/>
            <w:tcBorders>
              <w:tl2br w:val="nil"/>
              <w:tr2bl w:val="nil"/>
            </w:tcBorders>
            <w:noWrap w:val="0"/>
            <w:vAlign w:val="center"/>
          </w:tcPr>
          <w:p w14:paraId="05DB9E4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215" w:type="dxa"/>
            <w:tcBorders>
              <w:tl2br w:val="nil"/>
              <w:tr2bl w:val="nil"/>
            </w:tcBorders>
            <w:noWrap w:val="0"/>
            <w:vAlign w:val="center"/>
          </w:tcPr>
          <w:p w14:paraId="196DA86B">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6</w:t>
            </w:r>
            <w:r>
              <w:rPr>
                <w:rFonts w:hint="default" w:ascii="Times New Roman" w:hAnsi="Times New Roman" w:eastAsia="宋体" w:cs="Times New Roman"/>
                <w:color w:val="auto"/>
                <w:sz w:val="21"/>
                <w:szCs w:val="21"/>
                <w:lang w:val="en-US" w:eastAsia="zh-CN"/>
              </w:rPr>
              <w:t>块</w:t>
            </w:r>
          </w:p>
        </w:tc>
        <w:tc>
          <w:tcPr>
            <w:tcW w:w="2721" w:type="dxa"/>
            <w:tcBorders>
              <w:tl2br w:val="nil"/>
              <w:tr2bl w:val="nil"/>
            </w:tcBorders>
            <w:noWrap w:val="0"/>
            <w:vAlign w:val="center"/>
          </w:tcPr>
          <w:p w14:paraId="0AC83BD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rPr>
              <w:t>卸油区、加油区</w:t>
            </w:r>
          </w:p>
        </w:tc>
      </w:tr>
      <w:tr w14:paraId="389976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2836" w:type="dxa"/>
            <w:tcBorders>
              <w:tl2br w:val="nil"/>
              <w:tr2bl w:val="nil"/>
            </w:tcBorders>
            <w:noWrap w:val="0"/>
            <w:vAlign w:val="center"/>
          </w:tcPr>
          <w:p w14:paraId="0E5B8194">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消防沙</w:t>
            </w:r>
          </w:p>
        </w:tc>
        <w:tc>
          <w:tcPr>
            <w:tcW w:w="2026" w:type="dxa"/>
            <w:tcBorders>
              <w:tl2br w:val="nil"/>
              <w:tr2bl w:val="nil"/>
            </w:tcBorders>
            <w:noWrap w:val="0"/>
            <w:vAlign w:val="center"/>
          </w:tcPr>
          <w:p w14:paraId="365381A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sz w:val="21"/>
                <w:szCs w:val="21"/>
              </w:rPr>
              <w:t>-</w:t>
            </w:r>
          </w:p>
        </w:tc>
        <w:tc>
          <w:tcPr>
            <w:tcW w:w="1215" w:type="dxa"/>
            <w:tcBorders>
              <w:tl2br w:val="nil"/>
              <w:tr2bl w:val="nil"/>
            </w:tcBorders>
            <w:noWrap w:val="0"/>
            <w:vAlign w:val="center"/>
          </w:tcPr>
          <w:p w14:paraId="6DB0BED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3</w:t>
            </w:r>
          </w:p>
        </w:tc>
        <w:tc>
          <w:tcPr>
            <w:tcW w:w="2721" w:type="dxa"/>
            <w:tcBorders>
              <w:tl2br w:val="nil"/>
              <w:tr2bl w:val="nil"/>
            </w:tcBorders>
            <w:noWrap w:val="0"/>
            <w:vAlign w:val="center"/>
          </w:tcPr>
          <w:p w14:paraId="71370A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snapToGrid w:val="0"/>
                <w:color w:val="000000"/>
                <w:sz w:val="21"/>
                <w:szCs w:val="21"/>
              </w:rPr>
              <w:t>卸油区</w:t>
            </w:r>
          </w:p>
        </w:tc>
      </w:tr>
      <w:tr w14:paraId="7A84CB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0" w:hRule="atLeast"/>
          <w:jc w:val="center"/>
        </w:trPr>
        <w:tc>
          <w:tcPr>
            <w:tcW w:w="2836" w:type="dxa"/>
            <w:tcBorders>
              <w:tl2br w:val="nil"/>
              <w:tr2bl w:val="nil"/>
            </w:tcBorders>
            <w:noWrap w:val="0"/>
            <w:vAlign w:val="center"/>
          </w:tcPr>
          <w:p w14:paraId="318D6F2C">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铝</w:t>
            </w:r>
            <w:r>
              <w:rPr>
                <w:rFonts w:hint="default" w:ascii="Times New Roman" w:hAnsi="Times New Roman" w:eastAsia="宋体" w:cs="Times New Roman"/>
                <w:color w:val="auto"/>
                <w:sz w:val="21"/>
                <w:szCs w:val="21"/>
                <w:lang w:val="en-US" w:eastAsia="zh-CN"/>
              </w:rPr>
              <w:t>桶</w:t>
            </w:r>
          </w:p>
        </w:tc>
        <w:tc>
          <w:tcPr>
            <w:tcW w:w="2026" w:type="dxa"/>
            <w:tcBorders>
              <w:tl2br w:val="nil"/>
              <w:tr2bl w:val="nil"/>
            </w:tcBorders>
            <w:noWrap w:val="0"/>
            <w:vAlign w:val="center"/>
          </w:tcPr>
          <w:p w14:paraId="30B2C546">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p>
        </w:tc>
        <w:tc>
          <w:tcPr>
            <w:tcW w:w="1215" w:type="dxa"/>
            <w:tcBorders>
              <w:tl2br w:val="nil"/>
              <w:tr2bl w:val="nil"/>
            </w:tcBorders>
            <w:noWrap w:val="0"/>
            <w:vAlign w:val="center"/>
          </w:tcPr>
          <w:p w14:paraId="2689CF11">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个</w:t>
            </w:r>
          </w:p>
        </w:tc>
        <w:tc>
          <w:tcPr>
            <w:tcW w:w="2721" w:type="dxa"/>
            <w:tcBorders>
              <w:tl2br w:val="nil"/>
              <w:tr2bl w:val="nil"/>
            </w:tcBorders>
            <w:noWrap w:val="0"/>
            <w:vAlign w:val="center"/>
          </w:tcPr>
          <w:p w14:paraId="102AA2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rPr>
              <w:t>卸油区</w:t>
            </w:r>
          </w:p>
        </w:tc>
      </w:tr>
      <w:tr w14:paraId="746B1B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2836" w:type="dxa"/>
            <w:tcBorders>
              <w:tl2br w:val="nil"/>
              <w:tr2bl w:val="nil"/>
            </w:tcBorders>
            <w:noWrap w:val="0"/>
            <w:vAlign w:val="center"/>
          </w:tcPr>
          <w:p w14:paraId="1D210160">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二氧化碳灭火器</w:t>
            </w:r>
          </w:p>
        </w:tc>
        <w:tc>
          <w:tcPr>
            <w:tcW w:w="2026" w:type="dxa"/>
            <w:tcBorders>
              <w:tl2br w:val="nil"/>
              <w:tr2bl w:val="nil"/>
            </w:tcBorders>
            <w:noWrap w:val="0"/>
            <w:vAlign w:val="center"/>
          </w:tcPr>
          <w:p w14:paraId="511C2B1D">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10</w:t>
            </w:r>
            <w:r>
              <w:rPr>
                <w:rFonts w:hint="default" w:ascii="Times New Roman" w:hAnsi="Times New Roman" w:eastAsia="宋体" w:cs="Times New Roman"/>
                <w:b w:val="0"/>
                <w:bCs/>
                <w:snapToGrid w:val="0"/>
                <w:color w:val="000000"/>
                <w:sz w:val="21"/>
                <w:szCs w:val="21"/>
              </w:rPr>
              <w:t>kg</w:t>
            </w:r>
          </w:p>
        </w:tc>
        <w:tc>
          <w:tcPr>
            <w:tcW w:w="1215" w:type="dxa"/>
            <w:tcBorders>
              <w:tl2br w:val="nil"/>
              <w:tr2bl w:val="nil"/>
            </w:tcBorders>
            <w:noWrap w:val="0"/>
            <w:vAlign w:val="center"/>
          </w:tcPr>
          <w:p w14:paraId="2C6B5382">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具</w:t>
            </w:r>
          </w:p>
        </w:tc>
        <w:tc>
          <w:tcPr>
            <w:tcW w:w="2721" w:type="dxa"/>
            <w:tcBorders>
              <w:tl2br w:val="nil"/>
              <w:tr2bl w:val="nil"/>
            </w:tcBorders>
            <w:noWrap w:val="0"/>
            <w:vAlign w:val="center"/>
          </w:tcPr>
          <w:p w14:paraId="6F8E6478">
            <w:pPr>
              <w:keepNext w:val="0"/>
              <w:keepLines w:val="0"/>
              <w:widowControl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snapToGrid w:val="0"/>
                <w:color w:val="000000"/>
                <w:sz w:val="21"/>
                <w:szCs w:val="21"/>
              </w:rPr>
              <w:t>配电间、</w:t>
            </w:r>
            <w:r>
              <w:rPr>
                <w:rFonts w:hint="default" w:ascii="Times New Roman" w:hAnsi="Times New Roman" w:eastAsia="宋体" w:cs="Times New Roman"/>
                <w:b w:val="0"/>
                <w:bCs/>
                <w:snapToGrid w:val="0"/>
                <w:color w:val="000000"/>
                <w:sz w:val="21"/>
                <w:szCs w:val="21"/>
                <w:lang w:val="en-US" w:eastAsia="zh-CN"/>
              </w:rPr>
              <w:t>站房</w:t>
            </w:r>
          </w:p>
        </w:tc>
      </w:tr>
    </w:tbl>
    <w:p w14:paraId="3F945D89">
      <w:pPr>
        <w:pStyle w:val="21"/>
        <w:jc w:val="center"/>
        <w:rPr>
          <w:rFonts w:hint="default" w:ascii="Times New Roman" w:hAnsi="Times New Roman" w:cs="Times New Roman"/>
          <w:color w:val="auto"/>
          <w:szCs w:val="21"/>
        </w:rPr>
      </w:pPr>
    </w:p>
    <w:p w14:paraId="5F2B7A57">
      <w:pPr>
        <w:pStyle w:val="21"/>
        <w:jc w:val="center"/>
        <w:rPr>
          <w:rFonts w:hint="default" w:ascii="Times New Roman" w:hAnsi="Times New Roman" w:cs="Times New Roman"/>
          <w:color w:val="auto"/>
          <w:szCs w:val="21"/>
        </w:rPr>
      </w:pPr>
      <w:r>
        <w:rPr>
          <w:rFonts w:hint="default" w:ascii="Times New Roman" w:hAnsi="Times New Roman" w:cs="Times New Roman"/>
          <w:color w:val="auto"/>
          <w:szCs w:val="21"/>
        </w:rPr>
        <w:t>表7.2-</w:t>
      </w:r>
      <w:r>
        <w:rPr>
          <w:rFonts w:hint="default" w:ascii="Times New Roman" w:hAnsi="Times New Roman" w:cs="Times New Roman"/>
          <w:color w:val="auto"/>
          <w:szCs w:val="21"/>
          <w:lang w:val="en-US" w:eastAsia="zh-CN"/>
        </w:rPr>
        <w:t>6</w:t>
      </w:r>
      <w:r>
        <w:rPr>
          <w:rFonts w:hint="default" w:ascii="Times New Roman" w:hAnsi="Times New Roman" w:cs="Times New Roman"/>
          <w:color w:val="auto"/>
          <w:szCs w:val="21"/>
        </w:rPr>
        <w:t xml:space="preserve"> 应急物资清单</w:t>
      </w:r>
    </w:p>
    <w:tbl>
      <w:tblPr>
        <w:tblStyle w:val="49"/>
        <w:tblW w:w="831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22"/>
        <w:gridCol w:w="2470"/>
        <w:gridCol w:w="1664"/>
        <w:gridCol w:w="1733"/>
        <w:gridCol w:w="1528"/>
      </w:tblGrid>
      <w:tr w14:paraId="44702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22" w:type="dxa"/>
            <w:tcBorders>
              <w:tl2br w:val="nil"/>
              <w:tr2bl w:val="nil"/>
            </w:tcBorders>
            <w:vAlign w:val="center"/>
          </w:tcPr>
          <w:p w14:paraId="208326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黑体" w:cs="Times New Roman"/>
                <w:b/>
                <w:color w:val="auto"/>
                <w:kern w:val="2"/>
                <w:sz w:val="21"/>
                <w:szCs w:val="24"/>
                <w:lang w:val="en-US" w:eastAsia="zh-CN" w:bidi="ar-SA"/>
              </w:rPr>
            </w:pPr>
            <w:r>
              <w:rPr>
                <w:rFonts w:hint="default" w:ascii="Times New Roman" w:hAnsi="Times New Roman" w:eastAsia="黑体" w:cs="Times New Roman"/>
                <w:b/>
                <w:color w:val="auto"/>
                <w:kern w:val="2"/>
                <w:sz w:val="21"/>
                <w:szCs w:val="24"/>
                <w:lang w:val="en-US" w:eastAsia="zh-CN" w:bidi="ar-SA"/>
              </w:rPr>
              <w:t>序号</w:t>
            </w:r>
          </w:p>
        </w:tc>
        <w:tc>
          <w:tcPr>
            <w:tcW w:w="2470" w:type="dxa"/>
            <w:tcBorders>
              <w:tl2br w:val="nil"/>
              <w:tr2bl w:val="nil"/>
            </w:tcBorders>
            <w:vAlign w:val="center"/>
          </w:tcPr>
          <w:p w14:paraId="29BE239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黑体" w:cs="Times New Roman"/>
                <w:b/>
                <w:color w:val="auto"/>
                <w:kern w:val="2"/>
                <w:sz w:val="21"/>
                <w:szCs w:val="24"/>
                <w:lang w:val="en-US" w:eastAsia="zh-CN" w:bidi="ar-SA"/>
              </w:rPr>
            </w:pPr>
            <w:r>
              <w:rPr>
                <w:rFonts w:hint="default" w:ascii="Times New Roman" w:hAnsi="Times New Roman" w:eastAsia="黑体" w:cs="Times New Roman"/>
                <w:b/>
                <w:color w:val="auto"/>
                <w:kern w:val="2"/>
                <w:sz w:val="21"/>
                <w:szCs w:val="24"/>
                <w:lang w:val="en-US" w:eastAsia="zh-CN" w:bidi="ar-SA"/>
              </w:rPr>
              <w:t>应急用品</w:t>
            </w:r>
          </w:p>
        </w:tc>
        <w:tc>
          <w:tcPr>
            <w:tcW w:w="1664" w:type="dxa"/>
            <w:tcBorders>
              <w:tl2br w:val="nil"/>
              <w:tr2bl w:val="nil"/>
            </w:tcBorders>
            <w:vAlign w:val="center"/>
          </w:tcPr>
          <w:p w14:paraId="1CF52B7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数量</w:t>
            </w:r>
          </w:p>
        </w:tc>
        <w:tc>
          <w:tcPr>
            <w:tcW w:w="1733" w:type="dxa"/>
            <w:tcBorders>
              <w:tl2br w:val="nil"/>
              <w:tr2bl w:val="nil"/>
            </w:tcBorders>
            <w:shd w:val="clear" w:color="auto" w:fill="auto"/>
            <w:vAlign w:val="center"/>
          </w:tcPr>
          <w:p w14:paraId="5E46501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设置位置</w:t>
            </w:r>
          </w:p>
        </w:tc>
        <w:tc>
          <w:tcPr>
            <w:tcW w:w="1528" w:type="dxa"/>
            <w:tcBorders>
              <w:tl2br w:val="nil"/>
              <w:tr2bl w:val="nil"/>
            </w:tcBorders>
            <w:shd w:val="clear" w:color="auto" w:fill="auto"/>
            <w:vAlign w:val="center"/>
          </w:tcPr>
          <w:p w14:paraId="1AF82E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备注</w:t>
            </w:r>
          </w:p>
        </w:tc>
      </w:tr>
      <w:tr w14:paraId="62553E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0E14D98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1</w:t>
            </w:r>
          </w:p>
        </w:tc>
        <w:tc>
          <w:tcPr>
            <w:tcW w:w="2470" w:type="dxa"/>
            <w:tcBorders>
              <w:tl2br w:val="nil"/>
              <w:tr2bl w:val="nil"/>
            </w:tcBorders>
            <w:shd w:val="clear" w:color="auto" w:fill="auto"/>
            <w:vAlign w:val="center"/>
          </w:tcPr>
          <w:p w14:paraId="4514569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zh-CN" w:bidi="ar-SA"/>
              </w:rPr>
            </w:pPr>
            <w:r>
              <w:rPr>
                <w:rFonts w:hint="eastAsia" w:ascii="Times New Roman" w:hAnsi="Times New Roman" w:eastAsia="宋体" w:cs="Times New Roman"/>
                <w:b w:val="0"/>
                <w:bCs/>
                <w:snapToGrid w:val="0"/>
                <w:color w:val="000000"/>
                <w:sz w:val="21"/>
                <w:szCs w:val="21"/>
                <w:lang w:val="en-US" w:eastAsia="zh-CN"/>
              </w:rPr>
              <w:t>雨衣</w:t>
            </w:r>
          </w:p>
        </w:tc>
        <w:tc>
          <w:tcPr>
            <w:tcW w:w="1664" w:type="dxa"/>
            <w:tcBorders>
              <w:tl2br w:val="nil"/>
              <w:tr2bl w:val="nil"/>
            </w:tcBorders>
            <w:shd w:val="clear" w:color="auto" w:fill="auto"/>
            <w:vAlign w:val="center"/>
          </w:tcPr>
          <w:p w14:paraId="45C2F63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1件</w:t>
            </w:r>
          </w:p>
        </w:tc>
        <w:tc>
          <w:tcPr>
            <w:tcW w:w="1733" w:type="dxa"/>
            <w:tcBorders>
              <w:tl2br w:val="nil"/>
              <w:tr2bl w:val="nil"/>
            </w:tcBorders>
            <w:shd w:val="clear" w:color="auto" w:fill="auto"/>
            <w:vAlign w:val="center"/>
          </w:tcPr>
          <w:p w14:paraId="58BEEE1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595D25B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678BC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39E9B51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2</w:t>
            </w:r>
          </w:p>
        </w:tc>
        <w:tc>
          <w:tcPr>
            <w:tcW w:w="2470" w:type="dxa"/>
            <w:tcBorders>
              <w:tl2br w:val="nil"/>
              <w:tr2bl w:val="nil"/>
            </w:tcBorders>
            <w:shd w:val="clear" w:color="auto" w:fill="auto"/>
            <w:vAlign w:val="center"/>
          </w:tcPr>
          <w:p w14:paraId="7FAD0B0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en-US" w:bidi="ar-SA"/>
              </w:rPr>
            </w:pPr>
            <w:r>
              <w:rPr>
                <w:rFonts w:hint="eastAsia" w:ascii="Times New Roman" w:hAnsi="Times New Roman" w:eastAsia="宋体" w:cs="Times New Roman"/>
                <w:b w:val="0"/>
                <w:bCs/>
                <w:snapToGrid w:val="0"/>
                <w:color w:val="000000"/>
                <w:sz w:val="21"/>
                <w:szCs w:val="21"/>
                <w:lang w:val="en-US" w:eastAsia="zh-CN"/>
              </w:rPr>
              <w:t>雨鞋</w:t>
            </w:r>
          </w:p>
        </w:tc>
        <w:tc>
          <w:tcPr>
            <w:tcW w:w="1664" w:type="dxa"/>
            <w:tcBorders>
              <w:tl2br w:val="nil"/>
              <w:tr2bl w:val="nil"/>
            </w:tcBorders>
            <w:shd w:val="clear" w:color="auto" w:fill="auto"/>
            <w:vAlign w:val="center"/>
          </w:tcPr>
          <w:p w14:paraId="37B4A75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1双</w:t>
            </w:r>
          </w:p>
        </w:tc>
        <w:tc>
          <w:tcPr>
            <w:tcW w:w="1733" w:type="dxa"/>
            <w:tcBorders>
              <w:tl2br w:val="nil"/>
              <w:tr2bl w:val="nil"/>
            </w:tcBorders>
            <w:shd w:val="clear" w:color="auto" w:fill="auto"/>
            <w:vAlign w:val="center"/>
          </w:tcPr>
          <w:p w14:paraId="7C602BC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5EA0391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3CD7F6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922" w:type="dxa"/>
            <w:tcBorders>
              <w:tl2br w:val="nil"/>
              <w:tr2bl w:val="nil"/>
            </w:tcBorders>
            <w:vAlign w:val="center"/>
          </w:tcPr>
          <w:p w14:paraId="791D7A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3</w:t>
            </w:r>
          </w:p>
        </w:tc>
        <w:tc>
          <w:tcPr>
            <w:tcW w:w="2470" w:type="dxa"/>
            <w:tcBorders>
              <w:tl2br w:val="nil"/>
              <w:tr2bl w:val="nil"/>
            </w:tcBorders>
            <w:shd w:val="clear" w:color="auto" w:fill="auto"/>
            <w:vAlign w:val="center"/>
          </w:tcPr>
          <w:p w14:paraId="041230C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en-US" w:bidi="ar-SA"/>
              </w:rPr>
            </w:pPr>
            <w:r>
              <w:rPr>
                <w:rFonts w:hint="eastAsia" w:ascii="Times New Roman" w:hAnsi="Times New Roman" w:eastAsia="宋体" w:cs="Times New Roman"/>
                <w:b w:val="0"/>
                <w:bCs/>
                <w:snapToGrid w:val="0"/>
                <w:color w:val="000000"/>
                <w:sz w:val="21"/>
                <w:szCs w:val="21"/>
                <w:lang w:val="en-US" w:eastAsia="zh-CN"/>
              </w:rPr>
              <w:t>编织袋</w:t>
            </w:r>
          </w:p>
        </w:tc>
        <w:tc>
          <w:tcPr>
            <w:tcW w:w="1664" w:type="dxa"/>
            <w:tcBorders>
              <w:tl2br w:val="nil"/>
              <w:tr2bl w:val="nil"/>
            </w:tcBorders>
            <w:shd w:val="clear" w:color="auto" w:fill="auto"/>
            <w:vAlign w:val="center"/>
          </w:tcPr>
          <w:p w14:paraId="476E0AF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2个</w:t>
            </w:r>
          </w:p>
        </w:tc>
        <w:tc>
          <w:tcPr>
            <w:tcW w:w="1733" w:type="dxa"/>
            <w:tcBorders>
              <w:tl2br w:val="nil"/>
              <w:tr2bl w:val="nil"/>
            </w:tcBorders>
            <w:shd w:val="clear" w:color="auto" w:fill="auto"/>
            <w:vAlign w:val="center"/>
          </w:tcPr>
          <w:p w14:paraId="239A3FF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0352E47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7CF555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7695E1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4</w:t>
            </w:r>
          </w:p>
        </w:tc>
        <w:tc>
          <w:tcPr>
            <w:tcW w:w="2470" w:type="dxa"/>
            <w:tcBorders>
              <w:tl2br w:val="nil"/>
              <w:tr2bl w:val="nil"/>
            </w:tcBorders>
            <w:shd w:val="clear" w:color="auto" w:fill="auto"/>
            <w:vAlign w:val="center"/>
          </w:tcPr>
          <w:p w14:paraId="2B99EDD1">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en-US" w:bidi="ar-SA"/>
              </w:rPr>
            </w:pPr>
            <w:r>
              <w:rPr>
                <w:rFonts w:hint="eastAsia" w:ascii="Times New Roman" w:hAnsi="Times New Roman" w:eastAsia="宋体" w:cs="Times New Roman"/>
                <w:b w:val="0"/>
                <w:bCs/>
                <w:snapToGrid w:val="0"/>
                <w:color w:val="000000"/>
                <w:sz w:val="21"/>
                <w:szCs w:val="21"/>
                <w:lang w:val="en-US" w:eastAsia="zh-CN"/>
              </w:rPr>
              <w:t>防护眼镜</w:t>
            </w:r>
          </w:p>
        </w:tc>
        <w:tc>
          <w:tcPr>
            <w:tcW w:w="1664" w:type="dxa"/>
            <w:tcBorders>
              <w:tl2br w:val="nil"/>
              <w:tr2bl w:val="nil"/>
            </w:tcBorders>
            <w:shd w:val="clear" w:color="auto" w:fill="auto"/>
            <w:vAlign w:val="center"/>
          </w:tcPr>
          <w:p w14:paraId="3C932840">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1副</w:t>
            </w:r>
          </w:p>
        </w:tc>
        <w:tc>
          <w:tcPr>
            <w:tcW w:w="1733" w:type="dxa"/>
            <w:tcBorders>
              <w:tl2br w:val="nil"/>
              <w:tr2bl w:val="nil"/>
            </w:tcBorders>
            <w:shd w:val="clear" w:color="auto" w:fill="auto"/>
            <w:vAlign w:val="center"/>
          </w:tcPr>
          <w:p w14:paraId="0F0BE1B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40B41C7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479E23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237CB79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5</w:t>
            </w:r>
          </w:p>
        </w:tc>
        <w:tc>
          <w:tcPr>
            <w:tcW w:w="2470" w:type="dxa"/>
            <w:tcBorders>
              <w:tl2br w:val="nil"/>
              <w:tr2bl w:val="nil"/>
            </w:tcBorders>
            <w:shd w:val="clear" w:color="auto" w:fill="auto"/>
            <w:vAlign w:val="center"/>
          </w:tcPr>
          <w:p w14:paraId="112635A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en-US" w:bidi="ar-SA"/>
              </w:rPr>
            </w:pPr>
            <w:r>
              <w:rPr>
                <w:rFonts w:hint="eastAsia" w:ascii="Times New Roman" w:hAnsi="Times New Roman" w:eastAsia="宋体" w:cs="Times New Roman"/>
                <w:b w:val="0"/>
                <w:bCs/>
                <w:snapToGrid w:val="0"/>
                <w:color w:val="000000"/>
                <w:sz w:val="21"/>
                <w:szCs w:val="21"/>
                <w:lang w:val="en-US" w:eastAsia="zh-CN"/>
              </w:rPr>
              <w:t>安全帽</w:t>
            </w:r>
          </w:p>
        </w:tc>
        <w:tc>
          <w:tcPr>
            <w:tcW w:w="1664" w:type="dxa"/>
            <w:tcBorders>
              <w:tl2br w:val="nil"/>
              <w:tr2bl w:val="nil"/>
            </w:tcBorders>
            <w:shd w:val="clear" w:color="auto" w:fill="auto"/>
            <w:vAlign w:val="center"/>
          </w:tcPr>
          <w:p w14:paraId="2E629E8A">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2个</w:t>
            </w:r>
          </w:p>
        </w:tc>
        <w:tc>
          <w:tcPr>
            <w:tcW w:w="1733" w:type="dxa"/>
            <w:tcBorders>
              <w:tl2br w:val="nil"/>
              <w:tr2bl w:val="nil"/>
            </w:tcBorders>
            <w:shd w:val="clear" w:color="auto" w:fill="auto"/>
            <w:vAlign w:val="center"/>
          </w:tcPr>
          <w:p w14:paraId="5E80D7A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4247EF9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4B8389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048901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6</w:t>
            </w:r>
          </w:p>
        </w:tc>
        <w:tc>
          <w:tcPr>
            <w:tcW w:w="2470" w:type="dxa"/>
            <w:tcBorders>
              <w:tl2br w:val="nil"/>
              <w:tr2bl w:val="nil"/>
            </w:tcBorders>
            <w:shd w:val="clear" w:color="auto" w:fill="auto"/>
            <w:vAlign w:val="center"/>
          </w:tcPr>
          <w:p w14:paraId="3BE9BAE3">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en-US" w:bidi="ar-SA"/>
              </w:rPr>
            </w:pPr>
            <w:r>
              <w:rPr>
                <w:rFonts w:hint="eastAsia" w:ascii="Times New Roman" w:hAnsi="Times New Roman" w:eastAsia="宋体" w:cs="Times New Roman"/>
                <w:b w:val="0"/>
                <w:bCs/>
                <w:snapToGrid w:val="0"/>
                <w:color w:val="000000"/>
                <w:sz w:val="21"/>
                <w:szCs w:val="21"/>
                <w:lang w:val="en-US" w:eastAsia="zh-CN"/>
              </w:rPr>
              <w:t>警棍</w:t>
            </w:r>
          </w:p>
        </w:tc>
        <w:tc>
          <w:tcPr>
            <w:tcW w:w="1664" w:type="dxa"/>
            <w:tcBorders>
              <w:tl2br w:val="nil"/>
              <w:tr2bl w:val="nil"/>
            </w:tcBorders>
            <w:shd w:val="clear" w:color="auto" w:fill="auto"/>
            <w:vAlign w:val="center"/>
          </w:tcPr>
          <w:p w14:paraId="4B0CA376">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2根</w:t>
            </w:r>
          </w:p>
        </w:tc>
        <w:tc>
          <w:tcPr>
            <w:tcW w:w="1733" w:type="dxa"/>
            <w:tcBorders>
              <w:tl2br w:val="nil"/>
              <w:tr2bl w:val="nil"/>
            </w:tcBorders>
            <w:shd w:val="clear" w:color="auto" w:fill="auto"/>
            <w:vAlign w:val="center"/>
          </w:tcPr>
          <w:p w14:paraId="5AD899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260BEDE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71D6F1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789CCCE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7</w:t>
            </w:r>
          </w:p>
        </w:tc>
        <w:tc>
          <w:tcPr>
            <w:tcW w:w="2470" w:type="dxa"/>
            <w:tcBorders>
              <w:tl2br w:val="nil"/>
              <w:tr2bl w:val="nil"/>
            </w:tcBorders>
            <w:shd w:val="clear" w:color="auto" w:fill="auto"/>
            <w:vAlign w:val="center"/>
          </w:tcPr>
          <w:p w14:paraId="551036E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kern w:val="2"/>
                <w:sz w:val="21"/>
                <w:szCs w:val="21"/>
                <w:lang w:val="en-US" w:eastAsia="zh-CN" w:bidi="ar-SA"/>
              </w:rPr>
            </w:pPr>
            <w:r>
              <w:rPr>
                <w:rFonts w:hint="eastAsia" w:ascii="Times New Roman" w:hAnsi="Times New Roman" w:eastAsia="宋体" w:cs="Times New Roman"/>
                <w:b w:val="0"/>
                <w:bCs/>
                <w:snapToGrid w:val="0"/>
                <w:color w:val="000000"/>
                <w:sz w:val="21"/>
                <w:szCs w:val="21"/>
                <w:lang w:val="en-US" w:eastAsia="zh-CN"/>
              </w:rPr>
              <w:t>齐眉棍</w:t>
            </w:r>
          </w:p>
        </w:tc>
        <w:tc>
          <w:tcPr>
            <w:tcW w:w="1664" w:type="dxa"/>
            <w:tcBorders>
              <w:tl2br w:val="nil"/>
              <w:tr2bl w:val="nil"/>
            </w:tcBorders>
            <w:shd w:val="clear" w:color="auto" w:fill="auto"/>
            <w:vAlign w:val="center"/>
          </w:tcPr>
          <w:p w14:paraId="7FADF24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2根</w:t>
            </w:r>
          </w:p>
        </w:tc>
        <w:tc>
          <w:tcPr>
            <w:tcW w:w="1733" w:type="dxa"/>
            <w:tcBorders>
              <w:tl2br w:val="nil"/>
              <w:tr2bl w:val="nil"/>
            </w:tcBorders>
            <w:shd w:val="clear" w:color="auto" w:fill="auto"/>
            <w:vAlign w:val="center"/>
          </w:tcPr>
          <w:p w14:paraId="483F544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站房</w:t>
            </w:r>
          </w:p>
        </w:tc>
        <w:tc>
          <w:tcPr>
            <w:tcW w:w="1528" w:type="dxa"/>
            <w:tcBorders>
              <w:tl2br w:val="nil"/>
              <w:tr2bl w:val="nil"/>
            </w:tcBorders>
            <w:shd w:val="clear" w:color="auto" w:fill="auto"/>
            <w:vAlign w:val="center"/>
          </w:tcPr>
          <w:p w14:paraId="64152A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17EBD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64783395">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8</w:t>
            </w:r>
          </w:p>
        </w:tc>
        <w:tc>
          <w:tcPr>
            <w:tcW w:w="2470" w:type="dxa"/>
            <w:tcBorders>
              <w:tl2br w:val="nil"/>
              <w:tr2bl w:val="nil"/>
            </w:tcBorders>
            <w:shd w:val="clear" w:color="auto" w:fill="auto"/>
            <w:vAlign w:val="center"/>
          </w:tcPr>
          <w:p w14:paraId="6B91C4D9">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防暴盾牌</w:t>
            </w:r>
          </w:p>
        </w:tc>
        <w:tc>
          <w:tcPr>
            <w:tcW w:w="1664" w:type="dxa"/>
            <w:tcBorders>
              <w:tl2br w:val="nil"/>
              <w:tr2bl w:val="nil"/>
            </w:tcBorders>
            <w:shd w:val="clear" w:color="auto" w:fill="auto"/>
            <w:vAlign w:val="center"/>
          </w:tcPr>
          <w:p w14:paraId="70AA78F8">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2个</w:t>
            </w:r>
          </w:p>
        </w:tc>
        <w:tc>
          <w:tcPr>
            <w:tcW w:w="1733" w:type="dxa"/>
            <w:tcBorders>
              <w:tl2br w:val="nil"/>
              <w:tr2bl w:val="nil"/>
            </w:tcBorders>
            <w:shd w:val="clear" w:color="auto" w:fill="auto"/>
            <w:vAlign w:val="center"/>
          </w:tcPr>
          <w:p w14:paraId="45164DA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站房</w:t>
            </w:r>
          </w:p>
        </w:tc>
        <w:tc>
          <w:tcPr>
            <w:tcW w:w="1528" w:type="dxa"/>
            <w:tcBorders>
              <w:tl2br w:val="nil"/>
              <w:tr2bl w:val="nil"/>
            </w:tcBorders>
            <w:shd w:val="clear" w:color="auto" w:fill="auto"/>
            <w:vAlign w:val="center"/>
          </w:tcPr>
          <w:p w14:paraId="2E46532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2D99A0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922" w:type="dxa"/>
            <w:tcBorders>
              <w:tl2br w:val="nil"/>
              <w:tr2bl w:val="nil"/>
            </w:tcBorders>
            <w:vAlign w:val="center"/>
          </w:tcPr>
          <w:p w14:paraId="58C8FA8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9</w:t>
            </w:r>
          </w:p>
        </w:tc>
        <w:tc>
          <w:tcPr>
            <w:tcW w:w="2470" w:type="dxa"/>
            <w:tcBorders>
              <w:tl2br w:val="nil"/>
              <w:tr2bl w:val="nil"/>
            </w:tcBorders>
            <w:shd w:val="clear" w:color="auto" w:fill="auto"/>
            <w:vAlign w:val="center"/>
          </w:tcPr>
          <w:p w14:paraId="25467F84">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防暴头盔</w:t>
            </w:r>
          </w:p>
        </w:tc>
        <w:tc>
          <w:tcPr>
            <w:tcW w:w="1664" w:type="dxa"/>
            <w:tcBorders>
              <w:tl2br w:val="nil"/>
              <w:tr2bl w:val="nil"/>
            </w:tcBorders>
            <w:shd w:val="clear" w:color="auto" w:fill="auto"/>
            <w:vAlign w:val="center"/>
          </w:tcPr>
          <w:p w14:paraId="440EA26C">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2个</w:t>
            </w:r>
          </w:p>
        </w:tc>
        <w:tc>
          <w:tcPr>
            <w:tcW w:w="1733" w:type="dxa"/>
            <w:tcBorders>
              <w:tl2br w:val="nil"/>
              <w:tr2bl w:val="nil"/>
            </w:tcBorders>
            <w:shd w:val="clear" w:color="auto" w:fill="auto"/>
            <w:vAlign w:val="center"/>
          </w:tcPr>
          <w:p w14:paraId="71A8E1D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站房</w:t>
            </w:r>
          </w:p>
        </w:tc>
        <w:tc>
          <w:tcPr>
            <w:tcW w:w="1528" w:type="dxa"/>
            <w:tcBorders>
              <w:tl2br w:val="nil"/>
              <w:tr2bl w:val="nil"/>
            </w:tcBorders>
            <w:shd w:val="clear" w:color="auto" w:fill="auto"/>
            <w:vAlign w:val="center"/>
          </w:tcPr>
          <w:p w14:paraId="374172B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r w14:paraId="5BE39F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0" w:type="auto"/>
            <w:vAlign w:val="center"/>
          </w:tcPr>
          <w:p w14:paraId="15074FE2">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bookmarkStart w:id="413" w:name="_Toc2691698"/>
            <w:r>
              <w:rPr>
                <w:rFonts w:hint="eastAsia" w:ascii="Times New Roman" w:hAnsi="Times New Roman" w:eastAsia="宋体" w:cs="Times New Roman"/>
                <w:b w:val="0"/>
                <w:bCs/>
                <w:snapToGrid w:val="0"/>
                <w:color w:val="000000"/>
                <w:sz w:val="21"/>
                <w:szCs w:val="21"/>
                <w:lang w:val="en-US" w:eastAsia="zh-CN"/>
              </w:rPr>
              <w:t>10</w:t>
            </w:r>
          </w:p>
        </w:tc>
        <w:tc>
          <w:tcPr>
            <w:tcW w:w="0" w:type="auto"/>
            <w:shd w:val="clear" w:color="auto" w:fill="auto"/>
            <w:vAlign w:val="center"/>
          </w:tcPr>
          <w:p w14:paraId="40C9F281">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eastAsia" w:ascii="Times New Roman" w:hAnsi="Times New Roman" w:eastAsia="宋体" w:cs="Times New Roman"/>
                <w:b w:val="0"/>
                <w:bCs/>
                <w:snapToGrid w:val="0"/>
                <w:color w:val="000000"/>
                <w:sz w:val="21"/>
                <w:szCs w:val="21"/>
                <w:lang w:val="en-US" w:eastAsia="zh-CN"/>
              </w:rPr>
              <w:t>警用喷雾</w:t>
            </w:r>
          </w:p>
        </w:tc>
        <w:tc>
          <w:tcPr>
            <w:tcW w:w="0" w:type="auto"/>
            <w:shd w:val="clear" w:color="auto" w:fill="auto"/>
            <w:vAlign w:val="center"/>
          </w:tcPr>
          <w:p w14:paraId="0A8F4007">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2个</w:t>
            </w:r>
          </w:p>
        </w:tc>
        <w:tc>
          <w:tcPr>
            <w:tcW w:w="0" w:type="auto"/>
            <w:vAlign w:val="center"/>
          </w:tcPr>
          <w:p w14:paraId="1D14F62E">
            <w:pPr>
              <w:pStyle w:val="118"/>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snapToGrid w:val="0"/>
                <w:color w:val="000000"/>
                <w:sz w:val="21"/>
                <w:szCs w:val="21"/>
                <w:lang w:val="en-US" w:eastAsia="zh-CN"/>
              </w:rPr>
            </w:pPr>
            <w:r>
              <w:rPr>
                <w:rFonts w:hint="default" w:ascii="Times New Roman" w:hAnsi="Times New Roman" w:eastAsia="宋体" w:cs="Times New Roman"/>
                <w:b w:val="0"/>
                <w:bCs/>
                <w:snapToGrid w:val="0"/>
                <w:color w:val="000000"/>
                <w:sz w:val="21"/>
                <w:szCs w:val="21"/>
                <w:lang w:val="en-US" w:eastAsia="zh-CN"/>
              </w:rPr>
              <w:t>站房</w:t>
            </w:r>
          </w:p>
        </w:tc>
        <w:tc>
          <w:tcPr>
            <w:tcW w:w="0" w:type="auto"/>
          </w:tcPr>
          <w:p w14:paraId="7EAE73F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4"/>
                <w:lang w:val="en-US" w:eastAsia="zh-CN" w:bidi="ar-SA"/>
              </w:rPr>
            </w:pPr>
          </w:p>
        </w:tc>
      </w:tr>
    </w:tbl>
    <w:p w14:paraId="54E4FB11">
      <w:pPr>
        <w:pStyle w:val="21"/>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eastAsia="宋体" w:cs="Times New Roman"/>
          <w:b w:val="0"/>
          <w:color w:val="auto"/>
          <w:sz w:val="28"/>
        </w:rPr>
      </w:pPr>
      <w:r>
        <w:rPr>
          <w:rFonts w:hint="default" w:ascii="Times New Roman" w:hAnsi="Times New Roman" w:eastAsia="宋体" w:cs="Times New Roman"/>
          <w:b w:val="0"/>
          <w:color w:val="auto"/>
          <w:sz w:val="28"/>
        </w:rPr>
        <w:t>该加油站事故应急救援器材、设备设施的配备符合《汽车加油加气加氢站技术标准》（GB50156-2021）的要求。</w:t>
      </w:r>
    </w:p>
    <w:p w14:paraId="7A43C9F1">
      <w:pPr>
        <w:pStyle w:val="6"/>
        <w:spacing w:line="360" w:lineRule="auto"/>
        <w:ind w:left="0" w:leftChars="0" w:firstLine="0" w:firstLineChars="0"/>
        <w:rPr>
          <w:rFonts w:hint="default" w:ascii="Times New Roman" w:hAnsi="Times New Roman" w:eastAsia="黑体" w:cs="Times New Roman"/>
          <w:color w:val="auto"/>
        </w:rPr>
      </w:pPr>
      <w:r>
        <w:rPr>
          <w:rFonts w:hint="default" w:ascii="Times New Roman" w:hAnsi="Times New Roman" w:eastAsia="黑体" w:cs="Times New Roman"/>
          <w:color w:val="auto"/>
        </w:rPr>
        <w:t>7.2.</w:t>
      </w:r>
      <w:r>
        <w:rPr>
          <w:rFonts w:hint="eastAsia" w:eastAsia="黑体" w:cs="Times New Roman"/>
          <w:color w:val="auto"/>
          <w:lang w:val="en-US" w:eastAsia="zh-CN"/>
        </w:rPr>
        <w:t>8</w:t>
      </w:r>
      <w:r>
        <w:rPr>
          <w:rFonts w:hint="default" w:ascii="Times New Roman" w:hAnsi="Times New Roman" w:eastAsia="黑体" w:cs="Times New Roman"/>
          <w:color w:val="auto"/>
        </w:rPr>
        <w:t>.</w:t>
      </w:r>
      <w:r>
        <w:rPr>
          <w:rFonts w:hint="default" w:ascii="Times New Roman" w:hAnsi="Times New Roman" w:eastAsia="黑体" w:cs="Times New Roman"/>
          <w:color w:val="auto"/>
          <w:lang w:val="en-US" w:eastAsia="zh-CN"/>
        </w:rPr>
        <w:t>2</w:t>
      </w:r>
      <w:r>
        <w:rPr>
          <w:rFonts w:hint="default" w:ascii="Times New Roman" w:hAnsi="Times New Roman" w:eastAsia="黑体" w:cs="Times New Roman"/>
          <w:color w:val="auto"/>
        </w:rPr>
        <w:t>事故应急救援预案评价小结</w:t>
      </w:r>
      <w:bookmarkEnd w:id="413"/>
    </w:p>
    <w:p w14:paraId="1F1FEB31">
      <w:pPr>
        <w:shd w:val="clear"/>
        <w:spacing w:line="360" w:lineRule="auto"/>
        <w:ind w:firstLine="560"/>
        <w:rPr>
          <w:rFonts w:hint="eastAsia" w:eastAsia="宋体"/>
          <w:color w:val="auto"/>
          <w:lang w:eastAsia="zh-CN"/>
        </w:rPr>
      </w:pPr>
      <w:r>
        <w:rPr>
          <w:rFonts w:hint="default" w:ascii="Times New Roman" w:hAnsi="Times New Roman" w:cs="Times New Roman"/>
          <w:color w:val="auto"/>
          <w:shd w:val="clear"/>
        </w:rPr>
        <w:t>该加油站根据《生产经营单位生产安全事故应急预案编制导则》（GB/T29639-2020）及相关文件规定，针对可能发生的各项生产安全事故、要求，编制了《</w:t>
      </w:r>
      <w:r>
        <w:rPr>
          <w:rFonts w:hint="default" w:ascii="Times New Roman" w:hAnsi="Times New Roman" w:cs="Times New Roman"/>
          <w:color w:val="auto"/>
          <w:shd w:val="clear"/>
          <w:lang w:val="en-US" w:eastAsia="zh-CN"/>
        </w:rPr>
        <w:t>中国石化销售股份有限公司江西宜春铜鼓县城加油站生产安</w:t>
      </w:r>
      <w:r>
        <w:rPr>
          <w:rFonts w:hint="eastAsia"/>
          <w:color w:val="auto"/>
          <w:shd w:val="clear"/>
          <w:lang w:val="en-US" w:eastAsia="zh-CN"/>
        </w:rPr>
        <w:t>全事故应急预案</w:t>
      </w:r>
      <w:r>
        <w:rPr>
          <w:rFonts w:hint="eastAsia"/>
          <w:color w:val="auto"/>
          <w:shd w:val="clear"/>
        </w:rPr>
        <w:t>》</w:t>
      </w:r>
      <w:r>
        <w:rPr>
          <w:rFonts w:hint="eastAsia"/>
          <w:color w:val="auto"/>
          <w:shd w:val="clear"/>
          <w:lang w:eastAsia="zh-CN"/>
        </w:rPr>
        <w:t>。</w:t>
      </w:r>
    </w:p>
    <w:p w14:paraId="62CF0FB6">
      <w:pPr>
        <w:pStyle w:val="3"/>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0" w:charSpace="0"/>
        </w:sectPr>
      </w:pPr>
    </w:p>
    <w:bookmarkEnd w:id="357"/>
    <w:bookmarkEnd w:id="358"/>
    <w:bookmarkEnd w:id="359"/>
    <w:bookmarkEnd w:id="360"/>
    <w:bookmarkEnd w:id="361"/>
    <w:bookmarkEnd w:id="362"/>
    <w:p w14:paraId="2F129F96">
      <w:pPr>
        <w:pStyle w:val="3"/>
        <w:spacing w:before="120" w:beforeLines="50" w:after="120" w:afterLines="50"/>
        <w:rPr>
          <w:rFonts w:hint="default" w:ascii="Times New Roman" w:hAnsi="Times New Roman" w:cs="Times New Roman"/>
          <w:bCs w:val="0"/>
          <w:color w:val="auto"/>
        </w:rPr>
      </w:pPr>
      <w:bookmarkStart w:id="414" w:name="_Toc4739"/>
      <w:bookmarkStart w:id="415" w:name="_Toc14499"/>
      <w:bookmarkStart w:id="416" w:name="_Toc14903"/>
      <w:bookmarkStart w:id="417" w:name="_Toc1983"/>
      <w:bookmarkStart w:id="418" w:name="_Toc27302"/>
      <w:bookmarkStart w:id="419" w:name="_Toc21877"/>
      <w:bookmarkStart w:id="420" w:name="_Toc8127"/>
      <w:bookmarkStart w:id="421" w:name="_Toc23554"/>
      <w:r>
        <w:rPr>
          <w:rFonts w:hint="default" w:ascii="Times New Roman" w:hAnsi="Times New Roman" w:cs="Times New Roman"/>
          <w:bCs w:val="0"/>
          <w:color w:val="auto"/>
        </w:rPr>
        <w:t>第八章 安全设施的施工、检验、检测和调试情况</w:t>
      </w:r>
      <w:bookmarkEnd w:id="414"/>
      <w:bookmarkEnd w:id="415"/>
      <w:bookmarkEnd w:id="416"/>
    </w:p>
    <w:p w14:paraId="0EE70AC3">
      <w:pPr>
        <w:pStyle w:val="4"/>
        <w:keepNext/>
        <w:keepLines/>
        <w:pageBreakBefore w:val="0"/>
        <w:widowControl/>
        <w:kinsoku/>
        <w:wordWrap/>
        <w:overflowPunct/>
        <w:topLinePunct w:val="0"/>
        <w:autoSpaceDE/>
        <w:autoSpaceDN/>
        <w:bidi w:val="0"/>
        <w:adjustRightInd/>
        <w:snapToGrid w:val="0"/>
        <w:spacing w:line="360" w:lineRule="auto"/>
        <w:jc w:val="both"/>
        <w:textAlignment w:val="auto"/>
        <w:rPr>
          <w:rFonts w:hint="default" w:ascii="Times New Roman" w:hAnsi="Times New Roman" w:cs="Times New Roman"/>
          <w:color w:val="auto"/>
        </w:rPr>
      </w:pPr>
      <w:bookmarkStart w:id="422" w:name="_Toc31002"/>
      <w:bookmarkStart w:id="423" w:name="_Toc11611"/>
      <w:bookmarkStart w:id="424" w:name="_Toc24222"/>
      <w:bookmarkStart w:id="425" w:name="_Toc10238"/>
      <w:bookmarkStart w:id="426" w:name="_Toc2691649"/>
      <w:bookmarkStart w:id="427" w:name="OLE_LINK14"/>
      <w:r>
        <w:rPr>
          <w:rFonts w:hint="default" w:ascii="Times New Roman" w:hAnsi="Times New Roman" w:cs="Times New Roman"/>
          <w:color w:val="auto"/>
        </w:rPr>
        <w:t>8.1建设项目设计变更情况</w:t>
      </w:r>
      <w:bookmarkEnd w:id="422"/>
      <w:bookmarkEnd w:id="423"/>
      <w:bookmarkEnd w:id="424"/>
      <w:bookmarkEnd w:id="425"/>
    </w:p>
    <w:p w14:paraId="33EC02E9">
      <w:pPr>
        <w:shd w:val="clear"/>
        <w:spacing w:line="360" w:lineRule="auto"/>
        <w:ind w:firstLine="560"/>
        <w:rPr>
          <w:rFonts w:hint="eastAsia" w:ascii="Times New Roman" w:hAnsi="Times New Roman" w:cs="Times New Roman"/>
          <w:color w:val="auto"/>
          <w:lang w:val="en-US" w:eastAsia="zh-CN"/>
        </w:rPr>
      </w:pPr>
      <w:bookmarkStart w:id="428" w:name="_Toc15748"/>
      <w:r>
        <w:rPr>
          <w:rFonts w:hint="eastAsia" w:cs="Times New Roman"/>
          <w:color w:val="auto"/>
          <w:lang w:val="en-US" w:eastAsia="zh-CN"/>
        </w:rPr>
        <w:t>天津中德工程设计有限</w:t>
      </w:r>
      <w:r>
        <w:rPr>
          <w:rFonts w:hint="default" w:ascii="Times New Roman" w:hAnsi="Times New Roman" w:cs="Times New Roman"/>
          <w:color w:val="auto"/>
          <w:lang w:eastAsia="zh-CN"/>
        </w:rPr>
        <w:t>公司</w:t>
      </w:r>
      <w:r>
        <w:rPr>
          <w:rFonts w:hint="default" w:ascii="Times New Roman" w:hAnsi="Times New Roman" w:cs="Times New Roman"/>
          <w:color w:val="auto"/>
        </w:rPr>
        <w:t>对该加油站建设项目进行了安全设施设计，并出具了《</w:t>
      </w:r>
      <w:r>
        <w:rPr>
          <w:rFonts w:hint="default" w:ascii="Times New Roman" w:hAnsi="Times New Roman" w:cs="Times New Roman"/>
          <w:color w:val="auto"/>
          <w:lang w:eastAsia="zh-CN"/>
        </w:rPr>
        <w:t>中国石化销售股份有限公司江西宜春铜鼓县城加油站单罐单线改造项目安全设施设计</w:t>
      </w:r>
      <w:r>
        <w:rPr>
          <w:rFonts w:hint="default" w:ascii="Times New Roman" w:hAnsi="Times New Roman" w:cs="Times New Roman"/>
          <w:color w:val="auto"/>
        </w:rPr>
        <w:t>》</w:t>
      </w:r>
      <w:r>
        <w:rPr>
          <w:rFonts w:hint="default" w:ascii="Times New Roman" w:hAnsi="Times New Roman" w:cs="Times New Roman"/>
          <w:color w:val="auto"/>
          <w:lang w:eastAsia="zh-CN"/>
        </w:rPr>
        <w:t>，企业按程序进行建设，在保证安全的前提下，对项目设施设计进行了变更。</w:t>
      </w:r>
      <w:r>
        <w:rPr>
          <w:rFonts w:hint="eastAsia" w:ascii="Times New Roman" w:hAnsi="Times New Roman" w:cs="Times New Roman"/>
          <w:color w:val="auto"/>
          <w:lang w:val="en-US" w:eastAsia="zh-CN"/>
        </w:rPr>
        <w:t>变更内容如下：</w:t>
      </w:r>
    </w:p>
    <w:p w14:paraId="6E2A346A">
      <w:pPr>
        <w:shd w:val="clear"/>
        <w:spacing w:line="360" w:lineRule="auto"/>
        <w:ind w:firstLine="560"/>
        <w:rPr>
          <w:rFonts w:hint="eastAsia" w:ascii="Times New Roman" w:hAnsi="Times New Roman" w:cs="Times New Roman"/>
          <w:color w:val="auto"/>
          <w:lang w:val="en-US" w:eastAsia="zh-CN"/>
        </w:rPr>
      </w:pPr>
      <w:r>
        <w:rPr>
          <w:rFonts w:hint="eastAsia" w:cs="Times New Roman"/>
          <w:color w:val="auto"/>
          <w:lang w:val="en-US" w:eastAsia="zh-CN"/>
        </w:rPr>
        <w:t>（1）</w:t>
      </w:r>
      <w:r>
        <w:rPr>
          <w:rFonts w:hint="eastAsia" w:ascii="Times New Roman" w:hAnsi="Times New Roman" w:cs="Times New Roman"/>
          <w:color w:val="auto"/>
          <w:lang w:val="en-US" w:eastAsia="zh-CN"/>
        </w:rPr>
        <w:t>站房的面积调整为227.18平方米。</w:t>
      </w:r>
    </w:p>
    <w:p w14:paraId="642B322B">
      <w:pPr>
        <w:shd w:val="clear"/>
        <w:spacing w:line="360" w:lineRule="auto"/>
        <w:ind w:firstLine="560"/>
        <w:rPr>
          <w:rFonts w:hint="default" w:ascii="Times New Roman" w:hAnsi="Times New Roman" w:cs="Times New Roman"/>
          <w:color w:val="auto"/>
          <w:lang w:val="en-US" w:eastAsia="zh-CN"/>
        </w:rPr>
      </w:pPr>
      <w:r>
        <w:rPr>
          <w:rFonts w:hint="eastAsia" w:cs="Times New Roman"/>
          <w:color w:val="auto"/>
          <w:lang w:val="en-US" w:eastAsia="zh-CN"/>
        </w:rPr>
        <w:t>（2）</w:t>
      </w:r>
      <w:r>
        <w:rPr>
          <w:rFonts w:hint="default" w:ascii="Times New Roman" w:hAnsi="Times New Roman" w:cs="Times New Roman"/>
          <w:color w:val="auto"/>
          <w:lang w:val="en-US" w:eastAsia="zh-CN"/>
        </w:rPr>
        <w:t>调整95#和98#汽油罐的位置，调整后3个汽油罐均在罩棚下后排柱子之间</w:t>
      </w:r>
      <w:r>
        <w:rPr>
          <w:rFonts w:hint="eastAsia" w:ascii="Times New Roman" w:hAnsi="Times New Roman" w:cs="Times New Roman"/>
          <w:color w:val="auto"/>
          <w:lang w:val="en-US" w:eastAsia="zh-CN"/>
        </w:rPr>
        <w:t>。</w:t>
      </w:r>
    </w:p>
    <w:p w14:paraId="11BD6051">
      <w:pPr>
        <w:shd w:val="clear"/>
        <w:spacing w:line="360" w:lineRule="auto"/>
        <w:ind w:firstLine="560"/>
        <w:rPr>
          <w:rFonts w:hint="default" w:ascii="Times New Roman" w:hAnsi="Times New Roman" w:cs="Times New Roman"/>
          <w:color w:val="auto"/>
          <w:lang w:val="en-US" w:eastAsia="zh-CN"/>
        </w:rPr>
      </w:pPr>
      <w:r>
        <w:rPr>
          <w:rFonts w:hint="eastAsia" w:cs="Times New Roman"/>
          <w:color w:val="auto"/>
          <w:lang w:val="en-US" w:eastAsia="zh-CN"/>
        </w:rPr>
        <w:t>（3）</w:t>
      </w:r>
      <w:r>
        <w:rPr>
          <w:rFonts w:hint="default" w:ascii="Times New Roman" w:hAnsi="Times New Roman" w:cs="Times New Roman"/>
          <w:color w:val="auto"/>
          <w:lang w:val="en-US" w:eastAsia="zh-CN"/>
        </w:rPr>
        <w:t>卸油口调整到罩棚下前排柱子之间</w:t>
      </w:r>
      <w:r>
        <w:rPr>
          <w:rFonts w:hint="eastAsia" w:ascii="Times New Roman" w:hAnsi="Times New Roman" w:cs="Times New Roman"/>
          <w:color w:val="auto"/>
          <w:lang w:val="en-US" w:eastAsia="zh-CN"/>
        </w:rPr>
        <w:t>。</w:t>
      </w:r>
    </w:p>
    <w:p w14:paraId="49076721">
      <w:pPr>
        <w:shd w:val="clear"/>
        <w:spacing w:line="360" w:lineRule="auto"/>
        <w:ind w:firstLine="560"/>
        <w:rPr>
          <w:rFonts w:hint="default" w:ascii="Times New Roman" w:hAnsi="Times New Roman" w:cs="Times New Roman"/>
          <w:color w:val="auto"/>
          <w:lang w:val="en-US" w:eastAsia="zh-CN"/>
        </w:rPr>
      </w:pPr>
      <w:r>
        <w:rPr>
          <w:rFonts w:hint="eastAsia" w:cs="Times New Roman"/>
          <w:color w:val="auto"/>
          <w:lang w:val="en-US" w:eastAsia="zh-CN"/>
        </w:rPr>
        <w:t>（4）</w:t>
      </w:r>
      <w:r>
        <w:rPr>
          <w:rFonts w:hint="default" w:ascii="Times New Roman" w:hAnsi="Times New Roman" w:cs="Times New Roman"/>
          <w:color w:val="auto"/>
          <w:lang w:val="en-US" w:eastAsia="zh-CN"/>
        </w:rPr>
        <w:t>调整加油机油品布置</w:t>
      </w:r>
      <w:r>
        <w:rPr>
          <w:rFonts w:hint="eastAsia" w:ascii="Times New Roman" w:hAnsi="Times New Roman" w:cs="Times New Roman"/>
          <w:color w:val="auto"/>
          <w:lang w:val="en-US" w:eastAsia="zh-CN"/>
        </w:rPr>
        <w:t>。</w:t>
      </w:r>
    </w:p>
    <w:p w14:paraId="57284C3F">
      <w:pPr>
        <w:shd w:val="clear"/>
        <w:spacing w:line="360" w:lineRule="auto"/>
        <w:ind w:firstLine="560"/>
        <w:rPr>
          <w:rFonts w:hint="default" w:ascii="Times New Roman" w:hAnsi="Times New Roman" w:cs="Times New Roman"/>
          <w:color w:val="auto"/>
          <w:lang w:val="en-US" w:eastAsia="zh-CN"/>
        </w:rPr>
      </w:pPr>
      <w:r>
        <w:rPr>
          <w:rFonts w:hint="eastAsia" w:cs="Times New Roman"/>
          <w:color w:val="auto"/>
          <w:lang w:val="en-US" w:eastAsia="zh-CN"/>
        </w:rPr>
        <w:t>（5）</w:t>
      </w:r>
      <w:r>
        <w:rPr>
          <w:rFonts w:hint="default" w:ascii="Times New Roman" w:hAnsi="Times New Roman" w:cs="Times New Roman"/>
          <w:color w:val="auto"/>
          <w:lang w:val="en-US" w:eastAsia="zh-CN"/>
        </w:rPr>
        <w:t>调整通气管位置</w:t>
      </w:r>
      <w:r>
        <w:rPr>
          <w:rFonts w:hint="eastAsia" w:ascii="Times New Roman" w:hAnsi="Times New Roman" w:cs="Times New Roman"/>
          <w:color w:val="auto"/>
          <w:lang w:val="en-US" w:eastAsia="zh-CN"/>
        </w:rPr>
        <w:t>。</w:t>
      </w:r>
    </w:p>
    <w:p w14:paraId="177D9780">
      <w:pPr>
        <w:pStyle w:val="4"/>
        <w:keepNext/>
        <w:keepLines/>
        <w:pageBreakBefore w:val="0"/>
        <w:widowControl/>
        <w:kinsoku/>
        <w:wordWrap/>
        <w:overflowPunct/>
        <w:topLinePunct w:val="0"/>
        <w:autoSpaceDE/>
        <w:autoSpaceDN/>
        <w:bidi w:val="0"/>
        <w:adjustRightInd w:val="0"/>
        <w:snapToGrid w:val="0"/>
        <w:spacing w:line="360" w:lineRule="auto"/>
        <w:jc w:val="both"/>
        <w:textAlignment w:val="auto"/>
        <w:rPr>
          <w:rFonts w:hint="default" w:ascii="Times New Roman" w:hAnsi="Times New Roman" w:cs="Times New Roman"/>
          <w:color w:val="auto"/>
        </w:rPr>
      </w:pPr>
      <w:bookmarkStart w:id="429" w:name="_Toc4975"/>
      <w:bookmarkStart w:id="430" w:name="_Toc20652"/>
      <w:bookmarkStart w:id="431" w:name="_Toc3001"/>
      <w:r>
        <w:rPr>
          <w:rFonts w:hint="default" w:ascii="Times New Roman" w:hAnsi="Times New Roman" w:cs="Times New Roman"/>
          <w:color w:val="auto"/>
        </w:rPr>
        <w:t>8.2建设项目安全设施的施工质量情况</w:t>
      </w:r>
      <w:bookmarkEnd w:id="426"/>
      <w:bookmarkEnd w:id="428"/>
      <w:bookmarkEnd w:id="429"/>
      <w:bookmarkEnd w:id="430"/>
      <w:bookmarkEnd w:id="431"/>
    </w:p>
    <w:bookmarkEnd w:id="427"/>
    <w:p w14:paraId="76D29776">
      <w:pPr>
        <w:spacing w:line="360" w:lineRule="auto"/>
        <w:ind w:firstLine="56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eastAsia="zh-CN"/>
        </w:rPr>
        <w:t>本项目</w:t>
      </w:r>
      <w:r>
        <w:rPr>
          <w:rFonts w:hint="default" w:ascii="Times New Roman" w:hAnsi="Times New Roman" w:cs="Times New Roman"/>
          <w:color w:val="auto"/>
          <w:highlight w:val="none"/>
        </w:rPr>
        <w:t>的设计单位为</w:t>
      </w:r>
      <w:r>
        <w:rPr>
          <w:rFonts w:hint="default" w:ascii="Times New Roman" w:hAnsi="Times New Roman" w:cs="Times New Roman"/>
          <w:color w:val="auto"/>
          <w:highlight w:val="none"/>
          <w:lang w:eastAsia="zh-CN"/>
        </w:rPr>
        <w:t>天津中德工程设计有限公司</w:t>
      </w:r>
      <w:r>
        <w:rPr>
          <w:rFonts w:hint="default" w:ascii="Times New Roman" w:hAnsi="Times New Roman" w:cs="Times New Roman"/>
          <w:color w:val="auto"/>
          <w:highlight w:val="none"/>
        </w:rPr>
        <w:t>，具有化工石化医药行业专业甲级；资质证书编号：A112002794</w:t>
      </w:r>
      <w:r>
        <w:rPr>
          <w:rFonts w:hint="default" w:ascii="Times New Roman" w:hAnsi="Times New Roman" w:cs="Times New Roman"/>
          <w:color w:val="auto"/>
          <w:highlight w:val="none"/>
          <w:lang w:eastAsia="zh-CN"/>
        </w:rPr>
        <w:t>；有效期：至202</w:t>
      </w:r>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lang w:eastAsia="zh-CN"/>
        </w:rPr>
        <w:t>年12月</w:t>
      </w:r>
      <w:r>
        <w:rPr>
          <w:rFonts w:hint="default" w:ascii="Times New Roman" w:hAnsi="Times New Roman" w:cs="Times New Roman"/>
          <w:color w:val="auto"/>
          <w:highlight w:val="none"/>
          <w:lang w:val="en-US" w:eastAsia="zh-CN"/>
        </w:rPr>
        <w:t>17</w:t>
      </w:r>
      <w:r>
        <w:rPr>
          <w:rFonts w:hint="default" w:ascii="Times New Roman" w:hAnsi="Times New Roman" w:cs="Times New Roman"/>
          <w:color w:val="auto"/>
          <w:highlight w:val="none"/>
          <w:lang w:eastAsia="zh-CN"/>
        </w:rPr>
        <w:t>日。</w:t>
      </w:r>
    </w:p>
    <w:p w14:paraId="330D3F07">
      <w:pPr>
        <w:shd w:val="clear"/>
        <w:spacing w:line="360" w:lineRule="auto"/>
        <w:ind w:firstLine="56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土建施工单位：石油化工工程施工总承包贰级，证书编号：D236032531；资质类别及等级：建筑工程施工总承包贰级；有效期：至2029年6月14日。</w:t>
      </w:r>
    </w:p>
    <w:p w14:paraId="77AB4434">
      <w:pPr>
        <w:shd w:val="clear"/>
        <w:spacing w:line="360" w:lineRule="auto"/>
        <w:ind w:firstLine="560"/>
        <w:rPr>
          <w:rFonts w:hint="default" w:ascii="Times New Roman" w:hAnsi="Times New Roman" w:cs="Times New Roman"/>
          <w:color w:val="auto"/>
        </w:rPr>
      </w:pPr>
      <w:r>
        <w:rPr>
          <w:rFonts w:hint="default" w:ascii="Times New Roman" w:hAnsi="Times New Roman" w:cs="Times New Roman"/>
          <w:color w:val="auto"/>
          <w:highlight w:val="none"/>
          <w:lang w:val="en-US" w:eastAsia="zh-CN"/>
        </w:rPr>
        <w:t>监理单位：天津安源工程建设管理咨询有限公司，具有化工石油工程监理乙级，证书编号：E212006715；有效期：至2028年11月16日</w:t>
      </w:r>
      <w:r>
        <w:rPr>
          <w:rFonts w:hint="default" w:ascii="Times New Roman" w:hAnsi="Times New Roman" w:cs="Times New Roman"/>
          <w:color w:val="auto"/>
        </w:rPr>
        <w:t>。</w:t>
      </w:r>
    </w:p>
    <w:p w14:paraId="2AA5A55D">
      <w:pPr>
        <w:shd w:val="clea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以上设计、施工</w:t>
      </w:r>
      <w:r>
        <w:rPr>
          <w:rFonts w:hint="default" w:ascii="Times New Roman" w:hAnsi="Times New Roman" w:cs="Times New Roman"/>
          <w:color w:val="auto"/>
          <w:lang w:eastAsia="zh-CN"/>
        </w:rPr>
        <w:t>、</w:t>
      </w:r>
      <w:r>
        <w:rPr>
          <w:rFonts w:hint="default" w:ascii="Times New Roman" w:hAnsi="Times New Roman" w:cs="Times New Roman"/>
          <w:color w:val="auto"/>
        </w:rPr>
        <w:t>监理单位均具备从事</w:t>
      </w:r>
      <w:r>
        <w:rPr>
          <w:rFonts w:hint="default" w:ascii="Times New Roman" w:hAnsi="Times New Roman" w:cs="Times New Roman"/>
          <w:color w:val="auto"/>
          <w:lang w:eastAsia="zh-CN"/>
        </w:rPr>
        <w:t>本项目</w:t>
      </w:r>
      <w:r>
        <w:rPr>
          <w:rFonts w:hint="default" w:ascii="Times New Roman" w:hAnsi="Times New Roman" w:cs="Times New Roman"/>
          <w:color w:val="auto"/>
        </w:rPr>
        <w:t>设计、施工的相关资质。</w:t>
      </w:r>
    </w:p>
    <w:p w14:paraId="27F9F300">
      <w:pPr>
        <w:pStyle w:val="4"/>
        <w:keepNext/>
        <w:keepLines/>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rPr>
      </w:pPr>
      <w:bookmarkStart w:id="432" w:name="_Toc2691650"/>
      <w:bookmarkStart w:id="433" w:name="_Toc21466"/>
      <w:bookmarkStart w:id="434" w:name="_Toc13248"/>
      <w:bookmarkStart w:id="435" w:name="_Toc2289"/>
      <w:bookmarkStart w:id="436" w:name="_Toc7102"/>
      <w:r>
        <w:rPr>
          <w:rFonts w:hint="default" w:ascii="Times New Roman" w:hAnsi="Times New Roman" w:cs="Times New Roman"/>
          <w:color w:val="auto"/>
        </w:rPr>
        <w:t>8.3建设项目安全设施在施工前后的检验、检测情况及有效性情况</w:t>
      </w:r>
      <w:bookmarkEnd w:id="432"/>
      <w:bookmarkEnd w:id="433"/>
      <w:bookmarkEnd w:id="434"/>
      <w:bookmarkEnd w:id="435"/>
      <w:bookmarkEnd w:id="436"/>
    </w:p>
    <w:p w14:paraId="314F6536">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rFonts w:hint="default" w:ascii="Times New Roman" w:hAnsi="Times New Roman" w:cs="Times New Roman"/>
          <w:color w:val="auto"/>
        </w:rPr>
        <w:t>该加油站安全设施在施工前，对于外购的安全设施设备选自具有相关资</w:t>
      </w:r>
      <w:r>
        <w:rPr>
          <w:color w:val="auto"/>
        </w:rPr>
        <w:t>质的单位制造的</w:t>
      </w:r>
      <w:r>
        <w:rPr>
          <w:rFonts w:hint="eastAsia"/>
          <w:color w:val="auto"/>
        </w:rPr>
        <w:t>设备</w:t>
      </w:r>
      <w:r>
        <w:rPr>
          <w:color w:val="auto"/>
        </w:rPr>
        <w:t>。</w:t>
      </w:r>
    </w:p>
    <w:p w14:paraId="6193751A">
      <w:pPr>
        <w:keepNext w:val="0"/>
        <w:keepLines w:val="0"/>
        <w:pageBreakBefore w:val="0"/>
        <w:widowControl w:val="0"/>
        <w:shd w:val="clear"/>
        <w:kinsoku/>
        <w:wordWrap/>
        <w:overflowPunct/>
        <w:topLinePunct w:val="0"/>
        <w:autoSpaceDE/>
        <w:autoSpaceDN/>
        <w:bidi w:val="0"/>
        <w:adjustRightInd/>
        <w:snapToGrid w:val="0"/>
        <w:spacing w:line="360" w:lineRule="auto"/>
        <w:ind w:firstLine="560"/>
        <w:textAlignment w:val="auto"/>
        <w:rPr>
          <w:rFonts w:hint="eastAsia"/>
          <w:color w:val="auto"/>
          <w:lang w:val="en-US" w:eastAsia="zh-CN"/>
        </w:rPr>
      </w:pPr>
      <w:r>
        <w:rPr>
          <w:rFonts w:hint="eastAsia"/>
          <w:color w:val="auto"/>
          <w:lang w:val="en-US" w:eastAsia="zh-CN"/>
        </w:rPr>
        <w:t>该项目雷电防护装置</w:t>
      </w:r>
      <w:r>
        <w:rPr>
          <w:rFonts w:hint="eastAsia"/>
          <w:color w:val="auto"/>
        </w:rPr>
        <w:t>于</w:t>
      </w:r>
      <w:r>
        <w:rPr>
          <w:rFonts w:ascii="Times New Roman" w:hAnsi="Times New Roman" w:cs="Times New Roman"/>
          <w:color w:val="auto"/>
          <w:sz w:val="28"/>
          <w:szCs w:val="28"/>
          <w:highlight w:val="none"/>
        </w:rPr>
        <w:t>202</w:t>
      </w:r>
      <w:r>
        <w:rPr>
          <w:rFonts w:hint="eastAsia" w:ascii="Times New Roman" w:hAnsi="Times New Roman" w:cs="Times New Roman"/>
          <w:color w:val="auto"/>
          <w:sz w:val="28"/>
          <w:szCs w:val="28"/>
          <w:highlight w:val="none"/>
          <w:lang w:val="en-US" w:eastAsia="zh-CN"/>
        </w:rPr>
        <w:t>5</w:t>
      </w:r>
      <w:r>
        <w:rPr>
          <w:rFonts w:ascii="Times New Roman" w:hAnsi="Times New Roman" w:cs="Times New Roman"/>
          <w:color w:val="auto"/>
          <w:sz w:val="28"/>
          <w:szCs w:val="28"/>
          <w:highlight w:val="none"/>
        </w:rPr>
        <w:t>年0</w:t>
      </w:r>
      <w:r>
        <w:rPr>
          <w:rFonts w:hint="eastAsia" w:ascii="Times New Roman" w:hAnsi="Times New Roman" w:cs="Times New Roman"/>
          <w:color w:val="auto"/>
          <w:sz w:val="28"/>
          <w:szCs w:val="28"/>
          <w:highlight w:val="none"/>
          <w:lang w:val="en-US" w:eastAsia="zh-CN"/>
        </w:rPr>
        <w:t>4</w:t>
      </w:r>
      <w:r>
        <w:rPr>
          <w:rFonts w:ascii="Times New Roman" w:hAnsi="Times New Roman" w:cs="Times New Roman"/>
          <w:color w:val="auto"/>
          <w:sz w:val="28"/>
          <w:szCs w:val="28"/>
          <w:highlight w:val="none"/>
        </w:rPr>
        <w:t>月</w:t>
      </w:r>
      <w:r>
        <w:rPr>
          <w:rFonts w:hint="eastAsia" w:ascii="Times New Roman" w:hAnsi="Times New Roman" w:cs="Times New Roman"/>
          <w:color w:val="auto"/>
          <w:sz w:val="28"/>
          <w:szCs w:val="28"/>
          <w:highlight w:val="none"/>
          <w:lang w:val="en-US" w:eastAsia="zh-CN"/>
        </w:rPr>
        <w:t>09</w:t>
      </w:r>
      <w:r>
        <w:rPr>
          <w:rFonts w:ascii="Times New Roman" w:hAnsi="Times New Roman" w:cs="Times New Roman"/>
          <w:color w:val="auto"/>
          <w:sz w:val="28"/>
          <w:szCs w:val="28"/>
          <w:highlight w:val="none"/>
        </w:rPr>
        <w:t>日</w:t>
      </w:r>
      <w:r>
        <w:rPr>
          <w:rFonts w:hint="eastAsia"/>
          <w:color w:val="auto"/>
        </w:rPr>
        <w:t>已委托</w:t>
      </w:r>
      <w:r>
        <w:rPr>
          <w:rFonts w:hint="eastAsia"/>
          <w:color w:val="auto"/>
          <w:lang w:val="en-US" w:eastAsia="zh-CN"/>
        </w:rPr>
        <w:t>江西赣象防雷检测中心有限公司宜春分公司</w:t>
      </w:r>
      <w:r>
        <w:rPr>
          <w:rFonts w:hint="eastAsia"/>
          <w:color w:val="auto"/>
        </w:rPr>
        <w:t>进行</w:t>
      </w:r>
      <w:r>
        <w:rPr>
          <w:rFonts w:hint="eastAsia"/>
          <w:color w:val="auto"/>
          <w:lang w:eastAsia="zh-CN"/>
        </w:rPr>
        <w:t>了</w:t>
      </w:r>
      <w:r>
        <w:rPr>
          <w:rFonts w:hint="eastAsia"/>
          <w:color w:val="auto"/>
          <w:lang w:val="en-US" w:eastAsia="zh-CN"/>
        </w:rPr>
        <w:t>防雷</w:t>
      </w:r>
      <w:r>
        <w:rPr>
          <w:rFonts w:hint="eastAsia"/>
          <w:color w:val="auto"/>
        </w:rPr>
        <w:t>检测，检测结果为合格，并取得了《江西省雷电防护装置检测报告》（</w:t>
      </w:r>
      <w:r>
        <w:rPr>
          <w:rFonts w:hint="eastAsia" w:ascii="Times New Roman" w:hAnsi="Times New Roman"/>
          <w:color w:val="auto"/>
        </w:rPr>
        <w:t>1152017005雷检字[2025]30010019</w:t>
      </w:r>
      <w:r>
        <w:rPr>
          <w:rFonts w:hint="eastAsia"/>
          <w:color w:val="auto"/>
        </w:rPr>
        <w:t>），雷电防护装置检测合格，其检测结果详见本报告附件</w:t>
      </w:r>
      <w:r>
        <w:rPr>
          <w:rFonts w:hint="eastAsia"/>
          <w:color w:val="auto"/>
          <w:lang w:val="en-US" w:eastAsia="zh-CN"/>
        </w:rPr>
        <w:t>。</w:t>
      </w:r>
    </w:p>
    <w:p w14:paraId="172062D6">
      <w:pPr>
        <w:keepNext w:val="0"/>
        <w:keepLines w:val="0"/>
        <w:pageBreakBefore w:val="0"/>
        <w:widowControl w:val="0"/>
        <w:shd w:val="clear"/>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该加油站</w:t>
      </w:r>
      <w:r>
        <w:rPr>
          <w:color w:val="auto"/>
        </w:rPr>
        <w:t>对于防爆区域的照明</w:t>
      </w:r>
      <w:r>
        <w:rPr>
          <w:rFonts w:hint="eastAsia"/>
          <w:color w:val="auto"/>
        </w:rPr>
        <w:t>电气</w:t>
      </w:r>
      <w:r>
        <w:rPr>
          <w:color w:val="auto"/>
        </w:rPr>
        <w:t>均选自具有相关资质的单位制造的产品。消防、防雷等的检测情况见附件。</w:t>
      </w:r>
    </w:p>
    <w:bookmarkEnd w:id="417"/>
    <w:bookmarkEnd w:id="418"/>
    <w:bookmarkEnd w:id="419"/>
    <w:bookmarkEnd w:id="420"/>
    <w:bookmarkEnd w:id="421"/>
    <w:p w14:paraId="469A0A9D">
      <w:pPr>
        <w:pStyle w:val="3"/>
        <w:spacing w:line="360" w:lineRule="auto"/>
        <w:rPr>
          <w:rFonts w:hint="eastAsia"/>
          <w:color w:val="auto"/>
        </w:rPr>
      </w:pPr>
      <w:bookmarkStart w:id="437" w:name="_Toc9432"/>
      <w:bookmarkStart w:id="438" w:name="_Toc21442"/>
      <w:bookmarkStart w:id="439" w:name="_Toc23640"/>
      <w:bookmarkStart w:id="440" w:name="_Toc21177"/>
    </w:p>
    <w:p w14:paraId="57A4F273">
      <w:pPr>
        <w:rPr>
          <w:rFonts w:hint="eastAsia"/>
          <w:color w:val="auto"/>
        </w:rPr>
      </w:pPr>
    </w:p>
    <w:p w14:paraId="486F4637">
      <w:pPr>
        <w:rPr>
          <w:rFonts w:hint="eastAsia"/>
          <w:color w:val="auto"/>
        </w:rPr>
      </w:pPr>
    </w:p>
    <w:p w14:paraId="412376BC">
      <w:pPr>
        <w:rPr>
          <w:rFonts w:hint="eastAsia"/>
          <w:color w:val="auto"/>
        </w:rPr>
      </w:pPr>
    </w:p>
    <w:p w14:paraId="6DD726C2">
      <w:pPr>
        <w:rPr>
          <w:rFonts w:hint="eastAsia"/>
          <w:color w:val="auto"/>
        </w:rPr>
      </w:pPr>
    </w:p>
    <w:p w14:paraId="1B1C1A3B">
      <w:pPr>
        <w:pStyle w:val="3"/>
        <w:spacing w:line="360" w:lineRule="auto"/>
        <w:rPr>
          <w:rFonts w:hint="eastAsia"/>
          <w:color w:val="auto"/>
        </w:rPr>
      </w:pPr>
    </w:p>
    <w:p w14:paraId="2CFC96CE">
      <w:pPr>
        <w:pStyle w:val="3"/>
        <w:spacing w:line="360" w:lineRule="auto"/>
        <w:rPr>
          <w:rFonts w:hint="eastAsia"/>
          <w:color w:val="auto"/>
        </w:rPr>
      </w:pPr>
    </w:p>
    <w:p w14:paraId="3FEC6C82">
      <w:pPr>
        <w:pStyle w:val="3"/>
        <w:spacing w:line="360" w:lineRule="auto"/>
        <w:rPr>
          <w:rFonts w:hint="eastAsia"/>
          <w:color w:val="auto"/>
        </w:rPr>
      </w:pPr>
    </w:p>
    <w:p w14:paraId="17B3143D">
      <w:pPr>
        <w:pStyle w:val="3"/>
        <w:spacing w:line="360" w:lineRule="auto"/>
        <w:rPr>
          <w:rFonts w:hint="eastAsia"/>
          <w:color w:val="auto"/>
        </w:rPr>
      </w:pPr>
    </w:p>
    <w:p w14:paraId="37074093">
      <w:pPr>
        <w:pStyle w:val="3"/>
        <w:spacing w:line="360" w:lineRule="auto"/>
        <w:rPr>
          <w:rFonts w:hint="eastAsia"/>
          <w:color w:val="auto"/>
        </w:rPr>
      </w:pPr>
    </w:p>
    <w:p w14:paraId="00DFDD17">
      <w:pPr>
        <w:pStyle w:val="3"/>
        <w:spacing w:line="360" w:lineRule="auto"/>
        <w:rPr>
          <w:rFonts w:hint="eastAsia"/>
          <w:color w:val="auto"/>
        </w:rPr>
      </w:pPr>
    </w:p>
    <w:p w14:paraId="63EAD4A9">
      <w:pPr>
        <w:pStyle w:val="3"/>
        <w:spacing w:line="360" w:lineRule="auto"/>
        <w:rPr>
          <w:rFonts w:hint="eastAsia"/>
          <w:color w:val="auto"/>
        </w:rPr>
      </w:pPr>
    </w:p>
    <w:p w14:paraId="230087F3">
      <w:pPr>
        <w:rPr>
          <w:rFonts w:hint="eastAsia"/>
          <w:color w:val="auto"/>
        </w:rPr>
      </w:pPr>
    </w:p>
    <w:p w14:paraId="170309C0">
      <w:pPr>
        <w:rPr>
          <w:rFonts w:hint="eastAsia"/>
          <w:color w:val="auto"/>
        </w:rPr>
      </w:pPr>
    </w:p>
    <w:p w14:paraId="729981D2">
      <w:pPr>
        <w:rPr>
          <w:rFonts w:hint="eastAsia"/>
          <w:color w:val="auto"/>
        </w:rPr>
      </w:pPr>
    </w:p>
    <w:p w14:paraId="28618D7D">
      <w:pPr>
        <w:rPr>
          <w:rFonts w:hint="eastAsia"/>
          <w:color w:val="auto"/>
        </w:rPr>
      </w:pPr>
    </w:p>
    <w:p w14:paraId="658E3D46">
      <w:pPr>
        <w:rPr>
          <w:rFonts w:hint="eastAsia"/>
          <w:color w:val="auto"/>
        </w:rPr>
      </w:pPr>
    </w:p>
    <w:p w14:paraId="1ECB8941">
      <w:pPr>
        <w:rPr>
          <w:rFonts w:hint="eastAsia"/>
          <w:color w:val="auto"/>
        </w:rPr>
      </w:pPr>
    </w:p>
    <w:p w14:paraId="087245BC">
      <w:pPr>
        <w:rPr>
          <w:rFonts w:hint="eastAsia"/>
          <w:color w:val="auto"/>
        </w:rPr>
      </w:pPr>
    </w:p>
    <w:p w14:paraId="334450FA">
      <w:pPr>
        <w:rPr>
          <w:rFonts w:hint="eastAsia"/>
          <w:color w:val="auto"/>
        </w:rPr>
      </w:pPr>
    </w:p>
    <w:p w14:paraId="50C0B267">
      <w:pPr>
        <w:pStyle w:val="3"/>
        <w:spacing w:line="360" w:lineRule="auto"/>
        <w:rPr>
          <w:rFonts w:hint="default" w:ascii="Times New Roman" w:hAnsi="Times New Roman" w:cs="Times New Roman"/>
          <w:color w:val="auto"/>
        </w:rPr>
      </w:pPr>
      <w:bookmarkStart w:id="441" w:name="_Toc10274"/>
      <w:r>
        <w:rPr>
          <w:rFonts w:hint="default" w:ascii="Times New Roman" w:hAnsi="Times New Roman" w:cs="Times New Roman"/>
          <w:color w:val="auto"/>
        </w:rPr>
        <w:t>第九章 可能发生的危险化学品事故及后果、对策</w:t>
      </w:r>
      <w:bookmarkEnd w:id="437"/>
      <w:bookmarkEnd w:id="438"/>
      <w:bookmarkEnd w:id="439"/>
      <w:bookmarkEnd w:id="441"/>
    </w:p>
    <w:p w14:paraId="505DDBD8">
      <w:pPr>
        <w:pStyle w:val="4"/>
        <w:spacing w:line="360" w:lineRule="auto"/>
        <w:jc w:val="both"/>
        <w:rPr>
          <w:rFonts w:hint="default" w:ascii="Times New Roman" w:hAnsi="Times New Roman" w:cs="Times New Roman"/>
          <w:color w:val="auto"/>
        </w:rPr>
      </w:pPr>
      <w:bookmarkStart w:id="442" w:name="_Toc24120"/>
      <w:bookmarkStart w:id="443" w:name="_Toc32711"/>
      <w:bookmarkStart w:id="444" w:name="_Toc17265"/>
      <w:bookmarkStart w:id="445" w:name="_Toc2691685"/>
      <w:bookmarkStart w:id="446" w:name="_Toc12002"/>
      <w:bookmarkStart w:id="447" w:name="OLE_LINK112"/>
      <w:bookmarkStart w:id="448" w:name="OLE_LINK111"/>
      <w:r>
        <w:rPr>
          <w:rFonts w:hint="default" w:ascii="Times New Roman" w:hAnsi="Times New Roman" w:cs="Times New Roman"/>
          <w:color w:val="auto"/>
        </w:rPr>
        <w:t>9.1可能发生的危险化学品事故</w:t>
      </w:r>
      <w:bookmarkEnd w:id="442"/>
      <w:bookmarkEnd w:id="443"/>
      <w:bookmarkEnd w:id="444"/>
      <w:bookmarkEnd w:id="445"/>
      <w:bookmarkEnd w:id="446"/>
    </w:p>
    <w:bookmarkEnd w:id="447"/>
    <w:bookmarkEnd w:id="448"/>
    <w:p w14:paraId="5D0AB679">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加油站作业事故主要发生在卸油、量油、加油、清罐四个环节，这四个环节都使油品暴露在空气中，如果在作业中违反操作规程，使油品或油品蒸气在空气中与火源接触，就会导致爆炸燃烧事故发生。</w:t>
      </w:r>
    </w:p>
    <w:p w14:paraId="25F85F27">
      <w:pPr>
        <w:pStyle w:val="5"/>
        <w:spacing w:line="360" w:lineRule="auto"/>
        <w:ind w:left="0" w:leftChars="0" w:firstLine="0" w:firstLineChars="0"/>
        <w:rPr>
          <w:rFonts w:hint="default" w:ascii="Times New Roman" w:hAnsi="Times New Roman" w:cs="Times New Roman"/>
          <w:color w:val="auto"/>
        </w:rPr>
      </w:pPr>
      <w:bookmarkStart w:id="449" w:name="_Toc2691686"/>
      <w:bookmarkStart w:id="450" w:name="_Toc7060"/>
      <w:r>
        <w:rPr>
          <w:rFonts w:hint="default" w:ascii="Times New Roman" w:hAnsi="Times New Roman" w:cs="Times New Roman"/>
          <w:color w:val="auto"/>
        </w:rPr>
        <w:t>9.1.1卸油时易发生火灾</w:t>
      </w:r>
      <w:bookmarkEnd w:id="449"/>
      <w:bookmarkEnd w:id="450"/>
    </w:p>
    <w:p w14:paraId="43B6443C">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加油站火灾事故的60%～70%发生在卸油作业中。常见事故有：</w:t>
      </w:r>
    </w:p>
    <w:p w14:paraId="4C833ABB">
      <w:pPr>
        <w:spacing w:line="360" w:lineRule="auto"/>
        <w:ind w:firstLine="560"/>
        <w:rPr>
          <w:color w:val="auto"/>
        </w:rPr>
      </w:pPr>
      <w:r>
        <w:rPr>
          <w:rFonts w:hint="default" w:ascii="Times New Roman" w:hAnsi="Times New Roman" w:cs="Times New Roman"/>
          <w:color w:val="auto"/>
        </w:rPr>
        <w:t>①油罐漫溢。卸油时对液位监测不及时或液位仪故障易造成油品跑冒。油品溢出罐外后，周围空气中油蒸气的浓度迅速上升，达到爆炸极限范围，</w:t>
      </w:r>
      <w:r>
        <w:rPr>
          <w:rFonts w:hint="eastAsia"/>
          <w:color w:val="auto"/>
        </w:rPr>
        <w:t>遇到点火源，</w:t>
      </w:r>
      <w:r>
        <w:rPr>
          <w:rFonts w:hint="eastAsia"/>
          <w:color w:val="auto"/>
          <w:lang w:eastAsia="zh-CN"/>
        </w:rPr>
        <w:t>极</w:t>
      </w:r>
      <w:r>
        <w:rPr>
          <w:rFonts w:hint="eastAsia"/>
          <w:color w:val="auto"/>
        </w:rPr>
        <w:t>有可能发生爆炸燃烧。</w:t>
      </w:r>
    </w:p>
    <w:p w14:paraId="471471C3">
      <w:pPr>
        <w:spacing w:line="360" w:lineRule="auto"/>
        <w:ind w:firstLine="560"/>
        <w:rPr>
          <w:color w:val="auto"/>
        </w:rPr>
      </w:pPr>
      <w:r>
        <w:rPr>
          <w:rFonts w:hint="eastAsia"/>
          <w:color w:val="auto"/>
        </w:rPr>
        <w:t>②油品滴漏。由于卸油胶管破裂、密封垫破损、快速接头紧固螺栓松动等原因，使油品滴漏至地面，遇火立即燃烧。</w:t>
      </w:r>
    </w:p>
    <w:p w14:paraId="1B030A27">
      <w:pPr>
        <w:spacing w:line="360" w:lineRule="auto"/>
        <w:ind w:firstLine="560"/>
        <w:rPr>
          <w:color w:val="auto"/>
        </w:rPr>
      </w:pPr>
      <w:r>
        <w:rPr>
          <w:rFonts w:hint="eastAsia"/>
          <w:color w:val="auto"/>
        </w:rPr>
        <w:t>③静电起火。由于油管无静电接地或接地不良、采用喷溅卸油、卸油中油罐车无静电接地等原因，造成静电积聚放电，点燃油蒸气。卸油车卸油时未做好静电接地，可能引起火灾爆炸事故。</w:t>
      </w:r>
    </w:p>
    <w:p w14:paraId="774A9EF1">
      <w:pPr>
        <w:spacing w:line="360" w:lineRule="auto"/>
        <w:ind w:firstLine="560"/>
        <w:rPr>
          <w:rFonts w:ascii="宋体" w:hAnsi="宋体"/>
          <w:color w:val="auto"/>
        </w:rPr>
      </w:pPr>
      <w:r>
        <w:rPr>
          <w:rFonts w:hint="eastAsia"/>
          <w:color w:val="auto"/>
        </w:rPr>
        <w:t>④卸油中遇明火。在非密封卸油过程中，大量油蒸气从卸油口溢出，当周围出现烟火、火花时，就会产生爆炸燃烧</w:t>
      </w:r>
      <w:r>
        <w:rPr>
          <w:rFonts w:hint="eastAsia" w:ascii="宋体" w:hAnsi="宋体"/>
          <w:color w:val="auto"/>
        </w:rPr>
        <w:t>。</w:t>
      </w:r>
    </w:p>
    <w:p w14:paraId="096D2BB4">
      <w:pPr>
        <w:pStyle w:val="5"/>
        <w:spacing w:line="360" w:lineRule="auto"/>
        <w:ind w:left="0" w:leftChars="0" w:firstLine="0" w:firstLineChars="0"/>
        <w:rPr>
          <w:rFonts w:hint="default" w:ascii="Times New Roman" w:hAnsi="Times New Roman" w:cs="Times New Roman"/>
          <w:color w:val="auto"/>
        </w:rPr>
      </w:pPr>
      <w:bookmarkStart w:id="451" w:name="_Toc30411"/>
      <w:bookmarkStart w:id="452" w:name="_Toc2691687"/>
      <w:r>
        <w:rPr>
          <w:rFonts w:hint="default" w:ascii="Times New Roman" w:hAnsi="Times New Roman" w:cs="Times New Roman"/>
          <w:color w:val="auto"/>
        </w:rPr>
        <w:t>9.1.2量油时易发生火灾</w:t>
      </w:r>
      <w:bookmarkEnd w:id="451"/>
      <w:bookmarkEnd w:id="452"/>
    </w:p>
    <w:p w14:paraId="2AF5DA19">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按规定，油罐车送油到站后应静置稳油5分钟，待静电消除后方可开盖量油，如果车到立即开盖量油，就会引起静电起火；如果油罐未安装量油孔或量油孔铝质镶槽脱落，在储油罐量油时，量油尺与钢管口摩擦产生火花，就会点燃罐内油蒸气，引起爆炸燃烧；在气压低、无风的环境下，穿化纤服装，摩擦产生的静电火花也能点燃油蒸气。</w:t>
      </w:r>
    </w:p>
    <w:p w14:paraId="561ED881">
      <w:pPr>
        <w:pStyle w:val="5"/>
        <w:spacing w:line="360" w:lineRule="auto"/>
        <w:ind w:left="0" w:leftChars="0" w:firstLine="0" w:firstLineChars="0"/>
        <w:rPr>
          <w:rFonts w:hint="default" w:ascii="Times New Roman" w:hAnsi="Times New Roman" w:cs="Times New Roman"/>
          <w:color w:val="auto"/>
        </w:rPr>
      </w:pPr>
      <w:bookmarkStart w:id="453" w:name="_Toc2691688"/>
      <w:bookmarkStart w:id="454" w:name="_Toc22143"/>
      <w:r>
        <w:rPr>
          <w:rFonts w:hint="default" w:ascii="Times New Roman" w:hAnsi="Times New Roman" w:cs="Times New Roman"/>
          <w:color w:val="auto"/>
        </w:rPr>
        <w:t>9.1.3加油时易发生火灾</w:t>
      </w:r>
      <w:bookmarkEnd w:id="453"/>
      <w:bookmarkEnd w:id="454"/>
    </w:p>
    <w:p w14:paraId="2569969C">
      <w:pPr>
        <w:spacing w:line="360" w:lineRule="auto"/>
        <w:ind w:firstLine="560"/>
        <w:rPr>
          <w:color w:val="auto"/>
        </w:rPr>
      </w:pPr>
      <w:r>
        <w:rPr>
          <w:rFonts w:hint="eastAsia"/>
          <w:color w:val="auto"/>
        </w:rPr>
        <w:t>加油时，如果加油枪故障、软管破裂、安全拉断阀失效，或作业人员操作失误等，可能造成大量油蒸气外泄，加之操作不当油品外溢等原因，在加油口附近形成了一个爆炸危险区域，遇烟火、铁钉鞋</w:t>
      </w:r>
      <w:r>
        <w:rPr>
          <w:rFonts w:hint="eastAsia"/>
          <w:color w:val="auto"/>
          <w:lang w:eastAsia="zh-CN"/>
        </w:rPr>
        <w:t>摩擦</w:t>
      </w:r>
      <w:r>
        <w:rPr>
          <w:rFonts w:hint="eastAsia"/>
          <w:color w:val="auto"/>
        </w:rPr>
        <w:t>、金属碰撞、电器打火、发动机排气管喷火等都可导致火灾。</w:t>
      </w:r>
    </w:p>
    <w:p w14:paraId="25C77F03">
      <w:pPr>
        <w:pStyle w:val="5"/>
        <w:spacing w:line="360" w:lineRule="auto"/>
        <w:ind w:left="0" w:leftChars="0" w:firstLine="0" w:firstLineChars="0"/>
        <w:rPr>
          <w:rFonts w:hint="default" w:ascii="Times New Roman" w:hAnsi="Times New Roman" w:cs="Times New Roman"/>
          <w:color w:val="auto"/>
        </w:rPr>
      </w:pPr>
      <w:bookmarkStart w:id="455" w:name="_Toc2691689"/>
      <w:bookmarkStart w:id="456" w:name="_Toc11212"/>
      <w:bookmarkStart w:id="457" w:name="OLE_LINK116"/>
      <w:r>
        <w:rPr>
          <w:rFonts w:hint="default" w:ascii="Times New Roman" w:hAnsi="Times New Roman" w:cs="Times New Roman"/>
          <w:color w:val="auto"/>
        </w:rPr>
        <w:t>9.1.4清罐时易发生火灾</w:t>
      </w:r>
      <w:bookmarkEnd w:id="455"/>
      <w:bookmarkEnd w:id="456"/>
    </w:p>
    <w:bookmarkEnd w:id="457"/>
    <w:p w14:paraId="01BF74C0">
      <w:pPr>
        <w:spacing w:line="360" w:lineRule="auto"/>
        <w:ind w:firstLine="560"/>
        <w:rPr>
          <w:color w:val="auto"/>
        </w:rPr>
      </w:pPr>
      <w:r>
        <w:rPr>
          <w:rFonts w:hint="eastAsia"/>
          <w:color w:val="auto"/>
        </w:rPr>
        <w:t>在加油站油罐清洗作业时，由于无法彻底清除油蒸气和沉淀物，残余油蒸气遇到静电、摩擦、电火花等都会导致火灾。</w:t>
      </w:r>
    </w:p>
    <w:p w14:paraId="47FBB6B6">
      <w:pPr>
        <w:spacing w:line="360" w:lineRule="auto"/>
        <w:ind w:firstLine="560"/>
        <w:rPr>
          <w:color w:val="auto"/>
        </w:rPr>
      </w:pPr>
      <w:r>
        <w:rPr>
          <w:rFonts w:hint="eastAsia"/>
          <w:color w:val="auto"/>
        </w:rPr>
        <w:t>在非作业状态下也有发生火灾事故的可能性。如因作业过程中大量的油蒸气外泄，沉淀于管沟、电缆沟、下水道、操作井等低洼处，甚至通过下水管流至站外，遇明火就会燃烧爆炸。同时雷电直击油罐和加油设备以及油罐、管道渗漏遇到明火也都可能引起火灾。另外，电气事故、静电火花、生产生活用火管理不善也会给油品提供火源而引发火灾爆炸事故。</w:t>
      </w:r>
    </w:p>
    <w:p w14:paraId="5F5E9F38">
      <w:pPr>
        <w:pStyle w:val="4"/>
        <w:spacing w:line="360" w:lineRule="auto"/>
        <w:jc w:val="both"/>
        <w:rPr>
          <w:rFonts w:hint="default" w:ascii="Times New Roman" w:hAnsi="Times New Roman" w:cs="Times New Roman"/>
          <w:color w:val="auto"/>
        </w:rPr>
      </w:pPr>
      <w:bookmarkStart w:id="458" w:name="_Toc24256"/>
      <w:bookmarkStart w:id="459" w:name="_Toc2691690"/>
      <w:bookmarkStart w:id="460" w:name="_Toc13656"/>
      <w:bookmarkStart w:id="461" w:name="_Toc9006"/>
      <w:bookmarkStart w:id="462" w:name="_Toc24546"/>
      <w:r>
        <w:rPr>
          <w:rFonts w:hint="default" w:ascii="Times New Roman" w:hAnsi="Times New Roman" w:cs="Times New Roman"/>
          <w:color w:val="auto"/>
        </w:rPr>
        <w:t>9.2油品火灾爆炸事故原因分析</w:t>
      </w:r>
      <w:bookmarkEnd w:id="458"/>
      <w:bookmarkEnd w:id="459"/>
      <w:bookmarkEnd w:id="460"/>
      <w:bookmarkEnd w:id="461"/>
      <w:bookmarkEnd w:id="462"/>
    </w:p>
    <w:p w14:paraId="3C0BE9E5">
      <w:pPr>
        <w:spacing w:line="336" w:lineRule="auto"/>
        <w:ind w:firstLine="560"/>
        <w:rPr>
          <w:color w:val="auto"/>
        </w:rPr>
      </w:pPr>
      <w:r>
        <w:rPr>
          <w:rFonts w:hint="eastAsia"/>
          <w:color w:val="auto"/>
        </w:rPr>
        <w:t>油品具有易挥发、易流动、易燃烧、爆炸和有轻度毒害等特点。导致可燃物存在的有：加油机、油罐和管线由于损坏或部件失效引起的油品泄漏，加油、卸油过程中人为误操作引起的油品泄漏，油罐及加油机检修前油气未置换干净等。可能存在的点火源有生活明火、电气火花、静电火花、雷电能、杂散电流能、碰撞摩擦火花和棉布自燃。</w:t>
      </w:r>
    </w:p>
    <w:p w14:paraId="52DD8461">
      <w:pPr>
        <w:spacing w:line="336" w:lineRule="auto"/>
        <w:ind w:firstLine="562"/>
        <w:rPr>
          <w:b/>
          <w:bCs/>
          <w:color w:val="auto"/>
        </w:rPr>
      </w:pPr>
      <w:r>
        <w:rPr>
          <w:rFonts w:hint="eastAsia" w:ascii="Times New Roman" w:hAnsi="Times New Roman"/>
          <w:b/>
          <w:bCs/>
          <w:color w:val="auto"/>
        </w:rPr>
        <w:t>1</w:t>
      </w:r>
      <w:r>
        <w:rPr>
          <w:rFonts w:hint="eastAsia"/>
          <w:b/>
          <w:bCs/>
          <w:color w:val="auto"/>
        </w:rPr>
        <w:t>）油料的泄漏</w:t>
      </w:r>
    </w:p>
    <w:p w14:paraId="20FF3595">
      <w:pPr>
        <w:spacing w:line="336" w:lineRule="auto"/>
        <w:ind w:firstLine="560"/>
        <w:rPr>
          <w:color w:val="auto"/>
        </w:rPr>
      </w:pPr>
      <w:r>
        <w:rPr>
          <w:rFonts w:hint="eastAsia"/>
          <w:color w:val="auto"/>
        </w:rPr>
        <w:t>加油站油料泄漏主要有两种形式。一种是汽油蒸气的泄漏，如储罐收油过程中的大呼吸现象，环境温度变化引起的油罐小呼吸现象，隔油池内残油蒸气挥发等。另一种是油料液体泄漏，如输油泵、输油管、加油机等因密封不良、老化造成漏油，卸油管和汽车加油枪在作业完毕后内存残液流出，储罐或管道腐蚀穿孔而导致油料大量泄漏等。</w:t>
      </w:r>
    </w:p>
    <w:p w14:paraId="4AAB4535">
      <w:pPr>
        <w:spacing w:line="336" w:lineRule="auto"/>
        <w:ind w:firstLine="560"/>
        <w:rPr>
          <w:color w:val="auto"/>
        </w:rPr>
      </w:pPr>
      <w:r>
        <w:rPr>
          <w:rFonts w:hint="eastAsia"/>
          <w:color w:val="auto"/>
        </w:rPr>
        <w:t>泄漏的油料液体会沿着地面或设备设施流向低洼处，同时吸收周围热量，挥发形成蒸气；泄漏的油蒸气因较空气稍重，也会沿地面扩散，窜入地下管沟，极易在非防爆区域或防爆等级较低的场所引起火灾爆炸事故。</w:t>
      </w:r>
    </w:p>
    <w:p w14:paraId="189EE09E">
      <w:pPr>
        <w:spacing w:line="336" w:lineRule="auto"/>
        <w:ind w:firstLine="560"/>
        <w:rPr>
          <w:color w:val="auto"/>
        </w:rPr>
      </w:pPr>
      <w:r>
        <w:rPr>
          <w:rFonts w:hint="eastAsia"/>
          <w:color w:val="auto"/>
        </w:rPr>
        <w:t>综合考虑工艺、设备设施等条件，确定加油站易发生泄漏事故的类型如下：</w:t>
      </w:r>
    </w:p>
    <w:p w14:paraId="6D45A9DC">
      <w:pPr>
        <w:spacing w:line="336" w:lineRule="auto"/>
        <w:ind w:firstLine="560"/>
        <w:rPr>
          <w:color w:val="auto"/>
        </w:rPr>
      </w:pPr>
      <w:r>
        <w:rPr>
          <w:rFonts w:hint="eastAsia"/>
          <w:color w:val="auto"/>
        </w:rPr>
        <w:t>①汽车槽车因本身质量缺陷而存在事故隐患，如汽车槽车本身罐体如出现焊缝缺陷、接管变形破损易导致槽车泄漏事故发生。</w:t>
      </w:r>
    </w:p>
    <w:p w14:paraId="08E7D848">
      <w:pPr>
        <w:spacing w:line="336" w:lineRule="auto"/>
        <w:ind w:firstLine="560"/>
        <w:rPr>
          <w:color w:val="auto"/>
        </w:rPr>
      </w:pPr>
      <w:r>
        <w:rPr>
          <w:rFonts w:hint="eastAsia"/>
          <w:color w:val="auto"/>
        </w:rPr>
        <w:t>②槽车卸油时油管、阀门和法兰连接密封不好，汽车加油枪自封失效或管道破损均导致油料泄漏。</w:t>
      </w:r>
    </w:p>
    <w:p w14:paraId="40FB151A">
      <w:pPr>
        <w:spacing w:line="336" w:lineRule="auto"/>
        <w:ind w:firstLine="560"/>
        <w:rPr>
          <w:color w:val="auto"/>
        </w:rPr>
      </w:pPr>
      <w:r>
        <w:rPr>
          <w:rFonts w:hint="eastAsia"/>
          <w:color w:val="auto"/>
        </w:rPr>
        <w:t>③卸车管线接口处和汽车加油枪在装卸完毕后接口处残液流出。</w:t>
      </w:r>
    </w:p>
    <w:p w14:paraId="1F5A5C21">
      <w:pPr>
        <w:spacing w:line="336" w:lineRule="auto"/>
        <w:ind w:firstLine="562"/>
        <w:rPr>
          <w:b/>
          <w:bCs/>
          <w:color w:val="auto"/>
        </w:rPr>
      </w:pPr>
      <w:r>
        <w:rPr>
          <w:rFonts w:hint="eastAsia" w:ascii="Times New Roman" w:hAnsi="Times New Roman"/>
          <w:b/>
          <w:bCs/>
          <w:color w:val="auto"/>
        </w:rPr>
        <w:t>2</w:t>
      </w:r>
      <w:r>
        <w:rPr>
          <w:rFonts w:hint="eastAsia"/>
          <w:b/>
          <w:bCs/>
          <w:color w:val="auto"/>
        </w:rPr>
        <w:t>）火源</w:t>
      </w:r>
    </w:p>
    <w:p w14:paraId="2A6CB8C0">
      <w:pPr>
        <w:spacing w:line="336" w:lineRule="auto"/>
        <w:ind w:firstLine="560"/>
        <w:rPr>
          <w:color w:val="auto"/>
        </w:rPr>
      </w:pPr>
      <w:r>
        <w:rPr>
          <w:rFonts w:hint="eastAsia"/>
          <w:color w:val="auto"/>
        </w:rPr>
        <w:t>①明火：汽车加油亭、槽车卸油点等处存在机动车辆排烟带火，各危险场所现场吸烟及违章动火等不安全因素，可产生明火或散发火花。</w:t>
      </w:r>
    </w:p>
    <w:p w14:paraId="75AC56DA">
      <w:pPr>
        <w:spacing w:line="336" w:lineRule="auto"/>
        <w:ind w:firstLine="560"/>
        <w:rPr>
          <w:color w:val="auto"/>
        </w:rPr>
      </w:pPr>
      <w:r>
        <w:rPr>
          <w:rFonts w:hint="eastAsia"/>
          <w:color w:val="auto"/>
        </w:rPr>
        <w:t>②电气火花：项目有电气设备、设施。如果电气设备设计选型不当，防爆性能不符合要求，或电气设备、设施未采取可靠的保护措施时，在开关断开、接触不良、短路、漏电时易产生电弧、电火花等。</w:t>
      </w:r>
    </w:p>
    <w:p w14:paraId="4B89D044">
      <w:pPr>
        <w:spacing w:line="336" w:lineRule="auto"/>
        <w:ind w:firstLine="560"/>
        <w:rPr>
          <w:color w:val="auto"/>
        </w:rPr>
      </w:pPr>
      <w:r>
        <w:rPr>
          <w:rFonts w:hint="eastAsia"/>
          <w:color w:val="auto"/>
        </w:rPr>
        <w:t>③静电火花：汽油在储存装卸过程中会因流动、过滤、冲击、震荡、摩擦而产生静电，若防静电措施未落实，储罐、容器、管道及各种金属设备、设施上积聚的静电荷与周围物体形成一定的电位差而放电，静电放电产生的火花易引发火灾爆炸事故。此外，人体穿化纤衣服而又穿胶鞋、塑料鞋之类的绝缘鞋时，由于行走、工作、运动中摩擦或穿脱衣服而产生的静电也可引发火灾爆炸事故。</w:t>
      </w:r>
    </w:p>
    <w:p w14:paraId="17F9DC7D">
      <w:pPr>
        <w:spacing w:line="336" w:lineRule="auto"/>
        <w:ind w:firstLine="560"/>
        <w:rPr>
          <w:color w:val="auto"/>
        </w:rPr>
      </w:pPr>
      <w:r>
        <w:rPr>
          <w:rFonts w:hint="eastAsia"/>
          <w:color w:val="auto"/>
        </w:rPr>
        <w:t>④雷电能：若防雷设施不齐全或储罐、建筑物防雷接地措施不符合要求，在雷雨天气里有可能引发火灾爆炸事故。</w:t>
      </w:r>
    </w:p>
    <w:p w14:paraId="099AAC35">
      <w:pPr>
        <w:spacing w:line="336" w:lineRule="auto"/>
        <w:ind w:firstLine="560"/>
        <w:rPr>
          <w:color w:val="auto"/>
        </w:rPr>
      </w:pPr>
      <w:r>
        <w:rPr>
          <w:rFonts w:hint="eastAsia"/>
          <w:color w:val="auto"/>
        </w:rPr>
        <w:t>⑤杂散电流能：由于电化学腐蚀、阴极保护等引起杂散电流窜入危险场所也是火灾爆炸事故发生的原因之一。预防方法主要是在管道的始末端或杂散电流可能流入的管段设置绝缘法兰、在管道隔断处或交叉处设跨接导线等设施。</w:t>
      </w:r>
    </w:p>
    <w:p w14:paraId="60FD309A">
      <w:pPr>
        <w:spacing w:line="336" w:lineRule="auto"/>
        <w:ind w:firstLine="560"/>
        <w:rPr>
          <w:color w:val="auto"/>
        </w:rPr>
      </w:pPr>
      <w:r>
        <w:rPr>
          <w:rFonts w:hint="eastAsia"/>
          <w:color w:val="auto"/>
        </w:rPr>
        <w:t>⑥碰撞摩擦火花：金属设备、设施与物体之间的碰撞摩擦或机械撞击等产生的火花也可能引发火灾爆炸事故。</w:t>
      </w:r>
    </w:p>
    <w:p w14:paraId="3B429BF9">
      <w:pPr>
        <w:spacing w:line="336" w:lineRule="auto"/>
        <w:ind w:firstLine="560"/>
        <w:rPr>
          <w:color w:val="auto"/>
        </w:rPr>
      </w:pPr>
      <w:r>
        <w:rPr>
          <w:rFonts w:hint="eastAsia"/>
          <w:color w:val="auto"/>
        </w:rPr>
        <w:t>⑦棉布自燃：设备检修和擦洗设备使用过的棉布等，若不及时清理而任其自然堆积，将可能导致棉布自发放热，达到堆放物的燃点即可自燃。所以浸有油料的棉布等，必须及时回收、妥善处理。</w:t>
      </w:r>
    </w:p>
    <w:p w14:paraId="77018EC4">
      <w:pPr>
        <w:pStyle w:val="4"/>
        <w:spacing w:line="360" w:lineRule="auto"/>
        <w:jc w:val="both"/>
        <w:rPr>
          <w:rFonts w:hint="default" w:ascii="Times New Roman" w:hAnsi="Times New Roman" w:cs="Times New Roman"/>
          <w:color w:val="auto"/>
        </w:rPr>
      </w:pPr>
      <w:bookmarkStart w:id="463" w:name="_Toc16879"/>
      <w:bookmarkStart w:id="464" w:name="_Toc2126"/>
      <w:bookmarkStart w:id="465" w:name="_Toc2691693"/>
      <w:bookmarkStart w:id="466" w:name="_Toc5376"/>
      <w:bookmarkStart w:id="467" w:name="_Toc30992"/>
      <w:r>
        <w:rPr>
          <w:rFonts w:hint="default" w:ascii="Times New Roman" w:hAnsi="Times New Roman" w:cs="Times New Roman"/>
          <w:color w:val="auto"/>
        </w:rPr>
        <w:t>9.3事故预防对策措施</w:t>
      </w:r>
      <w:bookmarkEnd w:id="463"/>
      <w:bookmarkEnd w:id="464"/>
      <w:bookmarkEnd w:id="465"/>
      <w:bookmarkEnd w:id="466"/>
      <w:bookmarkEnd w:id="467"/>
    </w:p>
    <w:p w14:paraId="7C6C71A6">
      <w:pPr>
        <w:spacing w:line="336" w:lineRule="auto"/>
        <w:ind w:firstLine="560"/>
        <w:rPr>
          <w:rFonts w:ascii="宋体" w:hAnsi="宋体"/>
          <w:color w:val="auto"/>
          <w:szCs w:val="28"/>
        </w:rPr>
      </w:pPr>
      <w:r>
        <w:rPr>
          <w:rFonts w:ascii="宋体" w:hAnsi="宋体"/>
          <w:color w:val="auto"/>
          <w:szCs w:val="28"/>
        </w:rPr>
        <w:t>为吸取事故教训，防止同类事故再次发生，提出以下</w:t>
      </w:r>
      <w:r>
        <w:rPr>
          <w:rFonts w:hint="eastAsia" w:ascii="宋体" w:hAnsi="宋体"/>
          <w:color w:val="auto"/>
          <w:szCs w:val="28"/>
        </w:rPr>
        <w:t>对策</w:t>
      </w:r>
      <w:r>
        <w:rPr>
          <w:rFonts w:ascii="宋体" w:hAnsi="宋体"/>
          <w:color w:val="auto"/>
          <w:szCs w:val="28"/>
        </w:rPr>
        <w:t>措施</w:t>
      </w:r>
      <w:r>
        <w:rPr>
          <w:rFonts w:hint="eastAsia" w:ascii="宋体" w:hAnsi="宋体"/>
          <w:color w:val="auto"/>
          <w:szCs w:val="28"/>
        </w:rPr>
        <w:t>，以便油站在日常管理中执行</w:t>
      </w:r>
      <w:r>
        <w:rPr>
          <w:rFonts w:ascii="宋体" w:hAnsi="宋体"/>
          <w:color w:val="auto"/>
          <w:szCs w:val="28"/>
        </w:rPr>
        <w:t>：</w:t>
      </w:r>
    </w:p>
    <w:p w14:paraId="562A9203">
      <w:pPr>
        <w:spacing w:line="336" w:lineRule="auto"/>
        <w:ind w:firstLine="560"/>
        <w:rPr>
          <w:color w:val="auto"/>
        </w:rPr>
      </w:pPr>
      <w:r>
        <w:rPr>
          <w:rFonts w:hint="eastAsia" w:ascii="Times New Roman" w:hAnsi="Times New Roman"/>
          <w:color w:val="auto"/>
        </w:rPr>
        <w:t>1</w:t>
      </w:r>
      <w:r>
        <w:rPr>
          <w:rFonts w:hint="eastAsia"/>
          <w:color w:val="auto"/>
          <w:lang w:eastAsia="zh-CN"/>
        </w:rPr>
        <w:t>）</w:t>
      </w:r>
      <w:r>
        <w:rPr>
          <w:color w:val="auto"/>
        </w:rPr>
        <w:t>应认真落实安全生产主体责任，进一步加强危险化学品生产经营单位日常安全管理。</w:t>
      </w:r>
    </w:p>
    <w:p w14:paraId="7EAA1867">
      <w:pPr>
        <w:spacing w:line="336" w:lineRule="auto"/>
        <w:ind w:firstLine="560"/>
        <w:rPr>
          <w:color w:val="auto"/>
        </w:rPr>
      </w:pPr>
      <w:r>
        <w:rPr>
          <w:rFonts w:hint="eastAsia"/>
          <w:color w:val="auto"/>
        </w:rPr>
        <w:t>（</w:t>
      </w:r>
      <w:r>
        <w:rPr>
          <w:rFonts w:hint="eastAsia" w:ascii="Times New Roman" w:hAnsi="Times New Roman"/>
          <w:color w:val="auto"/>
        </w:rPr>
        <w:t>1</w:t>
      </w:r>
      <w:r>
        <w:rPr>
          <w:rFonts w:hint="eastAsia"/>
          <w:color w:val="auto"/>
        </w:rPr>
        <w:t>）</w:t>
      </w:r>
      <w:r>
        <w:rPr>
          <w:color w:val="auto"/>
        </w:rPr>
        <w:t>制定完善并严格执行各项安全管理制度和操作规程，杜绝“三违”现象的发生；</w:t>
      </w:r>
    </w:p>
    <w:p w14:paraId="4BF17F4B">
      <w:pPr>
        <w:spacing w:line="336" w:lineRule="auto"/>
        <w:ind w:firstLine="560"/>
        <w:rPr>
          <w:color w:val="auto"/>
        </w:rPr>
      </w:pPr>
      <w:r>
        <w:rPr>
          <w:rFonts w:hint="eastAsia"/>
          <w:color w:val="auto"/>
        </w:rPr>
        <w:t>（</w:t>
      </w:r>
      <w:r>
        <w:rPr>
          <w:rFonts w:hint="eastAsia" w:ascii="Times New Roman" w:hAnsi="Times New Roman"/>
          <w:color w:val="auto"/>
        </w:rPr>
        <w:t>2</w:t>
      </w:r>
      <w:r>
        <w:rPr>
          <w:rFonts w:hint="eastAsia"/>
          <w:color w:val="auto"/>
        </w:rPr>
        <w:t>）</w:t>
      </w:r>
      <w:r>
        <w:rPr>
          <w:color w:val="auto"/>
        </w:rPr>
        <w:t>加强生产过程和作业现场的安全管理，</w:t>
      </w:r>
      <w:r>
        <w:rPr>
          <w:rFonts w:hint="eastAsia"/>
          <w:color w:val="auto"/>
        </w:rPr>
        <w:t>制定</w:t>
      </w:r>
      <w:r>
        <w:rPr>
          <w:color w:val="auto"/>
        </w:rPr>
        <w:t>落实相应的安全管理措施和事故应急救援预案，做好应对和处置各类事故的准备措施；</w:t>
      </w:r>
    </w:p>
    <w:p w14:paraId="64500336">
      <w:pPr>
        <w:spacing w:line="336" w:lineRule="auto"/>
        <w:ind w:firstLine="560"/>
        <w:rPr>
          <w:color w:val="auto"/>
        </w:rPr>
      </w:pPr>
      <w:r>
        <w:rPr>
          <w:rFonts w:hint="eastAsia"/>
          <w:color w:val="auto"/>
        </w:rPr>
        <w:t>（</w:t>
      </w:r>
      <w:r>
        <w:rPr>
          <w:rFonts w:hint="eastAsia" w:ascii="Times New Roman" w:hAnsi="Times New Roman"/>
          <w:color w:val="auto"/>
        </w:rPr>
        <w:t>3</w:t>
      </w:r>
      <w:r>
        <w:rPr>
          <w:rFonts w:hint="eastAsia"/>
          <w:color w:val="auto"/>
        </w:rPr>
        <w:t>）</w:t>
      </w:r>
      <w:r>
        <w:rPr>
          <w:color w:val="auto"/>
        </w:rPr>
        <w:t>进一步强化对流动作业过程的安全检查，消除事故隐患，防止火灾、爆炸、中毒窒息等事故的再次发生。</w:t>
      </w:r>
    </w:p>
    <w:p w14:paraId="2D15C3DC">
      <w:pPr>
        <w:spacing w:line="336" w:lineRule="auto"/>
        <w:ind w:firstLine="560"/>
        <w:rPr>
          <w:color w:val="auto"/>
        </w:rPr>
      </w:pPr>
      <w:r>
        <w:rPr>
          <w:rFonts w:hint="eastAsia" w:ascii="Times New Roman" w:hAnsi="Times New Roman"/>
          <w:color w:val="auto"/>
        </w:rPr>
        <w:t>2</w:t>
      </w:r>
      <w:r>
        <w:rPr>
          <w:rFonts w:hint="eastAsia"/>
          <w:color w:val="auto"/>
        </w:rPr>
        <w:t>）</w:t>
      </w:r>
      <w:r>
        <w:rPr>
          <w:color w:val="auto"/>
        </w:rPr>
        <w:t>加强教育培训，提高从业人员的安全意识。</w:t>
      </w:r>
    </w:p>
    <w:p w14:paraId="102BB184">
      <w:pPr>
        <w:spacing w:line="336" w:lineRule="auto"/>
        <w:ind w:firstLine="560"/>
        <w:rPr>
          <w:rFonts w:hint="default"/>
          <w:color w:val="auto"/>
          <w:lang w:val="en-US" w:eastAsia="zh-CN"/>
        </w:rPr>
      </w:pPr>
      <w:r>
        <w:rPr>
          <w:color w:val="auto"/>
        </w:rPr>
        <w:t>应加强流动作业的安全生产管理，加强对从业人员的安全教育和培训，对从事特种作业和危险性作业的员工，要</w:t>
      </w:r>
      <w:r>
        <w:rPr>
          <w:rFonts w:hint="eastAsia"/>
          <w:color w:val="auto"/>
          <w:lang w:eastAsia="zh-CN"/>
        </w:rPr>
        <w:t>开展有针对性的培训</w:t>
      </w:r>
      <w:r>
        <w:rPr>
          <w:color w:val="auto"/>
        </w:rPr>
        <w:t>教育，</w:t>
      </w:r>
      <w:r>
        <w:rPr>
          <w:rFonts w:hint="eastAsia"/>
          <w:color w:val="auto"/>
          <w:lang w:eastAsia="zh-CN"/>
        </w:rPr>
        <w:t>提高</w:t>
      </w:r>
      <w:r>
        <w:rPr>
          <w:color w:val="auto"/>
        </w:rPr>
        <w:t>安全意识、操作技能、应急自救和处置能力</w:t>
      </w:r>
      <w:r>
        <w:rPr>
          <w:rFonts w:hint="eastAsia"/>
          <w:color w:val="auto"/>
          <w:lang w:val="en-US" w:eastAsia="zh-CN"/>
        </w:rPr>
        <w:t>。</w:t>
      </w:r>
    </w:p>
    <w:p w14:paraId="7B0AE07A">
      <w:pPr>
        <w:spacing w:line="336" w:lineRule="auto"/>
        <w:ind w:firstLine="560"/>
        <w:rPr>
          <w:color w:val="auto"/>
        </w:rPr>
      </w:pPr>
      <w:r>
        <w:rPr>
          <w:rFonts w:hint="eastAsia" w:ascii="Times New Roman" w:hAnsi="Times New Roman"/>
          <w:color w:val="auto"/>
          <w:lang w:val="en-US" w:eastAsia="zh-CN"/>
        </w:rPr>
        <w:t>3</w:t>
      </w:r>
      <w:r>
        <w:rPr>
          <w:rFonts w:hint="eastAsia"/>
          <w:color w:val="auto"/>
        </w:rPr>
        <w:t>）</w:t>
      </w:r>
      <w:r>
        <w:rPr>
          <w:color w:val="auto"/>
        </w:rPr>
        <w:t>切实加强检修施工安全管理。</w:t>
      </w:r>
    </w:p>
    <w:p w14:paraId="5386E394">
      <w:pPr>
        <w:spacing w:line="336" w:lineRule="auto"/>
        <w:ind w:firstLine="560"/>
        <w:rPr>
          <w:color w:val="auto"/>
        </w:rPr>
      </w:pPr>
      <w:r>
        <w:rPr>
          <w:color w:val="auto"/>
        </w:rPr>
        <w:t>加强检修作业现场的安全管理，认真落实检修施工安全管理规定。</w:t>
      </w:r>
    </w:p>
    <w:p w14:paraId="01DC44EA">
      <w:pPr>
        <w:spacing w:line="336" w:lineRule="auto"/>
        <w:ind w:firstLine="560"/>
        <w:rPr>
          <w:color w:val="auto"/>
        </w:rPr>
      </w:pPr>
      <w:r>
        <w:rPr>
          <w:rFonts w:hint="eastAsia"/>
          <w:color w:val="auto"/>
        </w:rPr>
        <w:t>（</w:t>
      </w:r>
      <w:r>
        <w:rPr>
          <w:rFonts w:hint="eastAsia" w:ascii="Times New Roman" w:hAnsi="Times New Roman"/>
          <w:color w:val="auto"/>
        </w:rPr>
        <w:t>1</w:t>
      </w:r>
      <w:r>
        <w:rPr>
          <w:rFonts w:hint="eastAsia"/>
          <w:color w:val="auto"/>
        </w:rPr>
        <w:t>）</w:t>
      </w:r>
      <w:r>
        <w:rPr>
          <w:color w:val="auto"/>
        </w:rPr>
        <w:t>严格作业票制度，所有危险化学品检修作业项目必须编制作业方案及相应的安全措施并经施工单位负责人批准；</w:t>
      </w:r>
    </w:p>
    <w:p w14:paraId="350A156D">
      <w:pPr>
        <w:spacing w:line="336" w:lineRule="auto"/>
        <w:ind w:firstLine="560"/>
        <w:rPr>
          <w:color w:val="auto"/>
        </w:rPr>
      </w:pPr>
      <w:r>
        <w:rPr>
          <w:rFonts w:hint="eastAsia"/>
          <w:color w:val="auto"/>
        </w:rPr>
        <w:t>（</w:t>
      </w:r>
      <w:r>
        <w:rPr>
          <w:rFonts w:hint="eastAsia" w:ascii="Times New Roman" w:hAnsi="Times New Roman"/>
          <w:color w:val="auto"/>
        </w:rPr>
        <w:t>2</w:t>
      </w:r>
      <w:r>
        <w:rPr>
          <w:rFonts w:hint="eastAsia"/>
          <w:color w:val="auto"/>
        </w:rPr>
        <w:t>）</w:t>
      </w:r>
      <w:r>
        <w:rPr>
          <w:color w:val="auto"/>
        </w:rPr>
        <w:t>严禁雇请无法定资质的施工队伍和无相应资格人员从事检修施工作业；</w:t>
      </w:r>
    </w:p>
    <w:p w14:paraId="77C9A1B0">
      <w:pPr>
        <w:spacing w:line="336" w:lineRule="auto"/>
        <w:ind w:firstLine="560"/>
        <w:rPr>
          <w:rFonts w:ascii="宋体" w:hAnsi="宋体"/>
          <w:color w:val="auto"/>
          <w:szCs w:val="28"/>
        </w:rPr>
      </w:pPr>
      <w:r>
        <w:rPr>
          <w:rFonts w:hint="eastAsia"/>
          <w:color w:val="auto"/>
        </w:rPr>
        <w:t>（</w:t>
      </w:r>
      <w:r>
        <w:rPr>
          <w:rFonts w:hint="eastAsia" w:ascii="Times New Roman" w:hAnsi="Times New Roman"/>
          <w:color w:val="auto"/>
        </w:rPr>
        <w:t>3</w:t>
      </w:r>
      <w:r>
        <w:rPr>
          <w:rFonts w:hint="eastAsia"/>
          <w:color w:val="auto"/>
        </w:rPr>
        <w:t>）</w:t>
      </w:r>
      <w:r>
        <w:rPr>
          <w:color w:val="auto"/>
        </w:rPr>
        <w:t>加强施工现场安全管理，落实专人负责检修作业人员的现场监护工作，落实各项施工作业安全措施，同时加强对作业现场安全管理检查</w:t>
      </w:r>
      <w:r>
        <w:rPr>
          <w:rFonts w:ascii="宋体" w:hAnsi="宋体"/>
          <w:color w:val="auto"/>
          <w:szCs w:val="28"/>
        </w:rPr>
        <w:t>。</w:t>
      </w:r>
    </w:p>
    <w:p w14:paraId="0B573F19">
      <w:pPr>
        <w:pStyle w:val="37"/>
        <w:ind w:firstLine="360"/>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1" w:charSpace="0"/>
        </w:sectPr>
      </w:pPr>
    </w:p>
    <w:p w14:paraId="3FD6A2B1">
      <w:pPr>
        <w:pStyle w:val="3"/>
        <w:spacing w:line="360" w:lineRule="auto"/>
        <w:rPr>
          <w:color w:val="auto"/>
        </w:rPr>
      </w:pPr>
      <w:bookmarkStart w:id="468" w:name="_Toc2461"/>
      <w:bookmarkStart w:id="469" w:name="_Toc407"/>
      <w:bookmarkStart w:id="470" w:name="_Toc18460"/>
      <w:bookmarkStart w:id="471" w:name="_Toc23759"/>
      <w:r>
        <w:rPr>
          <w:rFonts w:hint="eastAsia"/>
          <w:color w:val="auto"/>
        </w:rPr>
        <w:t>第十章 安全对策与建议</w:t>
      </w:r>
      <w:bookmarkEnd w:id="468"/>
      <w:bookmarkEnd w:id="469"/>
      <w:bookmarkEnd w:id="470"/>
      <w:bookmarkEnd w:id="471"/>
    </w:p>
    <w:p w14:paraId="6ADD699B">
      <w:pPr>
        <w:pStyle w:val="4"/>
        <w:pageBreakBefore w:val="0"/>
        <w:widowControl/>
        <w:kinsoku/>
        <w:wordWrap/>
        <w:overflowPunct/>
        <w:topLinePunct w:val="0"/>
        <w:autoSpaceDE/>
        <w:autoSpaceDN/>
        <w:bidi w:val="0"/>
        <w:adjustRightInd/>
        <w:snapToGrid/>
        <w:spacing w:line="560" w:lineRule="exact"/>
        <w:jc w:val="both"/>
        <w:textAlignment w:val="auto"/>
        <w:rPr>
          <w:color w:val="auto"/>
        </w:rPr>
      </w:pPr>
      <w:bookmarkStart w:id="472" w:name="_Toc230146371"/>
      <w:bookmarkStart w:id="473" w:name="_Toc4567"/>
      <w:bookmarkStart w:id="474" w:name="_Toc215479114"/>
      <w:bookmarkStart w:id="475" w:name="_Toc215026934"/>
      <w:bookmarkStart w:id="476" w:name="_Toc230146537"/>
      <w:bookmarkStart w:id="477" w:name="_Toc47002197"/>
      <w:bookmarkStart w:id="478" w:name="_Toc46231745"/>
      <w:bookmarkStart w:id="479" w:name="_Toc3306"/>
      <w:bookmarkStart w:id="480" w:name="_Toc25232"/>
      <w:bookmarkStart w:id="481" w:name="_Toc11031"/>
      <w:bookmarkStart w:id="482" w:name="_Toc13988"/>
      <w:bookmarkStart w:id="483" w:name="_Toc20363"/>
      <w:bookmarkStart w:id="484" w:name="_Toc332109798"/>
      <w:bookmarkStart w:id="485" w:name="_Toc26761"/>
      <w:bookmarkStart w:id="486" w:name="_Toc8218"/>
      <w:bookmarkStart w:id="487" w:name="_Toc6306"/>
      <w:r>
        <w:rPr>
          <w:rFonts w:hint="eastAsia" w:ascii="Times New Roman" w:hAnsi="Times New Roman" w:cs="楷体"/>
          <w:color w:val="auto"/>
        </w:rPr>
        <w:t>10</w:t>
      </w:r>
      <w:r>
        <w:rPr>
          <w:rFonts w:hint="eastAsia" w:ascii="楷体" w:hAnsi="楷体" w:cs="楷体"/>
          <w:color w:val="auto"/>
        </w:rPr>
        <w:t>.</w:t>
      </w:r>
      <w:r>
        <w:rPr>
          <w:rFonts w:hint="eastAsia" w:ascii="Times New Roman" w:hAnsi="Times New Roman" w:cs="楷体"/>
          <w:color w:val="auto"/>
        </w:rPr>
        <w:t>1</w:t>
      </w:r>
      <w:bookmarkEnd w:id="472"/>
      <w:bookmarkEnd w:id="473"/>
      <w:bookmarkEnd w:id="474"/>
      <w:bookmarkEnd w:id="475"/>
      <w:bookmarkEnd w:id="476"/>
      <w:bookmarkEnd w:id="477"/>
      <w:bookmarkEnd w:id="478"/>
      <w:r>
        <w:rPr>
          <w:rFonts w:hint="eastAsia" w:ascii="楷体" w:hAnsi="楷体" w:cs="楷体"/>
          <w:color w:val="auto"/>
        </w:rPr>
        <w:t>整改建议及</w:t>
      </w:r>
      <w:r>
        <w:rPr>
          <w:rFonts w:hint="eastAsia" w:ascii="楷体" w:hAnsi="楷体" w:cs="楷体"/>
          <w:color w:val="auto"/>
          <w:lang w:val="en-US" w:eastAsia="zh-CN"/>
        </w:rPr>
        <w:t>落实</w:t>
      </w:r>
      <w:r>
        <w:rPr>
          <w:rFonts w:hint="eastAsia" w:ascii="楷体" w:hAnsi="楷体" w:cs="楷体"/>
          <w:color w:val="auto"/>
        </w:rPr>
        <w:t>情况</w:t>
      </w:r>
      <w:bookmarkEnd w:id="479"/>
      <w:bookmarkEnd w:id="480"/>
      <w:bookmarkEnd w:id="481"/>
    </w:p>
    <w:p w14:paraId="37167D6E">
      <w:pPr>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ascii="Times New Roman" w:hAnsi="Times New Roman" w:cs="Times New Roman"/>
          <w:color w:val="auto"/>
          <w:sz w:val="28"/>
          <w:szCs w:val="28"/>
        </w:rPr>
      </w:pPr>
      <w:r>
        <w:rPr>
          <w:rFonts w:hint="eastAsia"/>
          <w:color w:val="auto"/>
        </w:rPr>
        <w:t>评价组评价过程中，</w:t>
      </w:r>
      <w:r>
        <w:rPr>
          <w:rFonts w:hint="eastAsia" w:ascii="宋体" w:hAnsi="宋体"/>
          <w:color w:val="auto"/>
          <w:szCs w:val="28"/>
        </w:rPr>
        <w:t>对企业现场存在的问题提出了整改建议，</w:t>
      </w:r>
      <w:r>
        <w:rPr>
          <w:rFonts w:hint="eastAsia" w:ascii="Times New Roman" w:hAnsi="Times New Roman" w:cs="Times New Roman"/>
          <w:color w:val="auto"/>
          <w:sz w:val="28"/>
          <w:szCs w:val="28"/>
          <w:lang w:eastAsia="zh-CN"/>
        </w:rPr>
        <w:t>中国石化销售股份有限公司江西宜春铜鼓县城加油站</w:t>
      </w:r>
      <w:r>
        <w:rPr>
          <w:rFonts w:ascii="Times New Roman" w:hAnsi="Times New Roman" w:cs="Times New Roman"/>
          <w:color w:val="auto"/>
          <w:sz w:val="28"/>
          <w:szCs w:val="28"/>
        </w:rPr>
        <w:t>对评价组在现场提出的整改</w:t>
      </w:r>
      <w:r>
        <w:rPr>
          <w:rFonts w:hint="eastAsia" w:cs="Times New Roman"/>
          <w:color w:val="auto"/>
          <w:sz w:val="28"/>
          <w:szCs w:val="28"/>
          <w:lang w:val="en-US" w:eastAsia="zh-CN"/>
        </w:rPr>
        <w:t>建议</w:t>
      </w:r>
      <w:r>
        <w:rPr>
          <w:rFonts w:ascii="Times New Roman" w:hAnsi="Times New Roman" w:cs="Times New Roman"/>
          <w:color w:val="auto"/>
          <w:sz w:val="28"/>
          <w:szCs w:val="28"/>
        </w:rPr>
        <w:t>进行了整改，并</w:t>
      </w:r>
      <w:r>
        <w:rPr>
          <w:rFonts w:hint="eastAsia" w:ascii="Times New Roman" w:hAnsi="Times New Roman" w:cs="Times New Roman"/>
          <w:color w:val="auto"/>
          <w:sz w:val="28"/>
          <w:szCs w:val="28"/>
        </w:rPr>
        <w:t>已</w:t>
      </w:r>
      <w:r>
        <w:rPr>
          <w:rFonts w:ascii="Times New Roman" w:hAnsi="Times New Roman" w:cs="Times New Roman"/>
          <w:color w:val="auto"/>
          <w:sz w:val="28"/>
          <w:szCs w:val="28"/>
        </w:rPr>
        <w:t>整改到位。具体情况，见</w:t>
      </w:r>
      <w:r>
        <w:rPr>
          <w:rFonts w:hint="eastAsia" w:cs="Times New Roman"/>
          <w:color w:val="auto"/>
          <w:sz w:val="28"/>
          <w:szCs w:val="28"/>
          <w:lang w:val="en-US" w:eastAsia="zh-CN"/>
        </w:rPr>
        <w:t>附件</w:t>
      </w:r>
      <w:r>
        <w:rPr>
          <w:rFonts w:ascii="Times New Roman" w:hAnsi="Times New Roman" w:cs="Times New Roman"/>
          <w:color w:val="auto"/>
          <w:sz w:val="28"/>
          <w:szCs w:val="28"/>
        </w:rPr>
        <w:t>整改回复。</w:t>
      </w:r>
    </w:p>
    <w:bookmarkEnd w:id="482"/>
    <w:bookmarkEnd w:id="483"/>
    <w:bookmarkEnd w:id="484"/>
    <w:bookmarkEnd w:id="485"/>
    <w:bookmarkEnd w:id="486"/>
    <w:bookmarkEnd w:id="487"/>
    <w:p w14:paraId="78324DFC">
      <w:pPr>
        <w:pStyle w:val="4"/>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cs="Times New Roman"/>
          <w:color w:val="auto"/>
        </w:rPr>
      </w:pPr>
      <w:bookmarkStart w:id="488" w:name="_Toc28424"/>
      <w:bookmarkStart w:id="489" w:name="_Toc17713"/>
      <w:bookmarkStart w:id="490" w:name="_Toc123"/>
      <w:bookmarkStart w:id="491" w:name="_Toc10706"/>
      <w:bookmarkStart w:id="492" w:name="_Toc7560"/>
      <w:bookmarkStart w:id="493" w:name="_Toc7648"/>
      <w:bookmarkStart w:id="494" w:name="_Toc8027"/>
      <w:bookmarkStart w:id="495" w:name="_Toc14707"/>
      <w:bookmarkStart w:id="496" w:name="_Toc27763"/>
      <w:bookmarkStart w:id="497" w:name="_Toc14680"/>
      <w:r>
        <w:rPr>
          <w:rFonts w:hint="default" w:ascii="Times New Roman" w:hAnsi="Times New Roman" w:cs="Times New Roman"/>
          <w:color w:val="auto"/>
        </w:rPr>
        <w:t>10.2危险、有害因素的基本对策措施</w:t>
      </w:r>
      <w:bookmarkEnd w:id="488"/>
      <w:bookmarkEnd w:id="489"/>
      <w:bookmarkEnd w:id="490"/>
      <w:bookmarkEnd w:id="491"/>
    </w:p>
    <w:p w14:paraId="1D30030D">
      <w:pPr>
        <w:pageBreakBefore w:val="0"/>
        <w:widowControl/>
        <w:kinsoku/>
        <w:wordWrap/>
        <w:overflowPunct/>
        <w:topLinePunct w:val="0"/>
        <w:autoSpaceDE/>
        <w:autoSpaceDN/>
        <w:bidi w:val="0"/>
        <w:adjustRightInd/>
        <w:snapToGrid/>
        <w:spacing w:line="56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根据对该加油站的危险、有害因素的辨识和分析，以及定性、定量的评价结果；建议该加油站在日常安全生产管理中，对潜在的主要危险、有害因素采取相应的基本对策措施，具体如表10.2-1：</w:t>
      </w:r>
    </w:p>
    <w:p w14:paraId="53090AD5">
      <w:pPr>
        <w:spacing w:line="240" w:lineRule="auto"/>
        <w:ind w:firstLine="422"/>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表10.2-1 危险、有害因素的基本对策措施</w:t>
      </w:r>
    </w:p>
    <w:tbl>
      <w:tblPr>
        <w:tblStyle w:val="48"/>
        <w:tblW w:w="93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8004"/>
      </w:tblGrid>
      <w:tr w14:paraId="1FA9F9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56" w:type="dxa"/>
            <w:tcBorders>
              <w:tl2br w:val="nil"/>
              <w:tr2bl w:val="nil"/>
            </w:tcBorders>
            <w:shd w:val="clear" w:color="auto" w:fill="auto"/>
            <w:vAlign w:val="center"/>
          </w:tcPr>
          <w:p w14:paraId="1AE6BC9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auto"/>
              </w:rPr>
            </w:pPr>
            <w:r>
              <w:rPr>
                <w:rFonts w:hint="default" w:ascii="Times New Roman" w:hAnsi="Times New Roman" w:cs="Times New Roman"/>
                <w:color w:val="auto"/>
              </w:rPr>
              <w:t>潜在事故</w:t>
            </w:r>
          </w:p>
        </w:tc>
        <w:tc>
          <w:tcPr>
            <w:tcW w:w="8004" w:type="dxa"/>
            <w:tcBorders>
              <w:tl2br w:val="nil"/>
              <w:tr2bl w:val="nil"/>
            </w:tcBorders>
            <w:shd w:val="clear" w:color="auto" w:fill="auto"/>
            <w:vAlign w:val="center"/>
          </w:tcPr>
          <w:p w14:paraId="1D593E4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auto"/>
              </w:rPr>
            </w:pPr>
            <w:r>
              <w:rPr>
                <w:rFonts w:hint="default" w:ascii="Times New Roman" w:hAnsi="Times New Roman" w:cs="Times New Roman"/>
                <w:color w:val="auto"/>
              </w:rPr>
              <w:t>基本防范措施</w:t>
            </w:r>
          </w:p>
        </w:tc>
      </w:tr>
      <w:tr w14:paraId="4B756F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1356" w:type="dxa"/>
            <w:tcBorders>
              <w:tl2br w:val="nil"/>
              <w:tr2bl w:val="nil"/>
            </w:tcBorders>
            <w:vAlign w:val="center"/>
          </w:tcPr>
          <w:p w14:paraId="485D0FB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auto"/>
              </w:rPr>
            </w:pPr>
            <w:r>
              <w:rPr>
                <w:rFonts w:hint="default" w:ascii="Times New Roman" w:hAnsi="Times New Roman" w:cs="Times New Roman"/>
                <w:color w:val="auto"/>
              </w:rPr>
              <w:t>火灾、</w:t>
            </w:r>
          </w:p>
          <w:p w14:paraId="4EC9072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auto"/>
              </w:rPr>
            </w:pPr>
            <w:r>
              <w:rPr>
                <w:rFonts w:hint="default" w:ascii="Times New Roman" w:hAnsi="Times New Roman" w:cs="Times New Roman"/>
                <w:color w:val="auto"/>
              </w:rPr>
              <w:t>化学爆炸</w:t>
            </w:r>
          </w:p>
        </w:tc>
        <w:tc>
          <w:tcPr>
            <w:tcW w:w="8004" w:type="dxa"/>
            <w:tcBorders>
              <w:tl2br w:val="nil"/>
              <w:tr2bl w:val="nil"/>
            </w:tcBorders>
          </w:tcPr>
          <w:p w14:paraId="4892BE7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eastAsia="zh-CN"/>
              </w:rPr>
              <w:t>）</w:t>
            </w:r>
            <w:r>
              <w:rPr>
                <w:rFonts w:hint="default" w:ascii="Times New Roman" w:hAnsi="Times New Roman" w:cs="Times New Roman"/>
                <w:color w:val="auto"/>
              </w:rPr>
              <w:t>作业人员严格执行防火安全管理制度、安全操作规程，并加强日常安全培训。</w:t>
            </w:r>
          </w:p>
          <w:p w14:paraId="37CBD5E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2</w:t>
            </w:r>
            <w:r>
              <w:rPr>
                <w:rFonts w:hint="default" w:ascii="Times New Roman" w:hAnsi="Times New Roman" w:cs="Times New Roman"/>
                <w:color w:val="auto"/>
                <w:lang w:eastAsia="zh-CN"/>
              </w:rPr>
              <w:t>）</w:t>
            </w:r>
            <w:r>
              <w:rPr>
                <w:rFonts w:hint="default" w:ascii="Times New Roman" w:hAnsi="Times New Roman" w:cs="Times New Roman"/>
                <w:color w:val="auto"/>
              </w:rPr>
              <w:t>确保作业场所通风效果良好，减少商品、广告招牌对通道的占用。</w:t>
            </w:r>
          </w:p>
          <w:p w14:paraId="2194E0B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cs="Times New Roman"/>
                <w:color w:val="auto"/>
                <w:lang w:eastAsia="zh-CN"/>
              </w:rPr>
              <w:t>）</w:t>
            </w:r>
            <w:r>
              <w:rPr>
                <w:rFonts w:hint="default" w:ascii="Times New Roman" w:hAnsi="Times New Roman" w:cs="Times New Roman"/>
                <w:color w:val="auto"/>
              </w:rPr>
              <w:t>防爆区域电气设备全部采用防爆型，且防爆等级符合要求。</w:t>
            </w:r>
          </w:p>
          <w:p w14:paraId="74E446B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4</w:t>
            </w:r>
            <w:r>
              <w:rPr>
                <w:rFonts w:hint="default" w:ascii="Times New Roman" w:hAnsi="Times New Roman" w:cs="Times New Roman"/>
                <w:color w:val="auto"/>
                <w:lang w:eastAsia="zh-CN"/>
              </w:rPr>
              <w:t>）</w:t>
            </w:r>
            <w:r>
              <w:rPr>
                <w:rFonts w:hint="default" w:ascii="Times New Roman" w:hAnsi="Times New Roman" w:cs="Times New Roman"/>
                <w:color w:val="auto"/>
              </w:rPr>
              <w:t>配置足够的消防器材、设施，并定期检查。</w:t>
            </w:r>
          </w:p>
          <w:p w14:paraId="6AE0CAD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5</w:t>
            </w:r>
            <w:r>
              <w:rPr>
                <w:rFonts w:hint="default" w:ascii="Times New Roman" w:hAnsi="Times New Roman" w:cs="Times New Roman"/>
                <w:color w:val="auto"/>
                <w:lang w:eastAsia="zh-CN"/>
              </w:rPr>
              <w:t>）</w:t>
            </w:r>
            <w:r>
              <w:rPr>
                <w:rFonts w:hint="default" w:ascii="Times New Roman" w:hAnsi="Times New Roman" w:cs="Times New Roman"/>
                <w:color w:val="auto"/>
              </w:rPr>
              <w:t>油品卸车场所安装静电接地报警仪；卸油作业应错开加油高峰期和高温时段。</w:t>
            </w:r>
          </w:p>
          <w:p w14:paraId="146A82A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6</w:t>
            </w:r>
            <w:r>
              <w:rPr>
                <w:rFonts w:hint="default" w:ascii="Times New Roman" w:hAnsi="Times New Roman" w:cs="Times New Roman"/>
                <w:color w:val="auto"/>
                <w:lang w:eastAsia="zh-CN"/>
              </w:rPr>
              <w:t>）</w:t>
            </w:r>
            <w:r>
              <w:rPr>
                <w:rFonts w:hint="default" w:ascii="Times New Roman" w:hAnsi="Times New Roman" w:cs="Times New Roman"/>
                <w:color w:val="auto"/>
              </w:rPr>
              <w:t>防雷、防静电装置检测应当每年一次，对爆炸危险环境场所的防雷装置应当每半年检测一次。</w:t>
            </w:r>
          </w:p>
          <w:p w14:paraId="027AABC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7</w:t>
            </w:r>
            <w:r>
              <w:rPr>
                <w:rFonts w:hint="default" w:ascii="Times New Roman" w:hAnsi="Times New Roman" w:cs="Times New Roman"/>
                <w:color w:val="auto"/>
                <w:lang w:eastAsia="zh-CN"/>
              </w:rPr>
              <w:t>）</w:t>
            </w:r>
            <w:r>
              <w:rPr>
                <w:rFonts w:hint="default" w:ascii="Times New Roman" w:hAnsi="Times New Roman" w:cs="Times New Roman"/>
                <w:color w:val="auto"/>
              </w:rPr>
              <w:t>使用防静电个体防护用品。</w:t>
            </w:r>
          </w:p>
          <w:p w14:paraId="5104051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8</w:t>
            </w:r>
            <w:r>
              <w:rPr>
                <w:rFonts w:hint="default" w:ascii="Times New Roman" w:hAnsi="Times New Roman" w:cs="Times New Roman"/>
                <w:color w:val="auto"/>
                <w:lang w:eastAsia="zh-CN"/>
              </w:rPr>
              <w:t>）</w:t>
            </w:r>
            <w:r>
              <w:rPr>
                <w:rFonts w:hint="default" w:ascii="Times New Roman" w:hAnsi="Times New Roman" w:cs="Times New Roman"/>
                <w:color w:val="auto"/>
              </w:rPr>
              <w:t>各类检修工具、阀门开闭工具使用防止火花产生的工具。</w:t>
            </w:r>
          </w:p>
          <w:p w14:paraId="611096F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9</w:t>
            </w:r>
            <w:r>
              <w:rPr>
                <w:rFonts w:hint="default" w:ascii="Times New Roman" w:hAnsi="Times New Roman" w:cs="Times New Roman"/>
                <w:color w:val="auto"/>
                <w:lang w:eastAsia="zh-CN"/>
              </w:rPr>
              <w:t>）</w:t>
            </w:r>
            <w:r>
              <w:rPr>
                <w:rFonts w:hint="default" w:ascii="Times New Roman" w:hAnsi="Times New Roman" w:cs="Times New Roman"/>
                <w:color w:val="auto"/>
              </w:rPr>
              <w:t>站内除检修作业外不得使用明火，正常加卸油作业时严禁涉及明火的检修作业、严禁</w:t>
            </w:r>
            <w:r>
              <w:rPr>
                <w:rFonts w:hint="default" w:ascii="Times New Roman" w:hAnsi="Times New Roman" w:cs="Times New Roman"/>
                <w:color w:val="auto"/>
                <w:lang w:val="en-US" w:eastAsia="zh-CN"/>
              </w:rPr>
              <w:t>吸烟</w:t>
            </w:r>
            <w:r>
              <w:rPr>
                <w:rFonts w:hint="default" w:ascii="Times New Roman" w:hAnsi="Times New Roman" w:cs="Times New Roman"/>
                <w:color w:val="auto"/>
              </w:rPr>
              <w:t>。动火、临时用电等危险作业严格执行作业票审批制度，并做好可燃气体检测、施工方案和应急措施。</w:t>
            </w:r>
          </w:p>
          <w:p w14:paraId="1727618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10</w:t>
            </w:r>
            <w:r>
              <w:rPr>
                <w:rFonts w:hint="default" w:ascii="Times New Roman" w:hAnsi="Times New Roman" w:cs="Times New Roman"/>
                <w:color w:val="auto"/>
                <w:lang w:eastAsia="zh-CN"/>
              </w:rPr>
              <w:t>）</w:t>
            </w:r>
            <w:r>
              <w:rPr>
                <w:rFonts w:hint="default" w:ascii="Times New Roman" w:hAnsi="Times New Roman" w:cs="Times New Roman"/>
                <w:color w:val="auto"/>
              </w:rPr>
              <w:t>机动车辆加强管理，进站加油车辆应熄火加油，摩托车熄火加油后推行至离加油机5m外后方可开行；油品运输车辆进入卸油区必须戴好阻火器，严格按照卸油操作规程进行操作。</w:t>
            </w:r>
          </w:p>
          <w:p w14:paraId="7C9F735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11</w:t>
            </w:r>
            <w:r>
              <w:rPr>
                <w:rFonts w:hint="default" w:ascii="Times New Roman" w:hAnsi="Times New Roman" w:cs="Times New Roman"/>
                <w:color w:val="auto"/>
                <w:lang w:eastAsia="zh-CN"/>
              </w:rPr>
              <w:t>）</w:t>
            </w:r>
            <w:r>
              <w:rPr>
                <w:rFonts w:hint="default" w:ascii="Times New Roman" w:hAnsi="Times New Roman" w:cs="Times New Roman"/>
                <w:color w:val="auto"/>
              </w:rPr>
              <w:t>易燃易爆场所张贴安全警示标志和安全周知牌。</w:t>
            </w:r>
          </w:p>
          <w:p w14:paraId="2DF0E4B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12</w:t>
            </w:r>
            <w:r>
              <w:rPr>
                <w:rFonts w:hint="default" w:ascii="Times New Roman" w:hAnsi="Times New Roman" w:cs="Times New Roman"/>
                <w:color w:val="auto"/>
                <w:lang w:eastAsia="zh-CN"/>
              </w:rPr>
              <w:t>）</w:t>
            </w:r>
            <w:r>
              <w:rPr>
                <w:rFonts w:hint="default" w:ascii="Times New Roman" w:hAnsi="Times New Roman" w:cs="Times New Roman"/>
                <w:color w:val="auto"/>
              </w:rPr>
              <w:t>保证泄漏预防设施和检测设备的投入。</w:t>
            </w:r>
          </w:p>
          <w:p w14:paraId="0B1D70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13</w:t>
            </w:r>
            <w:r>
              <w:rPr>
                <w:rFonts w:hint="default" w:ascii="Times New Roman" w:hAnsi="Times New Roman" w:cs="Times New Roman"/>
                <w:color w:val="auto"/>
                <w:lang w:eastAsia="zh-CN"/>
              </w:rPr>
              <w:t>）</w:t>
            </w:r>
            <w:r>
              <w:rPr>
                <w:rFonts w:hint="default" w:ascii="Times New Roman" w:hAnsi="Times New Roman" w:cs="Times New Roman"/>
                <w:color w:val="auto"/>
              </w:rPr>
              <w:t>储罐设置齐全可靠的阻火器、呼吸阀、高液位报警器等安全设施。</w:t>
            </w:r>
          </w:p>
          <w:p w14:paraId="342F169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14</w:t>
            </w:r>
            <w:r>
              <w:rPr>
                <w:rFonts w:hint="default" w:ascii="Times New Roman" w:hAnsi="Times New Roman" w:cs="Times New Roman"/>
                <w:color w:val="auto"/>
                <w:lang w:eastAsia="zh-CN"/>
              </w:rPr>
              <w:t>）</w:t>
            </w:r>
            <w:r>
              <w:rPr>
                <w:rFonts w:hint="default" w:ascii="Times New Roman" w:hAnsi="Times New Roman" w:cs="Times New Roman"/>
                <w:color w:val="auto"/>
              </w:rPr>
              <w:t>加强加油管的维护保养，发现破损及时更换，紧急切断阀应定期检查，失效或损坏应立即更换。</w:t>
            </w:r>
          </w:p>
          <w:p w14:paraId="079FD3B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15</w:t>
            </w:r>
            <w:r>
              <w:rPr>
                <w:rFonts w:hint="default" w:ascii="Times New Roman" w:hAnsi="Times New Roman" w:cs="Times New Roman"/>
                <w:color w:val="auto"/>
                <w:lang w:eastAsia="zh-CN"/>
              </w:rPr>
              <w:t>）</w:t>
            </w:r>
            <w:r>
              <w:rPr>
                <w:rFonts w:hint="default" w:ascii="Times New Roman" w:hAnsi="Times New Roman" w:cs="Times New Roman"/>
                <w:color w:val="auto"/>
              </w:rPr>
              <w:t>制定、完善相应的应急救援预案和配备应急器材。</w:t>
            </w:r>
          </w:p>
          <w:p w14:paraId="01ED2E6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ascii="Times New Roman" w:hAnsi="Times New Roman" w:cs="Times New Roman"/>
                <w:color w:val="auto"/>
              </w:rPr>
            </w:pPr>
            <w:r>
              <w:rPr>
                <w:rFonts w:hint="default" w:ascii="Times New Roman" w:hAnsi="Times New Roman" w:cs="Times New Roman"/>
                <w:color w:val="auto"/>
              </w:rPr>
              <w:t>16</w:t>
            </w:r>
            <w:r>
              <w:rPr>
                <w:rFonts w:hint="default" w:ascii="Times New Roman" w:hAnsi="Times New Roman" w:cs="Times New Roman"/>
                <w:color w:val="auto"/>
                <w:lang w:eastAsia="zh-CN"/>
              </w:rPr>
              <w:t>）</w:t>
            </w:r>
            <w:r>
              <w:rPr>
                <w:rFonts w:hint="default" w:ascii="Times New Roman" w:hAnsi="Times New Roman" w:cs="Times New Roman"/>
                <w:color w:val="auto"/>
              </w:rPr>
              <w:t>油气回收系统应定期检测。</w:t>
            </w:r>
          </w:p>
        </w:tc>
      </w:tr>
      <w:tr w14:paraId="0C01F4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356" w:type="dxa"/>
            <w:tcBorders>
              <w:tl2br w:val="nil"/>
              <w:tr2bl w:val="nil"/>
            </w:tcBorders>
            <w:vAlign w:val="center"/>
          </w:tcPr>
          <w:p w14:paraId="430E3AE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中毒和窒息</w:t>
            </w:r>
          </w:p>
        </w:tc>
        <w:tc>
          <w:tcPr>
            <w:tcW w:w="8004" w:type="dxa"/>
            <w:tcBorders>
              <w:tl2br w:val="nil"/>
              <w:tr2bl w:val="nil"/>
            </w:tcBorders>
          </w:tcPr>
          <w:p w14:paraId="04B091B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1</w:t>
            </w:r>
            <w:r>
              <w:rPr>
                <w:rFonts w:hint="eastAsia"/>
                <w:color w:val="auto"/>
                <w:lang w:eastAsia="zh-CN"/>
              </w:rPr>
              <w:t>）</w:t>
            </w:r>
            <w:r>
              <w:rPr>
                <w:rFonts w:hint="eastAsia"/>
                <w:color w:val="auto"/>
              </w:rPr>
              <w:t>油罐、管道、加油机、阀门、法兰连接处做到密封无油品泄漏。</w:t>
            </w:r>
          </w:p>
          <w:p w14:paraId="547E882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2</w:t>
            </w:r>
            <w:r>
              <w:rPr>
                <w:rFonts w:hint="eastAsia"/>
                <w:color w:val="auto"/>
                <w:lang w:eastAsia="zh-CN"/>
              </w:rPr>
              <w:t>）</w:t>
            </w:r>
            <w:r>
              <w:rPr>
                <w:rFonts w:hint="eastAsia"/>
                <w:color w:val="auto"/>
              </w:rPr>
              <w:t>确保作业场所通风效果良好，减少商品、广告招牌对通道的占用。</w:t>
            </w:r>
          </w:p>
          <w:p w14:paraId="0E3E864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3</w:t>
            </w:r>
            <w:r>
              <w:rPr>
                <w:rFonts w:hint="eastAsia"/>
                <w:color w:val="auto"/>
                <w:lang w:eastAsia="zh-CN"/>
              </w:rPr>
              <w:t>）</w:t>
            </w:r>
            <w:r>
              <w:rPr>
                <w:rFonts w:hint="eastAsia"/>
                <w:color w:val="auto"/>
              </w:rPr>
              <w:t>为从业人员配备个人劳动防护用品，并监督其按要求穿戴。</w:t>
            </w:r>
          </w:p>
          <w:p w14:paraId="30634B0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4</w:t>
            </w:r>
            <w:r>
              <w:rPr>
                <w:rFonts w:hint="eastAsia"/>
                <w:color w:val="auto"/>
                <w:lang w:eastAsia="zh-CN"/>
              </w:rPr>
              <w:t>）</w:t>
            </w:r>
            <w:r>
              <w:rPr>
                <w:rFonts w:hint="eastAsia"/>
                <w:color w:val="auto"/>
              </w:rPr>
              <w:t>进入受限空间作业应由具有资质的专业人员进行，并做好防中毒和窒息措施，并严格执行作业票审批制度，并做好可燃气体检测、施工方案和应急措施。</w:t>
            </w:r>
          </w:p>
          <w:p w14:paraId="09FDCA6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5</w:t>
            </w:r>
            <w:r>
              <w:rPr>
                <w:rFonts w:hint="eastAsia"/>
                <w:color w:val="auto"/>
                <w:lang w:eastAsia="zh-CN"/>
              </w:rPr>
              <w:t>）</w:t>
            </w:r>
            <w:r>
              <w:rPr>
                <w:rFonts w:hint="eastAsia"/>
                <w:color w:val="auto"/>
              </w:rPr>
              <w:t>现场张贴安全警示标志和职业危害告知牌。</w:t>
            </w:r>
          </w:p>
          <w:p w14:paraId="03DF4CB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6</w:t>
            </w:r>
            <w:r>
              <w:rPr>
                <w:rFonts w:hint="eastAsia"/>
                <w:color w:val="auto"/>
                <w:lang w:eastAsia="zh-CN"/>
              </w:rPr>
              <w:t>）</w:t>
            </w:r>
            <w:r>
              <w:rPr>
                <w:rFonts w:hint="eastAsia"/>
                <w:color w:val="auto"/>
              </w:rPr>
              <w:t>制定、完善相应的应急救援预案和配备应急器材。</w:t>
            </w:r>
          </w:p>
        </w:tc>
      </w:tr>
      <w:tr w14:paraId="68D843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56" w:type="dxa"/>
            <w:tcBorders>
              <w:tl2br w:val="nil"/>
              <w:tr2bl w:val="nil"/>
            </w:tcBorders>
            <w:vAlign w:val="center"/>
          </w:tcPr>
          <w:p w14:paraId="260AF4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触电</w:t>
            </w:r>
          </w:p>
        </w:tc>
        <w:tc>
          <w:tcPr>
            <w:tcW w:w="8004" w:type="dxa"/>
            <w:tcBorders>
              <w:tl2br w:val="nil"/>
              <w:tr2bl w:val="nil"/>
            </w:tcBorders>
            <w:vAlign w:val="center"/>
          </w:tcPr>
          <w:p w14:paraId="154D00A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1</w:t>
            </w:r>
            <w:r>
              <w:rPr>
                <w:rFonts w:hint="eastAsia"/>
                <w:color w:val="auto"/>
                <w:lang w:eastAsia="zh-CN"/>
              </w:rPr>
              <w:t>）</w:t>
            </w:r>
            <w:r>
              <w:rPr>
                <w:rFonts w:hint="eastAsia"/>
                <w:color w:val="auto"/>
              </w:rPr>
              <w:t>电气选型、安装应符合安全要求；</w:t>
            </w:r>
          </w:p>
          <w:p w14:paraId="5512B40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2</w:t>
            </w:r>
            <w:r>
              <w:rPr>
                <w:rFonts w:hint="eastAsia"/>
                <w:color w:val="auto"/>
                <w:lang w:eastAsia="zh-CN"/>
              </w:rPr>
              <w:t>）</w:t>
            </w:r>
            <w:r>
              <w:rPr>
                <w:rFonts w:hint="eastAsia"/>
                <w:color w:val="auto"/>
              </w:rPr>
              <w:t>聘用有资质的电工人员从事电工作业，非电工人员不得从事电工作业。</w:t>
            </w:r>
          </w:p>
          <w:p w14:paraId="61F8308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3</w:t>
            </w:r>
            <w:r>
              <w:rPr>
                <w:rFonts w:hint="eastAsia"/>
                <w:color w:val="auto"/>
                <w:lang w:eastAsia="zh-CN"/>
              </w:rPr>
              <w:t>）</w:t>
            </w:r>
            <w:r>
              <w:rPr>
                <w:rFonts w:hint="eastAsia"/>
                <w:color w:val="auto"/>
              </w:rPr>
              <w:t>带电作业或设备维修时，应严格执行“挂牌”作业制度。</w:t>
            </w:r>
          </w:p>
          <w:p w14:paraId="3B70B58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4</w:t>
            </w:r>
            <w:r>
              <w:rPr>
                <w:rFonts w:hint="eastAsia"/>
                <w:color w:val="auto"/>
                <w:lang w:eastAsia="zh-CN"/>
              </w:rPr>
              <w:t>）</w:t>
            </w:r>
            <w:r>
              <w:rPr>
                <w:rFonts w:hint="eastAsia"/>
                <w:color w:val="auto"/>
              </w:rPr>
              <w:t>设备金属外壳应有可靠接地（零），设漏电保护。</w:t>
            </w:r>
          </w:p>
          <w:p w14:paraId="55473B9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5</w:t>
            </w:r>
            <w:r>
              <w:rPr>
                <w:rFonts w:hint="eastAsia"/>
                <w:color w:val="auto"/>
                <w:lang w:eastAsia="zh-CN"/>
              </w:rPr>
              <w:t>）</w:t>
            </w:r>
            <w:r>
              <w:rPr>
                <w:rFonts w:hint="eastAsia"/>
                <w:color w:val="auto"/>
              </w:rPr>
              <w:t>设置防雷设施并定期检测。</w:t>
            </w:r>
          </w:p>
          <w:p w14:paraId="5C67763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6</w:t>
            </w:r>
            <w:r>
              <w:rPr>
                <w:rFonts w:hint="eastAsia"/>
                <w:color w:val="auto"/>
                <w:lang w:eastAsia="zh-CN"/>
              </w:rPr>
              <w:t>）</w:t>
            </w:r>
            <w:r>
              <w:rPr>
                <w:rFonts w:hint="eastAsia"/>
                <w:color w:val="auto"/>
              </w:rPr>
              <w:t>为从业人员配备个人劳动防护用品，并监督其按要求穿戴。</w:t>
            </w:r>
          </w:p>
          <w:p w14:paraId="2C129A3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lang w:val="en-US"/>
              </w:rPr>
            </w:pPr>
            <w:r>
              <w:rPr>
                <w:rFonts w:hint="eastAsia" w:ascii="Times New Roman" w:hAnsi="Times New Roman"/>
                <w:color w:val="auto"/>
              </w:rPr>
              <w:t>7</w:t>
            </w:r>
            <w:r>
              <w:rPr>
                <w:rFonts w:hint="eastAsia"/>
                <w:color w:val="auto"/>
                <w:lang w:eastAsia="zh-CN"/>
              </w:rPr>
              <w:t>）</w:t>
            </w:r>
            <w:r>
              <w:rPr>
                <w:rFonts w:hint="eastAsia"/>
                <w:color w:val="auto"/>
              </w:rPr>
              <w:t>严格执行安全操作规程和安全规章制度。</w:t>
            </w:r>
          </w:p>
          <w:p w14:paraId="214CB9B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color w:val="auto"/>
                <w:lang w:val="en-US" w:eastAsia="zh-CN"/>
              </w:rPr>
              <w:t>8</w:t>
            </w:r>
            <w:r>
              <w:rPr>
                <w:rFonts w:hint="eastAsia"/>
                <w:color w:val="auto"/>
                <w:lang w:eastAsia="zh-CN"/>
              </w:rPr>
              <w:t>）</w:t>
            </w:r>
            <w:r>
              <w:rPr>
                <w:rFonts w:hint="eastAsia"/>
                <w:color w:val="auto"/>
              </w:rPr>
              <w:t>阴雨天气和汛期要防止电器设备涉水导致的漏电事故。</w:t>
            </w:r>
          </w:p>
          <w:p w14:paraId="0D35C80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color w:val="auto"/>
                <w:lang w:val="en-US" w:eastAsia="zh-CN"/>
              </w:rPr>
              <w:t>9</w:t>
            </w:r>
            <w:r>
              <w:rPr>
                <w:rFonts w:hint="eastAsia"/>
                <w:color w:val="auto"/>
                <w:lang w:eastAsia="zh-CN"/>
              </w:rPr>
              <w:t>）</w:t>
            </w:r>
            <w:r>
              <w:rPr>
                <w:rFonts w:hint="eastAsia"/>
                <w:color w:val="auto"/>
              </w:rPr>
              <w:t>制定、完善相应的应急救援预案和配备应急器材。</w:t>
            </w:r>
          </w:p>
        </w:tc>
      </w:tr>
      <w:tr w14:paraId="784C6B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56" w:type="dxa"/>
            <w:tcBorders>
              <w:tl2br w:val="nil"/>
              <w:tr2bl w:val="nil"/>
            </w:tcBorders>
            <w:vAlign w:val="center"/>
          </w:tcPr>
          <w:p w14:paraId="0AAA74B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车辆伤害</w:t>
            </w:r>
          </w:p>
        </w:tc>
        <w:tc>
          <w:tcPr>
            <w:tcW w:w="8004" w:type="dxa"/>
            <w:tcBorders>
              <w:tl2br w:val="nil"/>
              <w:tr2bl w:val="nil"/>
            </w:tcBorders>
          </w:tcPr>
          <w:p w14:paraId="5EC6C86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1</w:t>
            </w:r>
            <w:r>
              <w:rPr>
                <w:rFonts w:hint="eastAsia"/>
                <w:color w:val="auto"/>
                <w:lang w:eastAsia="zh-CN"/>
              </w:rPr>
              <w:t>）</w:t>
            </w:r>
            <w:r>
              <w:rPr>
                <w:rFonts w:hint="eastAsia"/>
                <w:color w:val="auto"/>
              </w:rPr>
              <w:t>严格执行车辆管理制度，加强进出站车辆管理，合理指挥，特别是加油高峰期。</w:t>
            </w:r>
          </w:p>
          <w:p w14:paraId="6A4949B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2</w:t>
            </w:r>
            <w:r>
              <w:rPr>
                <w:rFonts w:hint="eastAsia"/>
                <w:color w:val="auto"/>
                <w:lang w:eastAsia="zh-CN"/>
              </w:rPr>
              <w:t>）</w:t>
            </w:r>
            <w:r>
              <w:rPr>
                <w:rFonts w:hint="eastAsia"/>
                <w:color w:val="auto"/>
              </w:rPr>
              <w:t>站区设置加油棚限高、限速标志和加油机防撞栏，地面设置行车线、停车线。</w:t>
            </w:r>
          </w:p>
          <w:p w14:paraId="4ECC0BD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3</w:t>
            </w:r>
            <w:r>
              <w:rPr>
                <w:rFonts w:hint="eastAsia"/>
                <w:color w:val="auto"/>
                <w:lang w:eastAsia="zh-CN"/>
              </w:rPr>
              <w:t>）</w:t>
            </w:r>
            <w:r>
              <w:rPr>
                <w:rFonts w:hint="eastAsia"/>
                <w:color w:val="auto"/>
              </w:rPr>
              <w:t>针对季节变化可能对人体机能的影响，应对进站人员加强安全提示和监护。</w:t>
            </w:r>
          </w:p>
          <w:p w14:paraId="6E54806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4</w:t>
            </w:r>
            <w:r>
              <w:rPr>
                <w:rFonts w:hint="eastAsia"/>
                <w:color w:val="auto"/>
                <w:lang w:eastAsia="zh-CN"/>
              </w:rPr>
              <w:t>）</w:t>
            </w:r>
            <w:r>
              <w:rPr>
                <w:rFonts w:hint="eastAsia"/>
                <w:color w:val="auto"/>
              </w:rPr>
              <w:t>站内道路不得堆放物品，保持车道畅通无阻。</w:t>
            </w:r>
          </w:p>
          <w:p w14:paraId="7236D7B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5</w:t>
            </w:r>
            <w:r>
              <w:rPr>
                <w:rFonts w:hint="eastAsia"/>
                <w:color w:val="auto"/>
                <w:lang w:eastAsia="zh-CN"/>
              </w:rPr>
              <w:t>）</w:t>
            </w:r>
            <w:r>
              <w:rPr>
                <w:rFonts w:hint="eastAsia"/>
                <w:color w:val="auto"/>
              </w:rPr>
              <w:t>制定、完善相应的应急救援预案和配备应急器材。</w:t>
            </w:r>
          </w:p>
        </w:tc>
      </w:tr>
      <w:tr w14:paraId="36AA02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56" w:type="dxa"/>
            <w:tcBorders>
              <w:tl2br w:val="nil"/>
              <w:tr2bl w:val="nil"/>
            </w:tcBorders>
            <w:vAlign w:val="center"/>
          </w:tcPr>
          <w:p w14:paraId="00AFF3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物体打击</w:t>
            </w:r>
          </w:p>
        </w:tc>
        <w:tc>
          <w:tcPr>
            <w:tcW w:w="8004" w:type="dxa"/>
            <w:tcBorders>
              <w:tl2br w:val="nil"/>
              <w:tr2bl w:val="nil"/>
            </w:tcBorders>
          </w:tcPr>
          <w:p w14:paraId="0FC3A5C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1</w:t>
            </w:r>
            <w:r>
              <w:rPr>
                <w:rFonts w:hint="eastAsia"/>
                <w:color w:val="auto"/>
                <w:lang w:eastAsia="zh-CN"/>
              </w:rPr>
              <w:t>）</w:t>
            </w:r>
            <w:r>
              <w:rPr>
                <w:rFonts w:hint="eastAsia"/>
                <w:color w:val="auto"/>
              </w:rPr>
              <w:t>制定相关的安全操作规程，并严格执行。</w:t>
            </w:r>
          </w:p>
          <w:p w14:paraId="7FA9FD5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2</w:t>
            </w:r>
            <w:r>
              <w:rPr>
                <w:rFonts w:hint="eastAsia"/>
                <w:color w:val="auto"/>
                <w:lang w:eastAsia="zh-CN"/>
              </w:rPr>
              <w:t>）</w:t>
            </w:r>
            <w:r>
              <w:rPr>
                <w:rFonts w:hint="eastAsia"/>
                <w:color w:val="auto"/>
              </w:rPr>
              <w:t>规范物品的定置管理，加强现场管理，严禁乱摆乱放。</w:t>
            </w:r>
          </w:p>
          <w:p w14:paraId="35E99F9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3</w:t>
            </w:r>
            <w:r>
              <w:rPr>
                <w:rFonts w:hint="eastAsia"/>
                <w:color w:val="auto"/>
                <w:lang w:eastAsia="zh-CN"/>
              </w:rPr>
              <w:t>）</w:t>
            </w:r>
            <w:r>
              <w:rPr>
                <w:rFonts w:hint="eastAsia"/>
                <w:color w:val="auto"/>
              </w:rPr>
              <w:t>在明显的位置，设置明显的安全警示标志。</w:t>
            </w:r>
          </w:p>
          <w:p w14:paraId="338212B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4</w:t>
            </w:r>
            <w:r>
              <w:rPr>
                <w:rFonts w:hint="eastAsia"/>
                <w:color w:val="auto"/>
                <w:lang w:eastAsia="zh-CN"/>
              </w:rPr>
              <w:t>）</w:t>
            </w:r>
            <w:r>
              <w:rPr>
                <w:rFonts w:hint="eastAsia"/>
                <w:color w:val="auto"/>
              </w:rPr>
              <w:t xml:space="preserve">加强作业人员的安全意识，规范操作。 </w:t>
            </w:r>
          </w:p>
          <w:p w14:paraId="7E24A6B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5</w:t>
            </w:r>
            <w:r>
              <w:rPr>
                <w:rFonts w:hint="eastAsia"/>
                <w:color w:val="auto"/>
                <w:lang w:eastAsia="zh-CN"/>
              </w:rPr>
              <w:t>）</w:t>
            </w:r>
            <w:r>
              <w:rPr>
                <w:rFonts w:hint="eastAsia"/>
                <w:color w:val="auto"/>
              </w:rPr>
              <w:t>作业时，按要求佩戴个人劳动保护用品。</w:t>
            </w:r>
          </w:p>
        </w:tc>
      </w:tr>
      <w:tr w14:paraId="77224C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356" w:type="dxa"/>
            <w:tcBorders>
              <w:tl2br w:val="nil"/>
              <w:tr2bl w:val="nil"/>
            </w:tcBorders>
            <w:vAlign w:val="center"/>
          </w:tcPr>
          <w:p w14:paraId="5CE5E88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高处坠落</w:t>
            </w:r>
          </w:p>
        </w:tc>
        <w:tc>
          <w:tcPr>
            <w:tcW w:w="8004" w:type="dxa"/>
            <w:tcBorders>
              <w:tl2br w:val="nil"/>
              <w:tr2bl w:val="nil"/>
            </w:tcBorders>
          </w:tcPr>
          <w:p w14:paraId="286D0E2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1</w:t>
            </w:r>
            <w:r>
              <w:rPr>
                <w:rFonts w:hint="eastAsia"/>
                <w:color w:val="auto"/>
                <w:lang w:eastAsia="zh-CN"/>
              </w:rPr>
              <w:t>）</w:t>
            </w:r>
            <w:r>
              <w:rPr>
                <w:rFonts w:hint="eastAsia"/>
                <w:color w:val="auto"/>
              </w:rPr>
              <w:t>完善作业现场安全防护措施，严格特殊作业审批。</w:t>
            </w:r>
          </w:p>
          <w:p w14:paraId="6D91D21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2</w:t>
            </w:r>
            <w:r>
              <w:rPr>
                <w:rFonts w:hint="eastAsia"/>
                <w:color w:val="auto"/>
                <w:lang w:eastAsia="zh-CN"/>
              </w:rPr>
              <w:t>）</w:t>
            </w:r>
            <w:r>
              <w:rPr>
                <w:rFonts w:hint="eastAsia"/>
                <w:color w:val="auto"/>
              </w:rPr>
              <w:t>现场增加安全警示标志。</w:t>
            </w:r>
          </w:p>
          <w:p w14:paraId="70ABD69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3</w:t>
            </w:r>
            <w:r>
              <w:rPr>
                <w:rFonts w:hint="eastAsia"/>
                <w:color w:val="auto"/>
                <w:lang w:eastAsia="zh-CN"/>
              </w:rPr>
              <w:t>）</w:t>
            </w:r>
            <w:r>
              <w:rPr>
                <w:rFonts w:hint="eastAsia"/>
                <w:color w:val="auto"/>
              </w:rPr>
              <w:t>加强作业人员安全培训，作业时佩戴安全带。</w:t>
            </w:r>
          </w:p>
          <w:p w14:paraId="2D8E566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4</w:t>
            </w:r>
            <w:r>
              <w:rPr>
                <w:rFonts w:hint="eastAsia"/>
                <w:color w:val="auto"/>
                <w:lang w:eastAsia="zh-CN"/>
              </w:rPr>
              <w:t>）</w:t>
            </w:r>
            <w:r>
              <w:rPr>
                <w:rFonts w:hint="eastAsia"/>
                <w:color w:val="auto"/>
              </w:rPr>
              <w:t>雨天、大风天不得进行高处作业，并加强作业人员的监护。</w:t>
            </w:r>
          </w:p>
          <w:p w14:paraId="33BFCD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default"/>
                <w:color w:val="auto"/>
              </w:rPr>
            </w:pPr>
            <w:r>
              <w:rPr>
                <w:rFonts w:hint="eastAsia" w:ascii="Times New Roman" w:hAnsi="Times New Roman"/>
                <w:color w:val="auto"/>
              </w:rPr>
              <w:t>5</w:t>
            </w:r>
            <w:r>
              <w:rPr>
                <w:rFonts w:hint="eastAsia"/>
                <w:color w:val="auto"/>
                <w:lang w:eastAsia="zh-CN"/>
              </w:rPr>
              <w:t>）</w:t>
            </w:r>
            <w:r>
              <w:rPr>
                <w:rFonts w:hint="eastAsia"/>
                <w:color w:val="auto"/>
              </w:rPr>
              <w:t>有恐高症或其他身体疾病的员工不得进行高处作业。</w:t>
            </w:r>
          </w:p>
        </w:tc>
      </w:tr>
      <w:bookmarkEnd w:id="492"/>
      <w:bookmarkEnd w:id="493"/>
      <w:bookmarkEnd w:id="494"/>
      <w:bookmarkEnd w:id="495"/>
      <w:bookmarkEnd w:id="496"/>
      <w:bookmarkEnd w:id="497"/>
    </w:tbl>
    <w:p w14:paraId="3BC04043">
      <w:pPr>
        <w:pStyle w:val="21"/>
        <w:rPr>
          <w:color w:val="auto"/>
        </w:rPr>
      </w:pPr>
    </w:p>
    <w:p w14:paraId="2EF03090">
      <w:pPr>
        <w:pStyle w:val="4"/>
        <w:spacing w:line="360" w:lineRule="auto"/>
        <w:jc w:val="both"/>
        <w:rPr>
          <w:rFonts w:hint="default" w:ascii="Times New Roman" w:hAnsi="Times New Roman" w:cs="Times New Roman"/>
          <w:color w:val="auto"/>
        </w:rPr>
      </w:pPr>
      <w:bookmarkStart w:id="498" w:name="_Toc13887"/>
      <w:bookmarkStart w:id="499" w:name="_Toc2191"/>
      <w:bookmarkStart w:id="500" w:name="_Toc23295"/>
      <w:bookmarkStart w:id="501" w:name="_Toc19870"/>
      <w:bookmarkStart w:id="502" w:name="_Toc27540"/>
      <w:r>
        <w:rPr>
          <w:rFonts w:hint="default" w:ascii="Times New Roman" w:hAnsi="Times New Roman" w:cs="Times New Roman"/>
          <w:color w:val="auto"/>
        </w:rPr>
        <w:t>10.3安全管理方面对策措施</w:t>
      </w:r>
      <w:bookmarkEnd w:id="498"/>
      <w:bookmarkEnd w:id="499"/>
      <w:bookmarkEnd w:id="500"/>
      <w:bookmarkEnd w:id="501"/>
      <w:bookmarkEnd w:id="502"/>
    </w:p>
    <w:p w14:paraId="6D685B3C">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color w:val="auto"/>
        </w:rPr>
      </w:pPr>
      <w:r>
        <w:rPr>
          <w:rFonts w:hint="default" w:ascii="Times New Roman" w:hAnsi="Times New Roman" w:cs="Times New Roman"/>
          <w:color w:val="auto"/>
        </w:rPr>
        <w:t>根据《安全设施设计》和本报告提出的安全对策措施，落实防范火灾、爆炸、中毒和窒息等事故的安全措施和安全管理制度，完善应急救援预案，并配备相应的器材和设施，定期进行演练。</w:t>
      </w:r>
    </w:p>
    <w:p w14:paraId="596C9EE5">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color w:val="auto"/>
        </w:rPr>
      </w:pPr>
      <w:r>
        <w:rPr>
          <w:rFonts w:hint="eastAsia"/>
          <w:color w:val="auto"/>
        </w:rPr>
        <w:t>企业要建立健全从主要负责人到一线岗位员工覆盖所有管理和操作岗位的安全生产责任制，明确企业所有人员承担的安全生产责任。加强安全生产</w:t>
      </w:r>
      <w:r>
        <w:rPr>
          <w:rFonts w:hint="eastAsia"/>
          <w:color w:val="auto"/>
          <w:lang w:eastAsia="zh-CN"/>
        </w:rPr>
        <w:t>法制教育</w:t>
      </w:r>
      <w:r>
        <w:rPr>
          <w:rFonts w:hint="eastAsia"/>
          <w:color w:val="auto"/>
        </w:rPr>
        <w:t>，提高全员守法自觉性，建立自我约束、持续改进的安全生产内生机制，建立企业内部安全生产监督考核机制，推动各个岗位安全生产责任落实到位。</w:t>
      </w:r>
    </w:p>
    <w:p w14:paraId="456D69F0">
      <w:pPr>
        <w:numPr>
          <w:ilvl w:val="0"/>
          <w:numId w:val="13"/>
        </w:numPr>
        <w:tabs>
          <w:tab w:val="clear" w:pos="0"/>
        </w:tabs>
        <w:spacing w:line="360" w:lineRule="auto"/>
        <w:ind w:firstLine="560" w:firstLineChars="200"/>
        <w:rPr>
          <w:color w:val="auto"/>
        </w:rPr>
      </w:pPr>
      <w:r>
        <w:rPr>
          <w:rFonts w:hint="eastAsia"/>
          <w:color w:val="auto"/>
        </w:rPr>
        <w:t>企业法定代表人、实际控制人等主要负责人要强化落实第一责任人法定责任，牢固树立安全发展理念，带头执行安全生产法律法规和规章标准，加强全员、全过程、全方位安全生产管理，做到安全责任、安全管理、安全投入、安全培训、应急救援“五到位”。在安全生产关键时间节点要在岗在位、盯守现场，确保安全。</w:t>
      </w:r>
    </w:p>
    <w:p w14:paraId="3CD7AE57">
      <w:pPr>
        <w:numPr>
          <w:ilvl w:val="0"/>
          <w:numId w:val="13"/>
        </w:numPr>
        <w:tabs>
          <w:tab w:val="clear" w:pos="0"/>
        </w:tabs>
        <w:spacing w:line="360" w:lineRule="auto"/>
        <w:ind w:firstLine="560" w:firstLineChars="200"/>
        <w:rPr>
          <w:color w:val="auto"/>
        </w:rPr>
      </w:pPr>
      <w:r>
        <w:rPr>
          <w:rFonts w:hint="eastAsia"/>
          <w:color w:val="auto"/>
        </w:rPr>
        <w:t>强化内部各部门安全生产职责，落实</w:t>
      </w:r>
      <w:r>
        <w:rPr>
          <w:rFonts w:hint="eastAsia"/>
          <w:color w:val="auto"/>
          <w:lang w:eastAsia="zh-CN"/>
        </w:rPr>
        <w:t>“一岗双责”</w:t>
      </w:r>
      <w:r>
        <w:rPr>
          <w:rFonts w:hint="eastAsia"/>
          <w:color w:val="auto"/>
        </w:rPr>
        <w:t>制度。重点行业领域企业要严格落实以师带徒制度，确保新招员工安全作业。企业安全管理人员、重点岗位、班组和一线从业人员要严格履行自身安全生产职责，严格遵守岗位安全操作规程，确保安全生产，建立“层层负责、人人有责、各负其责”的安全生产工作体系。</w:t>
      </w:r>
    </w:p>
    <w:p w14:paraId="3BAD132F">
      <w:pPr>
        <w:numPr>
          <w:ilvl w:val="0"/>
          <w:numId w:val="13"/>
        </w:numPr>
        <w:tabs>
          <w:tab w:val="clear" w:pos="0"/>
        </w:tabs>
        <w:spacing w:line="360" w:lineRule="auto"/>
        <w:ind w:firstLine="560" w:firstLineChars="200"/>
        <w:rPr>
          <w:color w:val="auto"/>
        </w:rPr>
      </w:pPr>
      <w:r>
        <w:rPr>
          <w:rFonts w:hint="eastAsia"/>
          <w:color w:val="auto"/>
        </w:rPr>
        <w:t>企业要依法建立健全安全生产管理机构，配齐安全生产管理人员，全力支持安全管理机构工作，并建立相应的奖惩制度。企业要持续提升安全管理科学化、专业化、规范化水平，建立安全技术团队。</w:t>
      </w:r>
    </w:p>
    <w:p w14:paraId="1970C997">
      <w:pPr>
        <w:numPr>
          <w:ilvl w:val="0"/>
          <w:numId w:val="13"/>
        </w:numPr>
        <w:tabs>
          <w:tab w:val="clear" w:pos="0"/>
        </w:tabs>
        <w:spacing w:line="360" w:lineRule="auto"/>
        <w:ind w:firstLine="560" w:firstLineChars="200"/>
        <w:rPr>
          <w:color w:val="auto"/>
        </w:rPr>
      </w:pPr>
      <w:r>
        <w:rPr>
          <w:rFonts w:hint="eastAsia"/>
          <w:color w:val="auto"/>
        </w:rPr>
        <w:t>企业要保证安全生产条件所必需的资金投入，严格安全生产费用提取管理使用制度，坚持内部审计与外部审计相结合，确保足额提取、使用到位，严禁违规挪作他用，对由于安全生产所必需的资金投入不足导致的后果承担相关法律责任。严格落实安全技术设备设施等支持政策，加大淘汰落后力度，及时更新推广应用先进适用安全生产工艺和技术装备，提高安全生产保障能力。企业要加强从业人员劳动保护，配齐并督促从业人员正确佩戴和使用符合国家或行业标准的安全防护用品。</w:t>
      </w:r>
    </w:p>
    <w:p w14:paraId="236A15AB">
      <w:pPr>
        <w:numPr>
          <w:ilvl w:val="0"/>
          <w:numId w:val="13"/>
        </w:numPr>
        <w:tabs>
          <w:tab w:val="clear" w:pos="0"/>
        </w:tabs>
        <w:spacing w:line="360" w:lineRule="auto"/>
        <w:ind w:firstLine="560" w:firstLineChars="200"/>
        <w:rPr>
          <w:color w:val="auto"/>
        </w:rPr>
      </w:pPr>
      <w:r>
        <w:rPr>
          <w:rFonts w:hint="eastAsia"/>
          <w:color w:val="auto"/>
        </w:rPr>
        <w:t>企业要建立健全安全教育培训制度，对从业人员进行安全生产教育和培训，保证从业人员具备必要的安全生产知识，熟悉安全生产规章制度和操作规程，掌握岗位操作技能和应急处置措施，未取得特种作业操作证和未经安全生产教育培训合格的从业人员，不得上岗作业。充分利用国家职业技能提升行动支持政策，加强企业安全人才培养。</w:t>
      </w:r>
    </w:p>
    <w:p w14:paraId="5CFC180E">
      <w:pPr>
        <w:numPr>
          <w:ilvl w:val="0"/>
          <w:numId w:val="13"/>
        </w:numPr>
        <w:tabs>
          <w:tab w:val="clear" w:pos="0"/>
        </w:tabs>
        <w:spacing w:line="360" w:lineRule="auto"/>
        <w:ind w:firstLine="560" w:firstLineChars="200"/>
        <w:rPr>
          <w:color w:val="auto"/>
        </w:rPr>
      </w:pPr>
      <w:r>
        <w:rPr>
          <w:rFonts w:hint="eastAsia"/>
          <w:color w:val="auto"/>
        </w:rPr>
        <w:t>各类企</w:t>
      </w:r>
      <w:r>
        <w:rPr>
          <w:rFonts w:hint="default" w:ascii="Times New Roman" w:hAnsi="Times New Roman" w:cs="Times New Roman"/>
          <w:color w:val="auto"/>
        </w:rPr>
        <w:t>业要按照《企业安全生产标准化基本规范》（GB/T</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33000-2016）和行业专业标准化评定标准的要求自主建设，从目标职责、制度化管理、教育培训、现场管理、安全风险管控、隐患排查治理、应急管理、事故管理和持续改进等八</w:t>
      </w:r>
      <w:r>
        <w:rPr>
          <w:rFonts w:hint="eastAsia"/>
          <w:color w:val="auto"/>
        </w:rPr>
        <w:t>个方面，建立与企业日常安全管理相适应、以安全生产标准化为重点的企业自主安全生产管理体系，实现安全生产现场管理、操作行为、设备设施和作业环境规范化。企业要在安全生产标准化建设、运行过程中，根据人员、设备、环境和管理等因素变化，持续改进风险管控和隐患排查治理工作，有效提升企业安全管理水平。</w:t>
      </w:r>
    </w:p>
    <w:p w14:paraId="54ECA99A">
      <w:pPr>
        <w:numPr>
          <w:ilvl w:val="0"/>
          <w:numId w:val="13"/>
        </w:numPr>
        <w:tabs>
          <w:tab w:val="clear" w:pos="0"/>
        </w:tabs>
        <w:spacing w:line="360" w:lineRule="auto"/>
        <w:ind w:firstLine="560" w:firstLineChars="200"/>
        <w:rPr>
          <w:color w:val="auto"/>
        </w:rPr>
      </w:pPr>
      <w:r>
        <w:rPr>
          <w:rFonts w:hint="eastAsia"/>
          <w:color w:val="auto"/>
        </w:rPr>
        <w:t>企业要按照有关法律法规标准，针对本企业类型和特点，科学制定安全风险辨识程序和方法，定期组织专业力量和全体员工全方位、全过程辨识生产工艺、设备设施、作业环境、人员行为和管理体系等方面存在的安全风险，做到系统、全面、无遗漏，持续更新完善。按照有关标准规范，对辨识出的安全风险进行分类、梳理、评估，加强动态分级管理，科学确定安全风险类别和等级，实现“一企一清单”。</w:t>
      </w:r>
    </w:p>
    <w:p w14:paraId="120EA630">
      <w:pPr>
        <w:numPr>
          <w:ilvl w:val="0"/>
          <w:numId w:val="13"/>
        </w:numPr>
        <w:tabs>
          <w:tab w:val="clear" w:pos="0"/>
        </w:tabs>
        <w:spacing w:line="360" w:lineRule="auto"/>
        <w:ind w:firstLine="560" w:firstLineChars="200"/>
        <w:rPr>
          <w:color w:val="auto"/>
        </w:rPr>
      </w:pPr>
      <w:r>
        <w:rPr>
          <w:rFonts w:hint="eastAsia"/>
          <w:color w:val="auto"/>
        </w:rPr>
        <w:t>企业要根据风险评估的结果，对安全风险分级、分类进行管理，逐一落实加油站的管控责任，从组织、制度、技术、应急等方面对安全风险进行有效管控，达到</w:t>
      </w:r>
      <w:r>
        <w:rPr>
          <w:rFonts w:hint="eastAsia"/>
          <w:color w:val="auto"/>
          <w:lang w:eastAsia="zh-CN"/>
        </w:rPr>
        <w:t>规避</w:t>
      </w:r>
      <w:r>
        <w:rPr>
          <w:rFonts w:hint="eastAsia"/>
          <w:color w:val="auto"/>
        </w:rPr>
        <w:t>、降低和监测风险的目的。针对高危工艺、设备、物品、场所和岗位等重点环节，高度关注运营状况和危险源变化后的风险状况，动态评估、调整风险等级和管控措施，确保安全风险始终处于受控范围内。</w:t>
      </w:r>
    </w:p>
    <w:p w14:paraId="1E07C719">
      <w:pPr>
        <w:numPr>
          <w:ilvl w:val="0"/>
          <w:numId w:val="13"/>
        </w:numPr>
        <w:tabs>
          <w:tab w:val="clear" w:pos="0"/>
        </w:tabs>
        <w:spacing w:line="360" w:lineRule="auto"/>
        <w:ind w:firstLine="560" w:firstLineChars="200"/>
        <w:rPr>
          <w:color w:val="auto"/>
        </w:rPr>
      </w:pPr>
      <w:r>
        <w:rPr>
          <w:rFonts w:hint="eastAsia"/>
          <w:color w:val="auto"/>
        </w:rPr>
        <w:t>企业要在醒目位置和重点区域分别设置安全风险公告栏，制作岗位安全风险告知卡，确保每名员工都能掌握安全风险的基本情况及防范、应急措施。对存在重大安全风险的工作场所和岗位，要设置明显警示标志，并强化危险源监测和预警。企业要依据有关法律法规要求，明确风险管控和报告流程，建立健全安全生产风险报告制度，接受政府监管和社会监督。企业主要负责人对本单位安全风险管控和报告工作全面负责，要按照安全风险管控制度的要求，对辨识出的安全风险，定期向相关监管部门报送风险清单。</w:t>
      </w:r>
    </w:p>
    <w:p w14:paraId="0CF502A0">
      <w:pPr>
        <w:numPr>
          <w:ilvl w:val="0"/>
          <w:numId w:val="13"/>
        </w:numPr>
        <w:tabs>
          <w:tab w:val="clear" w:pos="0"/>
        </w:tabs>
        <w:spacing w:line="360" w:lineRule="auto"/>
        <w:ind w:firstLine="560" w:firstLineChars="200"/>
        <w:rPr>
          <w:color w:val="auto"/>
        </w:rPr>
      </w:pPr>
      <w:r>
        <w:rPr>
          <w:rFonts w:hint="eastAsia"/>
          <w:color w:val="auto"/>
        </w:rPr>
        <w:t>企业要建立健全以风险辨识管控为基础的隐患排查治理制度，制定符合企业实际的隐患排查治理清单，完善隐患排查、治理、记录、通报、报告等重点环节的程序、方法和标准，明确和细化隐患排查的事项、内容和频次，并将责任逐一分解落实，推动全员参与自主排查隐患，尤其要强化对存在重大风险的场所、环节、部位的隐患排查。企业要按照国家有关规定，通过与政府部门互联互通的隐患排查治理信息系统等方式，及时向负有安全生产监督管理职责的部门和企业职代会“双报告”风险管控和隐患排查治理情况。</w:t>
      </w:r>
    </w:p>
    <w:p w14:paraId="7B24CA69">
      <w:pPr>
        <w:numPr>
          <w:ilvl w:val="0"/>
          <w:numId w:val="13"/>
        </w:numPr>
        <w:tabs>
          <w:tab w:val="clear" w:pos="0"/>
        </w:tabs>
        <w:spacing w:line="360" w:lineRule="auto"/>
        <w:ind w:firstLine="560" w:firstLineChars="200"/>
        <w:rPr>
          <w:color w:val="auto"/>
        </w:rPr>
      </w:pPr>
      <w:r>
        <w:rPr>
          <w:rFonts w:hint="eastAsia"/>
          <w:color w:val="auto"/>
        </w:rPr>
        <w:t>推进制定危险化学品安全相关法律法规。研究制定危险化学品安全生产标准管理指导意见，整合完善提升化工和涉及危险化学品的工程设计、施工、设备建造、维护、监测标准，着力解决标准空白、滞后和标准执行不一致问题。制定出台化工过程安全管理导则和精细化工反应安全风险评估标准等技术规范。</w:t>
      </w:r>
    </w:p>
    <w:p w14:paraId="3D23795C">
      <w:pPr>
        <w:numPr>
          <w:ilvl w:val="0"/>
          <w:numId w:val="13"/>
        </w:numPr>
        <w:tabs>
          <w:tab w:val="clear" w:pos="0"/>
        </w:tabs>
        <w:spacing w:line="360" w:lineRule="auto"/>
        <w:ind w:firstLine="560" w:firstLineChars="200"/>
        <w:rPr>
          <w:color w:val="auto"/>
        </w:rPr>
      </w:pPr>
      <w:r>
        <w:rPr>
          <w:rFonts w:hint="eastAsia"/>
          <w:color w:val="auto"/>
        </w:rPr>
        <w:t>企业应根据《江西省印发安全生产专项整治三年行动实施方案》落实企业主要负责人责任，包括总经理、企业法定代表人、实际控制人等主要负责人要强化落实第一责任人法定责任，牢固树立安全发展理念。</w:t>
      </w:r>
    </w:p>
    <w:p w14:paraId="601AEBA2">
      <w:pPr>
        <w:numPr>
          <w:ilvl w:val="0"/>
          <w:numId w:val="13"/>
        </w:numPr>
        <w:tabs>
          <w:tab w:val="clear" w:pos="0"/>
        </w:tabs>
        <w:spacing w:line="360" w:lineRule="auto"/>
        <w:ind w:firstLine="560" w:firstLineChars="200"/>
        <w:rPr>
          <w:color w:val="auto"/>
        </w:rPr>
      </w:pPr>
      <w:r>
        <w:rPr>
          <w:rFonts w:hint="eastAsia"/>
          <w:color w:val="auto"/>
        </w:rPr>
        <w:t>加油站应进一步完善安全生产档案，认真执行安全生产操作规程，加强对站内消防设施、工艺管线、电线电缆、配电间的定期检查、维护，定人定责做好检查记录，重视个体保护，避免职业伤害事故的发生。</w:t>
      </w:r>
    </w:p>
    <w:p w14:paraId="4F891A72">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color w:val="auto"/>
        </w:rPr>
      </w:pPr>
      <w:r>
        <w:rPr>
          <w:rFonts w:hint="eastAsia"/>
          <w:color w:val="auto"/>
        </w:rPr>
        <w:t>对已制定的各项安全管理制度，建议进一步抓好各项制度的落实并予以完善。加强人员的培训，特别要加强对新员工的安全教育，使安全管理工作时刻处于受控状态。</w:t>
      </w:r>
    </w:p>
    <w:p w14:paraId="5BDFDC87">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color w:val="auto"/>
        </w:rPr>
      </w:pPr>
      <w:r>
        <w:rPr>
          <w:rFonts w:hint="eastAsia"/>
          <w:color w:val="auto"/>
        </w:rPr>
        <w:t>加强站内流动人员、车辆的安全管理；加强火种管理，悬挂明显的禁烟、禁火标志，杜绝安全隐患。加强对卸油过程的安全监管工作，避免在卸油工作中出现油罐满溢现象。</w:t>
      </w:r>
    </w:p>
    <w:p w14:paraId="4F327472">
      <w:pPr>
        <w:numPr>
          <w:ilvl w:val="0"/>
          <w:numId w:val="13"/>
        </w:numPr>
        <w:tabs>
          <w:tab w:val="clear" w:pos="0"/>
        </w:tabs>
        <w:spacing w:line="360" w:lineRule="auto"/>
        <w:ind w:firstLine="560" w:firstLineChars="200"/>
        <w:rPr>
          <w:color w:val="auto"/>
        </w:rPr>
      </w:pPr>
      <w:r>
        <w:rPr>
          <w:rFonts w:hint="eastAsia"/>
          <w:color w:val="auto"/>
        </w:rPr>
        <w:t>加油站应加强与地方相关部门的沟通，确保加油站周边新、改、扩建项目与加油站的安全间距符合相关要求。</w:t>
      </w:r>
    </w:p>
    <w:p w14:paraId="43E81734">
      <w:pPr>
        <w:numPr>
          <w:ilvl w:val="0"/>
          <w:numId w:val="13"/>
        </w:numPr>
        <w:tabs>
          <w:tab w:val="clear" w:pos="0"/>
        </w:tabs>
        <w:spacing w:line="360" w:lineRule="auto"/>
        <w:ind w:firstLine="560" w:firstLineChars="200"/>
        <w:rPr>
          <w:color w:val="auto"/>
        </w:rPr>
      </w:pPr>
      <w:r>
        <w:rPr>
          <w:rFonts w:hint="eastAsia"/>
          <w:color w:val="auto"/>
        </w:rPr>
        <w:t>加油站主要负责人、安全管理人员应按主管部门要求每年参加继续教育，取得培训合格证明。</w:t>
      </w:r>
    </w:p>
    <w:p w14:paraId="3A911147">
      <w:pPr>
        <w:numPr>
          <w:ilvl w:val="0"/>
          <w:numId w:val="13"/>
        </w:numPr>
        <w:tabs>
          <w:tab w:val="clear" w:pos="0"/>
        </w:tabs>
        <w:spacing w:line="360" w:lineRule="auto"/>
        <w:ind w:firstLine="560" w:firstLineChars="200"/>
        <w:rPr>
          <w:color w:val="auto"/>
        </w:rPr>
      </w:pPr>
      <w:r>
        <w:rPr>
          <w:rFonts w:hint="eastAsia"/>
          <w:color w:val="auto"/>
        </w:rPr>
        <w:t>根据《生产安全事故应急预案管理办法》的要求，加油站应制定应急预案演练计划，根据事故风险特点，每年至少组织一次综合应急预案演练或者专项应急预案演练，每半年至少组织一次现场处置方案演练。应急预案演练结束后，加油站应当对应急预案演练效果进行评估，撰写应急预案演练评估报告，分析存在的问题，并对应急预案提出修订意见，并将演练情况报送所在地县级以上地方人民政府负有安全生产监督管理职责的部门。应急预案修订涉及组织指挥体系与职责、应急处置程序、主要处置措施、应急响应分级等内容变更的，修订工作应当参照该办法规定的应急预案编制程序进行，并按照有关应急预案报备程序重新备案。应急预案应依法向社会公布。</w:t>
      </w:r>
    </w:p>
    <w:p w14:paraId="15C7EF8B">
      <w:pPr>
        <w:numPr>
          <w:ilvl w:val="0"/>
          <w:numId w:val="13"/>
        </w:numPr>
        <w:tabs>
          <w:tab w:val="clear" w:pos="0"/>
        </w:tabs>
        <w:spacing w:line="360" w:lineRule="auto"/>
        <w:ind w:firstLine="560" w:firstLineChars="200"/>
        <w:rPr>
          <w:color w:val="auto"/>
        </w:rPr>
      </w:pPr>
      <w:r>
        <w:rPr>
          <w:rFonts w:hint="eastAsia"/>
          <w:color w:val="auto"/>
        </w:rPr>
        <w:t>在加油作业区范围严禁摆放与加油作业无关的促销商品等物品和张贴、放置任何产品销售广告板，防止因堵塞通道引发安全生产事故和阻碍事故应急救援工作。</w:t>
      </w:r>
    </w:p>
    <w:p w14:paraId="31AA8E61">
      <w:pPr>
        <w:numPr>
          <w:ilvl w:val="0"/>
          <w:numId w:val="13"/>
        </w:numPr>
        <w:tabs>
          <w:tab w:val="clear" w:pos="0"/>
        </w:tabs>
        <w:spacing w:line="360" w:lineRule="auto"/>
        <w:ind w:firstLine="560" w:firstLineChars="200"/>
        <w:rPr>
          <w:color w:val="auto"/>
        </w:rPr>
      </w:pPr>
      <w:r>
        <w:rPr>
          <w:rFonts w:hint="eastAsia"/>
          <w:color w:val="auto"/>
        </w:rPr>
        <w:t>车辆进入加油作业区加油，应由专人引导到相应加油位置停车熄火，确认安全后方可加油。</w:t>
      </w:r>
    </w:p>
    <w:p w14:paraId="78DBEFB9">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color w:val="auto"/>
        </w:rPr>
      </w:pPr>
      <w:r>
        <w:rPr>
          <w:color w:val="auto"/>
        </w:rPr>
        <w:t>加油站不应向绝缘性容器加注汽油。加油站销售散装汽油时，应认真查验和登记购买人的所在单位、姓名、居民身份证号码、地址、购买数量、用途等情况，留存购买人身份证复印件和购买证明原件并经加油站负责人签字批准才能购买，批准购买情况由加油站当天汇总书面报当地派出所备案。</w:t>
      </w:r>
    </w:p>
    <w:p w14:paraId="5955334F">
      <w:pPr>
        <w:keepNext w:val="0"/>
        <w:keepLines w:val="0"/>
        <w:pageBreakBefore w:val="0"/>
        <w:widowControl w:val="0"/>
        <w:numPr>
          <w:ilvl w:val="0"/>
          <w:numId w:val="13"/>
        </w:numPr>
        <w:tabs>
          <w:tab w:val="clear" w:pos="0"/>
        </w:tabs>
        <w:kinsoku/>
        <w:wordWrap/>
        <w:overflowPunct/>
        <w:topLinePunct w:val="0"/>
        <w:autoSpaceDE/>
        <w:autoSpaceDN/>
        <w:bidi w:val="0"/>
        <w:adjustRightInd/>
        <w:snapToGrid/>
        <w:spacing w:line="360" w:lineRule="auto"/>
        <w:ind w:firstLine="560" w:firstLineChars="200"/>
        <w:textAlignment w:val="auto"/>
        <w:rPr>
          <w:color w:val="auto"/>
        </w:rPr>
      </w:pPr>
      <w:r>
        <w:rPr>
          <w:rFonts w:hint="eastAsia"/>
          <w:color w:val="auto"/>
        </w:rPr>
        <w:t>未经主管部门批准，不得擅自调整油罐的储油情况。</w:t>
      </w:r>
    </w:p>
    <w:p w14:paraId="024C53B4">
      <w:pPr>
        <w:numPr>
          <w:ilvl w:val="0"/>
          <w:numId w:val="13"/>
        </w:numPr>
        <w:tabs>
          <w:tab w:val="clear" w:pos="0"/>
        </w:tabs>
        <w:spacing w:line="360" w:lineRule="auto"/>
        <w:ind w:firstLine="560" w:firstLineChars="200"/>
        <w:rPr>
          <w:color w:val="auto"/>
        </w:rPr>
      </w:pPr>
      <w:r>
        <w:rPr>
          <w:rFonts w:hint="eastAsia"/>
          <w:color w:val="auto"/>
        </w:rPr>
        <w:t>加油站涉及</w:t>
      </w:r>
      <w:r>
        <w:rPr>
          <w:color w:val="auto"/>
        </w:rPr>
        <w:t>的汽油</w:t>
      </w:r>
      <w:r>
        <w:rPr>
          <w:rFonts w:hint="eastAsia"/>
          <w:color w:val="auto"/>
        </w:rPr>
        <w:t>属于</w:t>
      </w:r>
      <w:r>
        <w:rPr>
          <w:color w:val="auto"/>
        </w:rPr>
        <w:t>重点监管</w:t>
      </w:r>
      <w:r>
        <w:rPr>
          <w:rFonts w:hint="eastAsia"/>
          <w:color w:val="auto"/>
        </w:rPr>
        <w:t>危险</w:t>
      </w:r>
      <w:r>
        <w:rPr>
          <w:color w:val="auto"/>
        </w:rPr>
        <w:t>化学品、特</w:t>
      </w:r>
      <w:r>
        <w:rPr>
          <w:rFonts w:hint="eastAsia"/>
          <w:color w:val="auto"/>
        </w:rPr>
        <w:t>别</w:t>
      </w:r>
      <w:r>
        <w:rPr>
          <w:color w:val="auto"/>
        </w:rPr>
        <w:t>管控危险化学品</w:t>
      </w:r>
      <w:r>
        <w:rPr>
          <w:rFonts w:hint="eastAsia"/>
          <w:color w:val="auto"/>
        </w:rPr>
        <w:t>，</w:t>
      </w:r>
      <w:r>
        <w:rPr>
          <w:color w:val="auto"/>
        </w:rPr>
        <w:t>应</w:t>
      </w:r>
      <w:r>
        <w:rPr>
          <w:rFonts w:hint="eastAsia"/>
          <w:color w:val="auto"/>
        </w:rPr>
        <w:t>严格执行相关规章的要求。</w:t>
      </w:r>
    </w:p>
    <w:p w14:paraId="0B52F76A">
      <w:pPr>
        <w:numPr>
          <w:ilvl w:val="0"/>
          <w:numId w:val="13"/>
        </w:numPr>
        <w:tabs>
          <w:tab w:val="clear" w:pos="0"/>
        </w:tabs>
        <w:spacing w:line="360" w:lineRule="auto"/>
        <w:ind w:firstLine="560" w:firstLineChars="200"/>
        <w:rPr>
          <w:rFonts w:hint="default" w:ascii="Times New Roman" w:hAnsi="Times New Roman" w:cs="Times New Roman"/>
          <w:color w:val="auto"/>
        </w:rPr>
      </w:pPr>
      <w:r>
        <w:rPr>
          <w:rFonts w:hint="eastAsia"/>
          <w:color w:val="auto"/>
        </w:rPr>
        <w:t>该加油站埋地油罐内部、人孔操作井</w:t>
      </w:r>
      <w:r>
        <w:rPr>
          <w:rFonts w:hint="eastAsia"/>
          <w:color w:val="auto"/>
          <w:lang w:val="en-US" w:eastAsia="zh-CN"/>
        </w:rPr>
        <w:t>油水池</w:t>
      </w:r>
      <w:r>
        <w:rPr>
          <w:rFonts w:hint="eastAsia"/>
          <w:color w:val="auto"/>
        </w:rPr>
        <w:t>等</w:t>
      </w:r>
      <w:r>
        <w:rPr>
          <w:color w:val="auto"/>
        </w:rPr>
        <w:t>构成受限空间，</w:t>
      </w:r>
      <w:r>
        <w:rPr>
          <w:rFonts w:hint="eastAsia"/>
          <w:color w:val="auto"/>
        </w:rPr>
        <w:t>应建立完整的受限空间安全生产管理制度。对员工进行受限空间有关内容的教育培训；建立并及时更新受限空间管理台账；实行受限空间作业票制度。在进行受限空间作业前，应严格按“先通风、再检测、再作业”的操作进行准备，</w:t>
      </w:r>
      <w:r>
        <w:rPr>
          <w:rFonts w:hint="default" w:ascii="Times New Roman" w:hAnsi="Times New Roman" w:cs="Times New Roman"/>
          <w:color w:val="auto"/>
        </w:rPr>
        <w:t>达到合格要求后经相关人员签名确认后方可进行作业；在作业过程中应戴好安全保护用品，如不适应及时离开受限空间。</w:t>
      </w:r>
    </w:p>
    <w:p w14:paraId="78342115">
      <w:pPr>
        <w:pStyle w:val="4"/>
        <w:spacing w:line="360" w:lineRule="auto"/>
        <w:jc w:val="both"/>
        <w:rPr>
          <w:rFonts w:hint="default" w:ascii="Times New Roman" w:hAnsi="Times New Roman" w:cs="Times New Roman"/>
          <w:color w:val="auto"/>
        </w:rPr>
      </w:pPr>
      <w:bookmarkStart w:id="503" w:name="_Toc1448"/>
      <w:bookmarkStart w:id="504" w:name="_Toc26593"/>
      <w:bookmarkStart w:id="505" w:name="_Toc26082"/>
      <w:r>
        <w:rPr>
          <w:rFonts w:hint="default" w:ascii="Times New Roman" w:hAnsi="Times New Roman" w:cs="Times New Roman"/>
          <w:color w:val="auto"/>
        </w:rPr>
        <w:t>10.4装置、设施、消防与电器方面的对策措施</w:t>
      </w:r>
      <w:bookmarkEnd w:id="503"/>
      <w:bookmarkEnd w:id="504"/>
      <w:bookmarkEnd w:id="505"/>
    </w:p>
    <w:p w14:paraId="55C0893D">
      <w:pPr>
        <w:numPr>
          <w:ilvl w:val="0"/>
          <w:numId w:val="0"/>
        </w:numPr>
        <w:tabs>
          <w:tab w:val="left" w:pos="0"/>
        </w:tabs>
        <w:spacing w:line="360" w:lineRule="auto"/>
        <w:ind w:left="0" w:leftChars="0" w:firstLine="560" w:firstLineChars="200"/>
        <w:rPr>
          <w:rFonts w:hint="default" w:ascii="Times New Roman" w:hAnsi="Times New Roman" w:cs="Times New Roman"/>
          <w:color w:val="auto"/>
        </w:rPr>
      </w:pPr>
      <w:r>
        <w:rPr>
          <w:rFonts w:hint="default" w:ascii="Times New Roman" w:hAnsi="Times New Roman" w:eastAsia="宋体" w:cs="Times New Roman"/>
          <w:color w:val="auto"/>
          <w:kern w:val="2"/>
          <w:sz w:val="28"/>
          <w:szCs w:val="28"/>
          <w:lang w:val="en-US" w:eastAsia="zh-CN" w:bidi="ar-SA"/>
        </w:rPr>
        <w:t>1）</w:t>
      </w:r>
      <w:r>
        <w:rPr>
          <w:rFonts w:hint="default" w:ascii="Times New Roman" w:hAnsi="Times New Roman" w:cs="Times New Roman"/>
          <w:color w:val="auto"/>
        </w:rPr>
        <w:t>防雷、防静电装置检测应当每年一次，对爆炸危险环境场所的防雷装置应当每半年检测一次，</w:t>
      </w:r>
      <w:r>
        <w:rPr>
          <w:rFonts w:hint="eastAsia" w:cs="Times New Roman"/>
          <w:color w:val="auto"/>
          <w:lang w:val="en-US" w:eastAsia="zh-CN"/>
        </w:rPr>
        <w:t>改建、扩建项目后应重新进行</w:t>
      </w:r>
      <w:r>
        <w:rPr>
          <w:rFonts w:hint="default" w:ascii="Times New Roman" w:hAnsi="Times New Roman" w:cs="Times New Roman"/>
          <w:color w:val="auto"/>
        </w:rPr>
        <w:t>防雷、防静电装置检测</w:t>
      </w:r>
      <w:r>
        <w:rPr>
          <w:rFonts w:hint="eastAsia" w:ascii="Times New Roman" w:hAnsi="Times New Roman" w:cs="Times New Roman"/>
          <w:color w:val="auto"/>
          <w:lang w:eastAsia="zh-CN"/>
        </w:rPr>
        <w:t>，</w:t>
      </w:r>
      <w:r>
        <w:rPr>
          <w:rFonts w:hint="default" w:ascii="Times New Roman" w:hAnsi="Times New Roman" w:cs="Times New Roman"/>
          <w:color w:val="auto"/>
        </w:rPr>
        <w:t>保证建筑物的防雷装置正常工作。</w:t>
      </w:r>
    </w:p>
    <w:p w14:paraId="2AED6A20">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color w:val="auto"/>
        </w:rPr>
      </w:pPr>
      <w:r>
        <w:rPr>
          <w:rFonts w:hint="default" w:ascii="Times New Roman" w:hAnsi="Times New Roman" w:eastAsia="宋体" w:cs="Times New Roman"/>
          <w:color w:val="auto"/>
          <w:kern w:val="2"/>
          <w:sz w:val="28"/>
          <w:szCs w:val="28"/>
          <w:lang w:val="en-US" w:eastAsia="zh-CN" w:bidi="ar-SA"/>
        </w:rPr>
        <w:t>2）</w:t>
      </w:r>
      <w:r>
        <w:rPr>
          <w:rFonts w:hint="default" w:ascii="Times New Roman" w:hAnsi="Times New Roman" w:cs="Times New Roman"/>
          <w:color w:val="auto"/>
        </w:rPr>
        <w:t>对各种消防器材和应急救援设备要定期检查，使之始终处于良好状</w:t>
      </w:r>
      <w:r>
        <w:rPr>
          <w:color w:val="auto"/>
        </w:rPr>
        <w:t>态。</w:t>
      </w:r>
    </w:p>
    <w:p w14:paraId="064BD5D8">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color w:val="auto"/>
        </w:rPr>
      </w:pPr>
      <w:r>
        <w:rPr>
          <w:rFonts w:hint="default" w:ascii="Times New Roman" w:hAnsi="Times New Roman" w:eastAsia="宋体" w:cs="Times New Roman"/>
          <w:color w:val="auto"/>
          <w:kern w:val="2"/>
          <w:sz w:val="28"/>
          <w:szCs w:val="28"/>
          <w:lang w:val="en-US" w:eastAsia="zh-CN" w:bidi="ar-SA"/>
        </w:rPr>
        <w:t>3）</w:t>
      </w:r>
      <w:r>
        <w:rPr>
          <w:color w:val="auto"/>
        </w:rPr>
        <w:t>定期检查电器、照明等设施，避免故障产生火花。</w:t>
      </w:r>
    </w:p>
    <w:p w14:paraId="424DE3E5">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color w:val="auto"/>
        </w:rPr>
      </w:pPr>
      <w:r>
        <w:rPr>
          <w:rFonts w:hint="default" w:ascii="Times New Roman" w:hAnsi="Times New Roman" w:eastAsia="宋体" w:cs="Times New Roman"/>
          <w:color w:val="auto"/>
          <w:kern w:val="2"/>
          <w:sz w:val="28"/>
          <w:szCs w:val="28"/>
          <w:lang w:val="en-US" w:eastAsia="zh-CN" w:bidi="ar-SA"/>
        </w:rPr>
        <w:t>4）</w:t>
      </w:r>
      <w:r>
        <w:rPr>
          <w:color w:val="auto"/>
        </w:rPr>
        <w:t>加强对站内安全设施的维护保养，特别是高液位报警系统，确保其有效性。</w:t>
      </w:r>
    </w:p>
    <w:p w14:paraId="05D08A9D">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rFonts w:ascii="Times New Roman" w:hAnsi="Times New Roman" w:eastAsia="宋体" w:cs="Times New Roman"/>
          <w:color w:val="auto"/>
        </w:rPr>
      </w:pPr>
      <w:r>
        <w:rPr>
          <w:rFonts w:hint="default" w:ascii="Times New Roman" w:hAnsi="Times New Roman" w:eastAsia="宋体" w:cs="Times New Roman"/>
          <w:color w:val="auto"/>
          <w:kern w:val="2"/>
          <w:sz w:val="28"/>
          <w:szCs w:val="28"/>
          <w:lang w:val="en-US" w:eastAsia="zh-CN" w:bidi="ar-SA"/>
        </w:rPr>
        <w:t>5）</w:t>
      </w:r>
      <w:r>
        <w:rPr>
          <w:color w:val="auto"/>
        </w:rPr>
        <w:t>加油岛上不得放置收录</w:t>
      </w:r>
      <w:r>
        <w:rPr>
          <w:rFonts w:ascii="Times New Roman" w:hAnsi="Times New Roman" w:eastAsia="宋体" w:cs="Times New Roman"/>
          <w:color w:val="auto"/>
        </w:rPr>
        <w:t>音机，电扇、延长线、冷藏设备等一般电器设备及其他杂物。</w:t>
      </w:r>
    </w:p>
    <w:p w14:paraId="3190D44B">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rFonts w:ascii="Times New Roman" w:hAnsi="Times New Roman" w:eastAsia="宋体" w:cs="Times New Roman"/>
          <w:color w:val="auto"/>
        </w:rPr>
      </w:pPr>
      <w:r>
        <w:rPr>
          <w:rFonts w:hint="default" w:ascii="Times New Roman" w:hAnsi="Times New Roman" w:eastAsia="宋体" w:cs="Times New Roman"/>
          <w:color w:val="auto"/>
          <w:lang w:val="en-US" w:eastAsia="zh-CN"/>
        </w:rPr>
        <w:t>6）</w:t>
      </w:r>
      <w:r>
        <w:rPr>
          <w:rFonts w:ascii="Times New Roman" w:hAnsi="Times New Roman" w:eastAsia="宋体" w:cs="Times New Roman"/>
          <w:color w:val="auto"/>
        </w:rPr>
        <w:t>定期检查加油设施及管道法兰接口，防止出现油气泄漏导致火灾或化学爆炸事故的发生。</w:t>
      </w:r>
    </w:p>
    <w:p w14:paraId="1B2BC32C">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7）</w:t>
      </w:r>
      <w:r>
        <w:rPr>
          <w:rFonts w:ascii="Times New Roman" w:hAnsi="Times New Roman" w:eastAsia="宋体" w:cs="Times New Roman"/>
          <w:color w:val="auto"/>
        </w:rPr>
        <w:t>爆</w:t>
      </w:r>
      <w:r>
        <w:rPr>
          <w:rFonts w:hint="default" w:ascii="Times New Roman" w:hAnsi="Times New Roman" w:eastAsia="宋体" w:cs="Times New Roman"/>
          <w:color w:val="auto"/>
        </w:rPr>
        <w:t>炸危险区域内，不可使用产生静电的器具或非防爆设备及工具作业。</w:t>
      </w:r>
    </w:p>
    <w:p w14:paraId="2E24B7AF">
      <w:pPr>
        <w:pStyle w:val="4"/>
        <w:spacing w:line="360" w:lineRule="auto"/>
        <w:jc w:val="both"/>
        <w:rPr>
          <w:rFonts w:hint="default" w:ascii="Times New Roman" w:hAnsi="Times New Roman" w:cs="Times New Roman"/>
          <w:color w:val="auto"/>
        </w:rPr>
      </w:pPr>
      <w:bookmarkStart w:id="506" w:name="_Toc19477"/>
      <w:bookmarkStart w:id="507" w:name="_Toc3519"/>
      <w:bookmarkStart w:id="508" w:name="_Toc30865"/>
      <w:r>
        <w:rPr>
          <w:rFonts w:hint="default" w:ascii="Times New Roman" w:hAnsi="Times New Roman" w:cs="Times New Roman"/>
          <w:color w:val="auto"/>
        </w:rPr>
        <w:t>10.5加油工艺方面安全对策措施</w:t>
      </w:r>
      <w:bookmarkEnd w:id="506"/>
      <w:bookmarkEnd w:id="507"/>
      <w:bookmarkEnd w:id="508"/>
    </w:p>
    <w:p w14:paraId="41633C6C">
      <w:pPr>
        <w:numPr>
          <w:ilvl w:val="0"/>
          <w:numId w:val="14"/>
        </w:numPr>
        <w:spacing w:line="360" w:lineRule="auto"/>
        <w:ind w:left="0" w:firstLine="560" w:firstLineChars="200"/>
        <w:rPr>
          <w:rFonts w:hint="default" w:ascii="Times New Roman" w:hAnsi="Times New Roman" w:cs="Times New Roman"/>
          <w:color w:val="auto"/>
        </w:rPr>
      </w:pPr>
      <w:r>
        <w:rPr>
          <w:rFonts w:hint="default" w:ascii="Times New Roman" w:hAnsi="Times New Roman" w:cs="Times New Roman"/>
          <w:color w:val="auto"/>
        </w:rPr>
        <w:t>油罐车进、出加油站或倒车时，应由加油站人员引导、指挥。</w:t>
      </w:r>
    </w:p>
    <w:p w14:paraId="7A4F683D">
      <w:pPr>
        <w:numPr>
          <w:ilvl w:val="0"/>
          <w:numId w:val="14"/>
        </w:numPr>
        <w:spacing w:line="360" w:lineRule="auto"/>
        <w:ind w:left="0" w:firstLine="560" w:firstLineChars="200"/>
        <w:rPr>
          <w:color w:val="auto"/>
        </w:rPr>
      </w:pPr>
      <w:r>
        <w:rPr>
          <w:rFonts w:hint="default" w:ascii="Times New Roman" w:hAnsi="Times New Roman" w:cs="Times New Roman"/>
          <w:color w:val="auto"/>
        </w:rPr>
        <w:t>油罐车应</w:t>
      </w:r>
      <w:r>
        <w:rPr>
          <w:rFonts w:hint="eastAsia"/>
          <w:color w:val="auto"/>
        </w:rPr>
        <w:t>停放于卸油专用区，熄火并拉上手刹车、于车轮处放置轮挡；并使车头向外，以利紧急事故发生时，可迅速驶离。</w:t>
      </w:r>
    </w:p>
    <w:p w14:paraId="47A58E47">
      <w:pPr>
        <w:numPr>
          <w:ilvl w:val="0"/>
          <w:numId w:val="14"/>
        </w:numPr>
        <w:spacing w:line="360" w:lineRule="auto"/>
        <w:ind w:left="0" w:firstLine="560" w:firstLineChars="200"/>
        <w:rPr>
          <w:color w:val="auto"/>
        </w:rPr>
      </w:pPr>
      <w:r>
        <w:rPr>
          <w:rFonts w:hint="eastAsia"/>
          <w:color w:val="auto"/>
        </w:rPr>
        <w:t>卸油过程中，卸油人员和油罐车驾驶员不应离开作业现场，打雷时应停止卸油作业。</w:t>
      </w:r>
    </w:p>
    <w:p w14:paraId="5CA772CD">
      <w:pPr>
        <w:numPr>
          <w:ilvl w:val="0"/>
          <w:numId w:val="14"/>
        </w:numPr>
        <w:spacing w:line="360" w:lineRule="auto"/>
        <w:ind w:left="0" w:firstLine="560" w:firstLineChars="200"/>
        <w:rPr>
          <w:color w:val="auto"/>
        </w:rPr>
      </w:pPr>
      <w:r>
        <w:rPr>
          <w:rFonts w:hint="eastAsia"/>
          <w:color w:val="auto"/>
        </w:rPr>
        <w:t>向地下罐注油时，与该罐连接的给油设备应停止使用。卸油前应检查油罐的存油量，以防</w:t>
      </w:r>
      <w:r>
        <w:rPr>
          <w:rFonts w:hint="eastAsia"/>
          <w:color w:val="auto"/>
          <w:lang w:eastAsia="zh-CN"/>
        </w:rPr>
        <w:t>灌油</w:t>
      </w:r>
      <w:r>
        <w:rPr>
          <w:rFonts w:hint="eastAsia"/>
          <w:color w:val="auto"/>
        </w:rPr>
        <w:t>时溢油。卸油作业中，严禁用量油尺计量油罐。</w:t>
      </w:r>
    </w:p>
    <w:p w14:paraId="439D1EAC">
      <w:pPr>
        <w:numPr>
          <w:ilvl w:val="0"/>
          <w:numId w:val="14"/>
        </w:numPr>
        <w:spacing w:line="360" w:lineRule="auto"/>
        <w:ind w:left="0" w:firstLine="560" w:firstLineChars="200"/>
        <w:rPr>
          <w:color w:val="auto"/>
        </w:rPr>
      </w:pPr>
      <w:r>
        <w:rPr>
          <w:rFonts w:hint="eastAsia"/>
          <w:color w:val="auto"/>
        </w:rPr>
        <w:t>卸油作业中，必须有专人在现场监视，并禁止车辆及非工作人员进入卸油区。</w:t>
      </w:r>
    </w:p>
    <w:p w14:paraId="3CD9780A">
      <w:pPr>
        <w:numPr>
          <w:ilvl w:val="0"/>
          <w:numId w:val="14"/>
        </w:numPr>
        <w:spacing w:line="360" w:lineRule="auto"/>
        <w:ind w:left="0" w:firstLine="560" w:firstLineChars="200"/>
        <w:rPr>
          <w:color w:val="auto"/>
        </w:rPr>
      </w:pPr>
      <w:r>
        <w:rPr>
          <w:rFonts w:hint="eastAsia"/>
          <w:color w:val="auto"/>
        </w:rPr>
        <w:t>检查确认油罐计量孔密闭良好。</w:t>
      </w:r>
    </w:p>
    <w:p w14:paraId="6688C4A4">
      <w:pPr>
        <w:numPr>
          <w:ilvl w:val="0"/>
          <w:numId w:val="14"/>
        </w:numPr>
        <w:spacing w:line="360" w:lineRule="auto"/>
        <w:ind w:left="0" w:firstLine="560" w:firstLineChars="200"/>
        <w:rPr>
          <w:color w:val="auto"/>
        </w:rPr>
      </w:pPr>
      <w:r>
        <w:rPr>
          <w:rFonts w:hint="eastAsia"/>
          <w:color w:val="auto"/>
        </w:rPr>
        <w:t>油罐车进站后，卸油人员应立即检查油罐车的安全设施是否齐全有效，油罐车的排气管应安装防火罩。检查合格后，引导油罐车进入卸油现场，应先接妥静电接地线夹头接线并确实接触。</w:t>
      </w:r>
    </w:p>
    <w:p w14:paraId="4F6D477E">
      <w:pPr>
        <w:numPr>
          <w:ilvl w:val="0"/>
          <w:numId w:val="14"/>
        </w:numPr>
        <w:spacing w:line="360" w:lineRule="auto"/>
        <w:ind w:left="0" w:firstLine="560" w:firstLineChars="200"/>
        <w:rPr>
          <w:color w:val="auto"/>
        </w:rPr>
      </w:pPr>
      <w:r>
        <w:rPr>
          <w:rFonts w:hint="eastAsia"/>
          <w:color w:val="auto"/>
        </w:rPr>
        <w:t>油罐车熄火并静置</w:t>
      </w:r>
      <w:r>
        <w:rPr>
          <w:rFonts w:hint="eastAsia"/>
          <w:color w:val="auto"/>
          <w:lang w:val="en-US" w:eastAsia="zh-CN"/>
        </w:rPr>
        <w:t>1</w:t>
      </w:r>
      <w:r>
        <w:rPr>
          <w:rFonts w:hint="eastAsia" w:ascii="Times New Roman" w:hAnsi="Times New Roman"/>
          <w:color w:val="auto"/>
        </w:rPr>
        <w:t>5min</w:t>
      </w:r>
      <w:r>
        <w:rPr>
          <w:rFonts w:hint="eastAsia"/>
          <w:color w:val="auto"/>
        </w:rPr>
        <w:t>后，卸油员按工艺流程连接卸油管及油气回收管及接头，将接头结合紧密，保持卸油管自然弯曲：经计量后准备接卸按规定在卸油位置上风处摆放干粉灭火器。</w:t>
      </w:r>
    </w:p>
    <w:p w14:paraId="4826A3BC">
      <w:pPr>
        <w:numPr>
          <w:ilvl w:val="0"/>
          <w:numId w:val="14"/>
        </w:numPr>
        <w:spacing w:line="360" w:lineRule="auto"/>
        <w:ind w:left="0" w:firstLine="560" w:firstLineChars="200"/>
        <w:rPr>
          <w:color w:val="auto"/>
        </w:rPr>
      </w:pPr>
      <w:r>
        <w:rPr>
          <w:rFonts w:hint="eastAsia"/>
          <w:color w:val="auto"/>
        </w:rPr>
        <w:t>卸油前，核对罐车与油罐中油品的品名、牌号是否一致，各项准备工作检查无误后，能自流卸油的不泵送卸油。</w:t>
      </w:r>
    </w:p>
    <w:p w14:paraId="35FC2775">
      <w:pPr>
        <w:numPr>
          <w:ilvl w:val="0"/>
          <w:numId w:val="14"/>
        </w:numPr>
        <w:spacing w:line="360" w:lineRule="auto"/>
        <w:ind w:left="0" w:firstLine="560" w:firstLineChars="200"/>
        <w:rPr>
          <w:color w:val="auto"/>
        </w:rPr>
      </w:pPr>
      <w:r>
        <w:rPr>
          <w:rFonts w:hint="eastAsia"/>
          <w:color w:val="auto"/>
        </w:rPr>
        <w:t>油罐车驾驶员缓慢开启卸油阀卸油。卸油员集中精力监视、观察卸油管线、相关闸阀、过滤器等设备的运行情况，随时准备处理可能发生的问题。</w:t>
      </w:r>
    </w:p>
    <w:p w14:paraId="3BD55C35">
      <w:pPr>
        <w:numPr>
          <w:ilvl w:val="0"/>
          <w:numId w:val="14"/>
        </w:numPr>
        <w:spacing w:line="360" w:lineRule="auto"/>
        <w:ind w:left="0" w:firstLine="560" w:firstLineChars="200"/>
        <w:rPr>
          <w:rFonts w:hint="default" w:ascii="Times New Roman" w:hAnsi="Times New Roman" w:cs="Times New Roman"/>
          <w:color w:val="auto"/>
        </w:rPr>
      </w:pPr>
      <w:r>
        <w:rPr>
          <w:rFonts w:hint="default" w:ascii="Times New Roman" w:hAnsi="Times New Roman" w:cs="Times New Roman"/>
          <w:color w:val="auto"/>
        </w:rPr>
        <w:t>卸油时严格控制油的流速，在油面淹没进油管口200mm前，初始流速不应大于1m/s，正常卸油时流速控制在4.5m/s以内，以防产生静电。</w:t>
      </w:r>
    </w:p>
    <w:p w14:paraId="06745B08">
      <w:pPr>
        <w:numPr>
          <w:ilvl w:val="0"/>
          <w:numId w:val="14"/>
        </w:numPr>
        <w:spacing w:line="360" w:lineRule="auto"/>
        <w:ind w:left="0" w:firstLine="560" w:firstLineChars="200"/>
        <w:rPr>
          <w:color w:val="auto"/>
        </w:rPr>
      </w:pPr>
      <w:r>
        <w:rPr>
          <w:rFonts w:hint="default" w:ascii="Times New Roman" w:hAnsi="Times New Roman" w:cs="Times New Roman"/>
          <w:color w:val="auto"/>
        </w:rPr>
        <w:t>卸油完毕，油罐车驾驶员应关闭卸油阀；卸油员应先拆卸油管与油罐车连接端头，并将卸油管抬高使管内油料</w:t>
      </w:r>
      <w:r>
        <w:rPr>
          <w:rFonts w:hint="default" w:ascii="Times New Roman" w:hAnsi="Times New Roman" w:cs="Times New Roman"/>
          <w:color w:val="auto"/>
          <w:lang w:eastAsia="zh-CN"/>
        </w:rPr>
        <w:t>流入</w:t>
      </w:r>
      <w:r>
        <w:rPr>
          <w:rFonts w:hint="default" w:ascii="Times New Roman" w:hAnsi="Times New Roman" w:cs="Times New Roman"/>
          <w:color w:val="auto"/>
        </w:rPr>
        <w:t>油罐内并防止溅出。盖严罐口处的卸油帽，收回静电导线。收存卸油管、油气回收管时不可抛摔，以防</w:t>
      </w:r>
      <w:r>
        <w:rPr>
          <w:rFonts w:hint="eastAsia"/>
          <w:color w:val="auto"/>
        </w:rPr>
        <w:t>接头变形。</w:t>
      </w:r>
    </w:p>
    <w:p w14:paraId="53ACCF8C">
      <w:pPr>
        <w:numPr>
          <w:ilvl w:val="0"/>
          <w:numId w:val="14"/>
        </w:numPr>
        <w:spacing w:line="360" w:lineRule="auto"/>
        <w:ind w:left="0" w:firstLine="560" w:firstLineChars="200"/>
        <w:rPr>
          <w:color w:val="auto"/>
        </w:rPr>
      </w:pPr>
      <w:r>
        <w:rPr>
          <w:rFonts w:hint="eastAsia"/>
          <w:color w:val="auto"/>
        </w:rPr>
        <w:t>卸油完毕罐车静置</w:t>
      </w:r>
      <w:r>
        <w:rPr>
          <w:rFonts w:hint="eastAsia" w:ascii="Times New Roman" w:hAnsi="Times New Roman"/>
          <w:color w:val="auto"/>
        </w:rPr>
        <w:t>5min</w:t>
      </w:r>
      <w:r>
        <w:rPr>
          <w:rFonts w:hint="eastAsia"/>
          <w:color w:val="auto"/>
        </w:rPr>
        <w:t>后，卸油员引导油罐车启车、离站，清理卸油现场，将消防器材放回原位。</w:t>
      </w:r>
    </w:p>
    <w:p w14:paraId="5C481910">
      <w:pPr>
        <w:numPr>
          <w:ilvl w:val="0"/>
          <w:numId w:val="14"/>
        </w:numPr>
        <w:spacing w:line="360" w:lineRule="auto"/>
        <w:ind w:left="0" w:firstLine="560" w:firstLineChars="200"/>
        <w:rPr>
          <w:color w:val="auto"/>
        </w:rPr>
      </w:pPr>
      <w:r>
        <w:rPr>
          <w:rFonts w:hint="eastAsia"/>
          <w:color w:val="auto"/>
        </w:rPr>
        <w:t>待罐内油面静止平稳后，通知加油员开机加油。</w:t>
      </w:r>
    </w:p>
    <w:p w14:paraId="72F13732">
      <w:pPr>
        <w:numPr>
          <w:ilvl w:val="0"/>
          <w:numId w:val="14"/>
        </w:numPr>
        <w:spacing w:line="360" w:lineRule="auto"/>
        <w:ind w:left="0" w:firstLine="560" w:firstLineChars="200"/>
        <w:rPr>
          <w:color w:val="auto"/>
        </w:rPr>
      </w:pPr>
      <w:r>
        <w:rPr>
          <w:rFonts w:hint="eastAsia"/>
          <w:color w:val="auto"/>
        </w:rPr>
        <w:t>卸油时若发生油料溅溢时，应立即停止卸油并立即处理。</w:t>
      </w:r>
    </w:p>
    <w:p w14:paraId="3DB0BECA">
      <w:pPr>
        <w:numPr>
          <w:ilvl w:val="0"/>
          <w:numId w:val="14"/>
        </w:numPr>
        <w:spacing w:line="360" w:lineRule="auto"/>
        <w:ind w:left="0" w:firstLine="560" w:firstLineChars="200"/>
        <w:rPr>
          <w:color w:val="auto"/>
        </w:rPr>
      </w:pPr>
      <w:r>
        <w:rPr>
          <w:rFonts w:hint="eastAsia"/>
          <w:color w:val="auto"/>
        </w:rPr>
        <w:t>卸油时如发生交通事故、火灾事故、爆炸事故、破坏事故和伤亡事故等重大事故，应立即停止卸油作业，同时应将油罐车驶离加油站。</w:t>
      </w:r>
    </w:p>
    <w:p w14:paraId="3D2F0C20">
      <w:pPr>
        <w:numPr>
          <w:ilvl w:val="0"/>
          <w:numId w:val="14"/>
        </w:numPr>
        <w:spacing w:line="360" w:lineRule="auto"/>
        <w:ind w:left="0" w:firstLine="560" w:firstLineChars="200"/>
        <w:rPr>
          <w:color w:val="auto"/>
        </w:rPr>
      </w:pPr>
      <w:r>
        <w:rPr>
          <w:rFonts w:hint="eastAsia"/>
          <w:color w:val="auto"/>
        </w:rPr>
        <w:t>在卸油过程中，严禁擦洗罐车物品、按喇叭、修车等，对器具要轻拿轻放，夜间照明须使用防爆灯具。</w:t>
      </w:r>
    </w:p>
    <w:p w14:paraId="3E0DE710">
      <w:pPr>
        <w:numPr>
          <w:ilvl w:val="0"/>
          <w:numId w:val="14"/>
        </w:numPr>
        <w:spacing w:line="360" w:lineRule="auto"/>
        <w:ind w:left="0" w:firstLine="560" w:firstLineChars="200"/>
        <w:rPr>
          <w:color w:val="auto"/>
        </w:rPr>
      </w:pPr>
      <w:r>
        <w:rPr>
          <w:rFonts w:hint="eastAsia"/>
          <w:color w:val="auto"/>
        </w:rPr>
        <w:t>卸油口未使用时应加锁。</w:t>
      </w:r>
    </w:p>
    <w:p w14:paraId="20DC9725">
      <w:pPr>
        <w:numPr>
          <w:ilvl w:val="0"/>
          <w:numId w:val="14"/>
        </w:numPr>
        <w:spacing w:line="360" w:lineRule="auto"/>
        <w:ind w:left="0" w:firstLine="560" w:firstLineChars="200"/>
        <w:rPr>
          <w:color w:val="auto"/>
        </w:rPr>
      </w:pPr>
      <w:r>
        <w:rPr>
          <w:rFonts w:hint="eastAsia"/>
          <w:color w:val="auto"/>
        </w:rPr>
        <w:t>加油车辆驶入站时，加油员应主动引导车辆进入加油位置。当进站加油车停稳发动机熄火后，方可打开油箱盖，加油前加油机计数器</w:t>
      </w:r>
      <w:r>
        <w:rPr>
          <w:rFonts w:hint="eastAsia"/>
          <w:color w:val="auto"/>
          <w:lang w:eastAsia="zh-CN"/>
        </w:rPr>
        <w:t>归零</w:t>
      </w:r>
      <w:r>
        <w:rPr>
          <w:rFonts w:hint="eastAsia"/>
          <w:color w:val="auto"/>
        </w:rPr>
        <w:t>后，启动加油机开始加油。</w:t>
      </w:r>
    </w:p>
    <w:p w14:paraId="1EFB793A">
      <w:pPr>
        <w:numPr>
          <w:ilvl w:val="0"/>
          <w:numId w:val="14"/>
        </w:numPr>
        <w:spacing w:line="360" w:lineRule="auto"/>
        <w:ind w:left="0" w:firstLine="560" w:firstLineChars="200"/>
        <w:rPr>
          <w:color w:val="auto"/>
        </w:rPr>
      </w:pPr>
      <w:r>
        <w:rPr>
          <w:rFonts w:hint="eastAsia"/>
          <w:color w:val="auto"/>
        </w:rPr>
        <w:t>加油作业应由加油员操作，不得由顾客自行处置。</w:t>
      </w:r>
    </w:p>
    <w:p w14:paraId="35E3F6B5">
      <w:pPr>
        <w:numPr>
          <w:ilvl w:val="0"/>
          <w:numId w:val="14"/>
        </w:numPr>
        <w:spacing w:line="360" w:lineRule="auto"/>
        <w:ind w:left="0" w:firstLine="560" w:firstLineChars="200"/>
        <w:rPr>
          <w:color w:val="auto"/>
        </w:rPr>
      </w:pPr>
      <w:r>
        <w:rPr>
          <w:rFonts w:hint="eastAsia"/>
          <w:color w:val="auto"/>
        </w:rPr>
        <w:t>加油时应避免油料溅出，尤其机车加油时应特别注意不可</w:t>
      </w:r>
      <w:r>
        <w:rPr>
          <w:rFonts w:hint="eastAsia"/>
          <w:color w:val="auto"/>
          <w:lang w:eastAsia="zh-CN"/>
        </w:rPr>
        <w:t>漫出</w:t>
      </w:r>
      <w:r>
        <w:rPr>
          <w:rFonts w:hint="eastAsia"/>
          <w:color w:val="auto"/>
        </w:rPr>
        <w:t>油料。</w:t>
      </w:r>
    </w:p>
    <w:p w14:paraId="299523C5">
      <w:pPr>
        <w:numPr>
          <w:ilvl w:val="0"/>
          <w:numId w:val="14"/>
        </w:numPr>
        <w:spacing w:line="360" w:lineRule="auto"/>
        <w:ind w:left="0" w:firstLine="560" w:firstLineChars="200"/>
        <w:rPr>
          <w:color w:val="auto"/>
        </w:rPr>
      </w:pPr>
      <w:r>
        <w:rPr>
          <w:rFonts w:hint="eastAsia"/>
          <w:color w:val="auto"/>
        </w:rPr>
        <w:t>加油时若有油料溢出，应立即擦拭，含有油污布料应妥善收存有盖容器中。</w:t>
      </w:r>
    </w:p>
    <w:p w14:paraId="7EA2B17A">
      <w:pPr>
        <w:numPr>
          <w:ilvl w:val="0"/>
          <w:numId w:val="14"/>
        </w:numPr>
        <w:spacing w:line="360" w:lineRule="auto"/>
        <w:ind w:left="0" w:firstLine="560" w:firstLineChars="200"/>
        <w:rPr>
          <w:color w:val="auto"/>
        </w:rPr>
      </w:pPr>
      <w:r>
        <w:rPr>
          <w:rFonts w:hint="eastAsia"/>
          <w:color w:val="auto"/>
        </w:rPr>
        <w:t>加完油后，应立即将加油枪拉出，以防被拖走。</w:t>
      </w:r>
    </w:p>
    <w:p w14:paraId="74428E04">
      <w:pPr>
        <w:numPr>
          <w:ilvl w:val="0"/>
          <w:numId w:val="14"/>
        </w:numPr>
        <w:spacing w:line="360" w:lineRule="auto"/>
        <w:ind w:left="0" w:firstLine="560" w:firstLineChars="200"/>
        <w:rPr>
          <w:color w:val="auto"/>
        </w:rPr>
      </w:pPr>
      <w:r>
        <w:rPr>
          <w:rFonts w:hint="eastAsia"/>
          <w:color w:val="auto"/>
        </w:rPr>
        <w:t>加油前及加油后应保持橡皮管放置于加油机上，防止被车辆压坏。</w:t>
      </w:r>
    </w:p>
    <w:p w14:paraId="6614323E">
      <w:pPr>
        <w:numPr>
          <w:ilvl w:val="0"/>
          <w:numId w:val="14"/>
        </w:numPr>
        <w:spacing w:line="360" w:lineRule="auto"/>
        <w:ind w:left="0" w:firstLine="560" w:firstLineChars="200"/>
        <w:rPr>
          <w:color w:val="auto"/>
        </w:rPr>
      </w:pPr>
      <w:r>
        <w:rPr>
          <w:rFonts w:hint="eastAsia"/>
          <w:color w:val="auto"/>
        </w:rPr>
        <w:t>当加油、结算等程序完成后，应及时引导车辆离开加油岛。</w:t>
      </w:r>
    </w:p>
    <w:p w14:paraId="750EBE8F">
      <w:pPr>
        <w:numPr>
          <w:ilvl w:val="0"/>
          <w:numId w:val="14"/>
        </w:numPr>
        <w:spacing w:line="360" w:lineRule="auto"/>
        <w:ind w:left="0" w:firstLine="560" w:firstLineChars="200"/>
        <w:rPr>
          <w:color w:val="auto"/>
        </w:rPr>
      </w:pPr>
      <w:r>
        <w:rPr>
          <w:rFonts w:hint="eastAsia"/>
          <w:color w:val="auto"/>
        </w:rPr>
        <w:t>站内有人吸烟或使用移动电话时，应立即停止加油。</w:t>
      </w:r>
    </w:p>
    <w:p w14:paraId="121041C1">
      <w:pPr>
        <w:numPr>
          <w:ilvl w:val="0"/>
          <w:numId w:val="14"/>
        </w:numPr>
        <w:spacing w:line="360" w:lineRule="auto"/>
        <w:ind w:left="0" w:firstLine="560" w:firstLineChars="200"/>
        <w:rPr>
          <w:color w:val="auto"/>
        </w:rPr>
      </w:pPr>
      <w:r>
        <w:rPr>
          <w:rFonts w:hint="eastAsia"/>
          <w:color w:val="auto"/>
        </w:rPr>
        <w:t>加油站上空有高强闪电或雷击频繁时，应停止加油作业，采取防护措施。</w:t>
      </w:r>
    </w:p>
    <w:p w14:paraId="70F9365D">
      <w:pPr>
        <w:numPr>
          <w:ilvl w:val="0"/>
          <w:numId w:val="14"/>
        </w:numPr>
        <w:spacing w:line="360" w:lineRule="auto"/>
        <w:ind w:left="0" w:firstLine="560" w:firstLineChars="200"/>
        <w:rPr>
          <w:color w:val="auto"/>
        </w:rPr>
      </w:pPr>
      <w:r>
        <w:rPr>
          <w:rFonts w:hint="eastAsia"/>
          <w:color w:val="auto"/>
        </w:rPr>
        <w:t>夜间</w:t>
      </w:r>
      <w:r>
        <w:rPr>
          <w:rFonts w:hint="eastAsia"/>
          <w:color w:val="auto"/>
          <w:lang w:eastAsia="zh-CN"/>
        </w:rPr>
        <w:t>测量</w:t>
      </w:r>
      <w:r>
        <w:rPr>
          <w:rFonts w:hint="eastAsia"/>
          <w:color w:val="auto"/>
        </w:rPr>
        <w:t>油罐时应使用防爆型照明设备。</w:t>
      </w:r>
    </w:p>
    <w:p w14:paraId="06DEBCE6">
      <w:pPr>
        <w:numPr>
          <w:ilvl w:val="0"/>
          <w:numId w:val="14"/>
        </w:numPr>
        <w:spacing w:line="360" w:lineRule="auto"/>
        <w:ind w:left="0" w:firstLine="560" w:firstLineChars="200"/>
        <w:rPr>
          <w:color w:val="auto"/>
        </w:rPr>
      </w:pPr>
      <w:r>
        <w:rPr>
          <w:rFonts w:hint="eastAsia"/>
          <w:color w:val="auto"/>
        </w:rPr>
        <w:t>停止使用与油罐相连的加油机。</w:t>
      </w:r>
    </w:p>
    <w:p w14:paraId="0B18AA41">
      <w:pPr>
        <w:numPr>
          <w:ilvl w:val="0"/>
          <w:numId w:val="14"/>
        </w:numPr>
        <w:spacing w:line="360" w:lineRule="auto"/>
        <w:ind w:left="0" w:firstLine="560" w:firstLineChars="200"/>
        <w:rPr>
          <w:color w:val="auto"/>
        </w:rPr>
      </w:pPr>
      <w:r>
        <w:rPr>
          <w:rFonts w:hint="eastAsia"/>
          <w:color w:val="auto"/>
        </w:rPr>
        <w:t>卸油后，待稳油</w:t>
      </w:r>
      <w:r>
        <w:rPr>
          <w:rFonts w:hint="eastAsia" w:ascii="Times New Roman" w:hAnsi="Times New Roman"/>
          <w:color w:val="auto"/>
        </w:rPr>
        <w:t>15min</w:t>
      </w:r>
      <w:r>
        <w:rPr>
          <w:rFonts w:hint="eastAsia"/>
          <w:color w:val="auto"/>
        </w:rPr>
        <w:t>后方可计量。</w:t>
      </w:r>
    </w:p>
    <w:p w14:paraId="758933F1">
      <w:pPr>
        <w:numPr>
          <w:ilvl w:val="0"/>
          <w:numId w:val="14"/>
        </w:numPr>
        <w:spacing w:line="360" w:lineRule="auto"/>
        <w:ind w:left="0" w:firstLine="560" w:firstLineChars="200"/>
        <w:rPr>
          <w:color w:val="auto"/>
        </w:rPr>
      </w:pPr>
      <w:r>
        <w:rPr>
          <w:rFonts w:hint="eastAsia"/>
          <w:color w:val="auto"/>
        </w:rPr>
        <w:t>进行油品采样、计量和测温时，不得猛拉快提，上提速度不得大于</w:t>
      </w:r>
      <w:r>
        <w:rPr>
          <w:rFonts w:hint="eastAsia" w:ascii="Times New Roman" w:hAnsi="Times New Roman"/>
          <w:color w:val="auto"/>
        </w:rPr>
        <w:t>0</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s</w:t>
      </w:r>
      <w:r>
        <w:rPr>
          <w:rFonts w:hint="eastAsia"/>
          <w:color w:val="auto"/>
        </w:rPr>
        <w:t>，下落速度不得大于</w:t>
      </w:r>
      <w:r>
        <w:rPr>
          <w:rFonts w:hint="eastAsia" w:ascii="Times New Roman" w:hAnsi="Times New Roman"/>
          <w:color w:val="auto"/>
        </w:rPr>
        <w:t>1m</w:t>
      </w:r>
      <w:r>
        <w:rPr>
          <w:rFonts w:hint="eastAsia"/>
          <w:color w:val="auto"/>
        </w:rPr>
        <w:t>/</w:t>
      </w:r>
      <w:r>
        <w:rPr>
          <w:rFonts w:hint="eastAsia" w:ascii="Times New Roman" w:hAnsi="Times New Roman"/>
          <w:color w:val="auto"/>
        </w:rPr>
        <w:t>s</w:t>
      </w:r>
      <w:r>
        <w:rPr>
          <w:rFonts w:hint="eastAsia"/>
          <w:color w:val="auto"/>
        </w:rPr>
        <w:t>。</w:t>
      </w:r>
    </w:p>
    <w:p w14:paraId="16F30D58">
      <w:pPr>
        <w:ind w:firstLine="560"/>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1" w:charSpace="0"/>
        </w:sectPr>
      </w:pPr>
    </w:p>
    <w:p w14:paraId="7F4181A4">
      <w:pPr>
        <w:pStyle w:val="3"/>
        <w:spacing w:line="360" w:lineRule="auto"/>
        <w:rPr>
          <w:color w:val="auto"/>
        </w:rPr>
      </w:pPr>
      <w:bookmarkStart w:id="509" w:name="_Toc31029"/>
      <w:bookmarkStart w:id="510" w:name="_Toc23981"/>
      <w:bookmarkStart w:id="511" w:name="_Toc15040"/>
      <w:r>
        <w:rPr>
          <w:rFonts w:hint="eastAsia"/>
          <w:color w:val="auto"/>
        </w:rPr>
        <w:t>第十一章 安全评价结论</w:t>
      </w:r>
      <w:bookmarkEnd w:id="509"/>
      <w:bookmarkEnd w:id="510"/>
      <w:bookmarkEnd w:id="511"/>
    </w:p>
    <w:p w14:paraId="53E0F8C6">
      <w:pPr>
        <w:spacing w:line="360" w:lineRule="auto"/>
        <w:ind w:firstLine="560"/>
        <w:rPr>
          <w:color w:val="auto"/>
        </w:rPr>
      </w:pPr>
      <w:r>
        <w:rPr>
          <w:rFonts w:hint="eastAsia"/>
          <w:color w:val="auto"/>
          <w:lang w:val="en-US" w:eastAsia="zh-CN"/>
        </w:rPr>
        <w:t>该加油站</w:t>
      </w:r>
      <w:r>
        <w:rPr>
          <w:rFonts w:hint="eastAsia"/>
          <w:color w:val="auto"/>
        </w:rPr>
        <w:t>位于</w:t>
      </w:r>
      <w:r>
        <w:t>江西省</w:t>
      </w:r>
      <w:r>
        <w:rPr>
          <w:rFonts w:hint="eastAsia"/>
          <w:lang w:val="en-US" w:eastAsia="zh-CN"/>
        </w:rPr>
        <w:t>铜鼓县城南路</w:t>
      </w:r>
      <w:r>
        <w:rPr>
          <w:rFonts w:hint="eastAsia"/>
          <w:color w:val="auto"/>
        </w:rPr>
        <w:t>，罐区有</w:t>
      </w:r>
      <w:r>
        <w:rPr>
          <w:rFonts w:hint="eastAsia"/>
          <w:color w:val="auto"/>
          <w:lang w:val="en-US" w:eastAsia="zh-CN"/>
        </w:rPr>
        <w:t>3</w:t>
      </w:r>
      <w:r>
        <w:rPr>
          <w:rFonts w:hint="eastAsia"/>
          <w:color w:val="auto"/>
        </w:rPr>
        <w:t>个油罐，包括</w:t>
      </w:r>
      <w:r>
        <w:rPr>
          <w:rFonts w:hint="eastAsia" w:ascii="Times New Roman" w:hAnsi="Times New Roman"/>
          <w:color w:val="auto"/>
          <w:lang w:val="en-US" w:eastAsia="zh-CN"/>
        </w:rPr>
        <w:t>3</w:t>
      </w:r>
      <w:r>
        <w:rPr>
          <w:rFonts w:hint="eastAsia"/>
          <w:color w:val="auto"/>
        </w:rPr>
        <w:t>个汽油罐（</w:t>
      </w:r>
      <w:r>
        <w:rPr>
          <w:rFonts w:hint="eastAsia" w:ascii="Times New Roman" w:hAnsi="Times New Roman"/>
          <w:color w:val="auto"/>
          <w:lang w:val="en-US" w:eastAsia="zh-CN"/>
        </w:rPr>
        <w:t>3</w:t>
      </w:r>
      <w:r>
        <w:rPr>
          <w:rFonts w:hint="eastAsia"/>
          <w:color w:val="auto"/>
        </w:rPr>
        <w:t>×</w:t>
      </w:r>
      <w:r>
        <w:rPr>
          <w:rFonts w:hint="eastAsia" w:ascii="Times New Roman" w:hAnsi="Times New Roman"/>
          <w:color w:val="auto"/>
        </w:rPr>
        <w:t>30m</w:t>
      </w:r>
      <w:r>
        <w:rPr>
          <w:rFonts w:hint="eastAsia" w:ascii="Times New Roman" w:hAnsi="Times New Roman"/>
          <w:color w:val="auto"/>
          <w:vertAlign w:val="superscript"/>
        </w:rPr>
        <w:t>3</w:t>
      </w:r>
      <w:r>
        <w:rPr>
          <w:rFonts w:hint="eastAsia"/>
          <w:color w:val="auto"/>
        </w:rPr>
        <w:t>），总</w:t>
      </w:r>
      <w:r>
        <w:rPr>
          <w:rFonts w:hint="eastAsia"/>
          <w:color w:val="auto"/>
          <w:lang w:val="en-US" w:eastAsia="zh-CN"/>
        </w:rPr>
        <w:t>容量9</w:t>
      </w:r>
      <w:r>
        <w:rPr>
          <w:rFonts w:hint="eastAsia" w:ascii="Times New Roman" w:hAnsi="Times New Roman"/>
          <w:color w:val="auto"/>
          <w:lang w:val="en-US" w:eastAsia="zh-CN"/>
        </w:rPr>
        <w:t>0m</w:t>
      </w:r>
      <w:r>
        <w:rPr>
          <w:rFonts w:hint="eastAsia" w:ascii="Times New Roman" w:hAnsi="Times New Roman"/>
          <w:color w:val="auto"/>
          <w:vertAlign w:val="superscript"/>
          <w:lang w:val="en-US" w:eastAsia="zh-CN"/>
        </w:rPr>
        <w:t>3</w:t>
      </w:r>
      <w:r>
        <w:rPr>
          <w:rFonts w:hint="eastAsia"/>
          <w:color w:val="auto"/>
          <w:lang w:val="en-US" w:eastAsia="zh-CN"/>
        </w:rPr>
        <w:t>，</w:t>
      </w:r>
      <w:r>
        <w:rPr>
          <w:rFonts w:hint="eastAsia"/>
          <w:color w:val="auto"/>
        </w:rPr>
        <w:t>属于</w:t>
      </w:r>
      <w:r>
        <w:rPr>
          <w:rFonts w:hint="eastAsia"/>
          <w:color w:val="auto"/>
          <w:lang w:val="en-US" w:eastAsia="zh-CN"/>
        </w:rPr>
        <w:t>三级</w:t>
      </w:r>
      <w:r>
        <w:rPr>
          <w:rFonts w:hint="eastAsia"/>
          <w:color w:val="auto"/>
        </w:rPr>
        <w:t>加油站。</w:t>
      </w:r>
    </w:p>
    <w:p w14:paraId="7FC7F21A">
      <w:pPr>
        <w:spacing w:line="360" w:lineRule="auto"/>
        <w:ind w:firstLine="560"/>
        <w:rPr>
          <w:color w:val="auto"/>
        </w:rPr>
      </w:pPr>
      <w:r>
        <w:rPr>
          <w:rFonts w:hint="eastAsia"/>
          <w:color w:val="auto"/>
        </w:rPr>
        <w:t>通过对该加油站建设项目</w:t>
      </w:r>
      <w:r>
        <w:rPr>
          <w:rFonts w:hint="eastAsia"/>
          <w:color w:val="auto"/>
          <w:lang w:eastAsia="zh-CN"/>
        </w:rPr>
        <w:t>安全验收评价</w:t>
      </w:r>
      <w:r>
        <w:rPr>
          <w:rFonts w:hint="eastAsia"/>
          <w:color w:val="auto"/>
        </w:rPr>
        <w:t>，得出以下评价结论：</w:t>
      </w:r>
    </w:p>
    <w:p w14:paraId="572AF21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561" w:firstLineChars="0"/>
        <w:textAlignment w:val="auto"/>
        <w:rPr>
          <w:b/>
          <w:bCs/>
          <w:color w:val="auto"/>
        </w:rPr>
      </w:pPr>
      <w:r>
        <w:rPr>
          <w:rFonts w:ascii="Times New Roman" w:hAnsi="Times New Roman" w:eastAsia="宋体" w:cs="Times New Roman"/>
          <w:b/>
          <w:bCs/>
          <w:color w:val="auto"/>
          <w:kern w:val="2"/>
          <w:sz w:val="28"/>
          <w:szCs w:val="24"/>
          <w:lang w:val="en-US" w:eastAsia="zh-CN" w:bidi="ar-SA"/>
        </w:rPr>
        <w:t>（1）</w:t>
      </w:r>
      <w:r>
        <w:rPr>
          <w:rFonts w:hint="eastAsia"/>
          <w:b/>
          <w:bCs/>
          <w:color w:val="auto"/>
        </w:rPr>
        <w:t>化学品、设备及工艺辨识结果</w:t>
      </w:r>
    </w:p>
    <w:p w14:paraId="2AC37086">
      <w:pPr>
        <w:keepNext w:val="0"/>
        <w:keepLines w:val="0"/>
        <w:pageBreakBefore w:val="0"/>
        <w:widowControl/>
        <w:kinsoku/>
        <w:wordWrap/>
        <w:overflowPunct/>
        <w:topLinePunct w:val="0"/>
        <w:autoSpaceDE/>
        <w:autoSpaceDN/>
        <w:bidi w:val="0"/>
        <w:adjustRightInd/>
        <w:snapToGrid/>
        <w:spacing w:line="360" w:lineRule="auto"/>
        <w:ind w:firstLine="560"/>
        <w:textAlignment w:val="auto"/>
        <w:rPr>
          <w:b/>
          <w:bCs/>
          <w:color w:val="auto"/>
        </w:rPr>
      </w:pPr>
      <w:r>
        <w:rPr>
          <w:rFonts w:hint="eastAsia"/>
          <w:color w:val="auto"/>
        </w:rPr>
        <w:t>本项目经营、储存危险化学品（汽油），根据《危险化学品目录》辨识，汽油属于危险化学品</w:t>
      </w:r>
      <w:r>
        <w:rPr>
          <w:rFonts w:hint="eastAsia"/>
          <w:color w:val="auto"/>
          <w:lang w:eastAsia="zh-CN"/>
        </w:rPr>
        <w:t>，</w:t>
      </w:r>
      <w:r>
        <w:rPr>
          <w:rFonts w:hint="eastAsia"/>
          <w:color w:val="auto"/>
          <w:lang w:val="en-US" w:eastAsia="zh-CN"/>
        </w:rPr>
        <w:t>其中汽油属于重点监管危险化学品、特别管控危险化学品</w:t>
      </w:r>
      <w:r>
        <w:rPr>
          <w:rFonts w:hint="eastAsia"/>
          <w:color w:val="auto"/>
        </w:rPr>
        <w:t>；在《危险货物品名表》</w:t>
      </w:r>
      <w:r>
        <w:rPr>
          <w:rFonts w:hint="eastAsia" w:ascii="Times New Roman" w:hAnsi="Times New Roman"/>
          <w:color w:val="auto"/>
        </w:rPr>
        <w:t>GB</w:t>
      </w:r>
      <w:r>
        <w:rPr>
          <w:rFonts w:hint="eastAsia"/>
          <w:color w:val="auto"/>
          <w:lang w:val="en-US" w:eastAsia="zh-CN"/>
        </w:rPr>
        <w:t xml:space="preserve"> </w:t>
      </w:r>
      <w:r>
        <w:rPr>
          <w:rFonts w:hint="eastAsia" w:ascii="Times New Roman" w:hAnsi="Times New Roman"/>
          <w:color w:val="auto"/>
        </w:rPr>
        <w:t>12268</w:t>
      </w:r>
      <w:r>
        <w:rPr>
          <w:rFonts w:hint="eastAsia"/>
          <w:color w:val="auto"/>
        </w:rPr>
        <w:t>-</w:t>
      </w:r>
      <w:r>
        <w:rPr>
          <w:rFonts w:hint="eastAsia" w:ascii="Times New Roman" w:hAnsi="Times New Roman"/>
          <w:color w:val="auto"/>
        </w:rPr>
        <w:t>2012</w:t>
      </w:r>
      <w:r>
        <w:rPr>
          <w:rFonts w:hint="eastAsia"/>
          <w:color w:val="auto"/>
        </w:rPr>
        <w:t>中，汽油列为第三类易燃液体。经营、储存过程中不涉及剧毒化学品、高毒物品、易制毒化学品、监控化学品、易制爆化学品。所经营储存的汽油属于中度危害物质（</w:t>
      </w:r>
      <w:r>
        <w:rPr>
          <w:rFonts w:hint="eastAsia"/>
          <w:color w:val="auto"/>
          <w:lang w:eastAsia="zh-CN"/>
        </w:rPr>
        <w:t>Ⅲ类</w:t>
      </w:r>
      <w:r>
        <w:rPr>
          <w:rFonts w:hint="eastAsia"/>
          <w:color w:val="auto"/>
        </w:rPr>
        <w:t>）。经营、储存过程中采用的设备及工艺不属于淘汰落后设备及工艺、不涉及危险化工工艺。</w:t>
      </w:r>
    </w:p>
    <w:p w14:paraId="0FA8FA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 w:leftChars="0" w:firstLine="562" w:firstLineChars="0"/>
        <w:textAlignment w:val="auto"/>
        <w:rPr>
          <w:b/>
          <w:bCs/>
          <w:color w:val="auto"/>
        </w:rPr>
      </w:pPr>
      <w:r>
        <w:rPr>
          <w:rFonts w:ascii="Times New Roman" w:hAnsi="Times New Roman" w:eastAsia="宋体" w:cs="Times New Roman"/>
          <w:b/>
          <w:bCs/>
          <w:color w:val="auto"/>
          <w:kern w:val="2"/>
          <w:sz w:val="28"/>
          <w:szCs w:val="24"/>
          <w:lang w:val="en-US" w:eastAsia="zh-CN" w:bidi="ar-SA"/>
        </w:rPr>
        <w:t>（2）</w:t>
      </w:r>
      <w:r>
        <w:rPr>
          <w:rFonts w:hint="eastAsia"/>
          <w:b/>
          <w:bCs/>
          <w:color w:val="auto"/>
        </w:rPr>
        <w:t>建设项目所在地的安全条件和周边的安全间距</w:t>
      </w:r>
    </w:p>
    <w:p w14:paraId="39F023A4">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b/>
          <w:bCs/>
          <w:color w:val="auto"/>
        </w:rPr>
      </w:pPr>
      <w:r>
        <w:rPr>
          <w:rFonts w:hint="eastAsia"/>
          <w:color w:val="auto"/>
        </w:rPr>
        <w:t>该站位于</w:t>
      </w:r>
      <w:r>
        <w:rPr>
          <w:rFonts w:hint="eastAsia"/>
          <w:color w:val="auto"/>
          <w:lang w:val="en-US" w:eastAsia="zh-CN"/>
        </w:rPr>
        <w:t>江西省铜</w:t>
      </w:r>
      <w:r>
        <w:rPr>
          <w:rFonts w:hint="eastAsia"/>
          <w:color w:val="auto"/>
          <w:shd w:val="clear"/>
          <w:lang w:val="en-US" w:eastAsia="zh-CN"/>
        </w:rPr>
        <w:t>鼓县城南路，加油站东面为饭店，东南面为民房，南面为闲置办公楼，西南面为住宅楼，西面为住宅楼，北面为城南东路，安全间距均符合要求。</w:t>
      </w:r>
      <w:r>
        <w:rPr>
          <w:rFonts w:hint="eastAsia"/>
          <w:color w:val="auto"/>
          <w:shd w:val="clear"/>
        </w:rPr>
        <w:t>该区域</w:t>
      </w:r>
      <w:r>
        <w:rPr>
          <w:rFonts w:hint="eastAsia"/>
          <w:color w:val="auto"/>
        </w:rPr>
        <w:t>不属风景名胜区、自然保护区、军事禁区和军事管理区。根据本报告分析，认为该加油站建设项目周边对加油站的影响以及建设项目所在地的自然条件对建设项目投入使用后的影响均较小，</w:t>
      </w:r>
      <w:r>
        <w:rPr>
          <w:rFonts w:hint="eastAsia"/>
          <w:color w:val="auto"/>
          <w:lang w:eastAsia="zh-CN"/>
        </w:rPr>
        <w:t>本项目</w:t>
      </w:r>
      <w:r>
        <w:rPr>
          <w:rFonts w:hint="eastAsia"/>
          <w:color w:val="auto"/>
        </w:rPr>
        <w:t>具备标准规范所要求的安全条件。</w:t>
      </w:r>
    </w:p>
    <w:p w14:paraId="43907A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2" w:firstLineChars="200"/>
        <w:textAlignment w:val="auto"/>
        <w:rPr>
          <w:b/>
          <w:bCs/>
          <w:color w:val="auto"/>
        </w:rPr>
      </w:pPr>
      <w:r>
        <w:rPr>
          <w:rFonts w:ascii="Times New Roman" w:hAnsi="Times New Roman" w:eastAsia="宋体" w:cs="Times New Roman"/>
          <w:b/>
          <w:bCs/>
          <w:color w:val="auto"/>
          <w:kern w:val="2"/>
          <w:sz w:val="28"/>
          <w:szCs w:val="24"/>
          <w:lang w:val="en-US" w:eastAsia="zh-CN" w:bidi="ar-SA"/>
        </w:rPr>
        <w:t>（3）</w:t>
      </w:r>
      <w:r>
        <w:rPr>
          <w:rFonts w:hint="eastAsia"/>
          <w:b/>
          <w:bCs/>
          <w:color w:val="auto"/>
        </w:rPr>
        <w:t>建设项目安全设施设计的采纳情况和已采用（取）的安全设施水平</w:t>
      </w:r>
    </w:p>
    <w:p w14:paraId="3A5BF60E">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color w:val="auto"/>
          <w:shd w:val="clear"/>
        </w:rPr>
      </w:pPr>
      <w:r>
        <w:rPr>
          <w:rFonts w:hint="eastAsia"/>
          <w:color w:val="auto"/>
        </w:rPr>
        <w:t>该加油站安全设施设计所提出的安全设施均已采纳，包括设备电气防雷设</w:t>
      </w:r>
      <w:r>
        <w:rPr>
          <w:rFonts w:hint="eastAsia"/>
          <w:color w:val="auto"/>
          <w:shd w:val="clear"/>
        </w:rPr>
        <w:t>施、油罐防腐设施、油罐及管道防静电设施、自控系统、加油机防爆设施、截止阀、阻火器、水封井、防火材料涂层、应急照明、消防器材、安全警示标志。</w:t>
      </w:r>
      <w:r>
        <w:rPr>
          <w:rFonts w:hint="eastAsia"/>
          <w:color w:val="auto"/>
          <w:shd w:val="clear"/>
          <w:lang w:val="en-US" w:eastAsia="zh-CN"/>
        </w:rPr>
        <w:t>该加油站</w:t>
      </w:r>
      <w:r>
        <w:rPr>
          <w:rFonts w:hint="eastAsia"/>
          <w:color w:val="auto"/>
          <w:shd w:val="clear"/>
        </w:rPr>
        <w:t>于</w:t>
      </w:r>
      <w:r>
        <w:rPr>
          <w:rFonts w:ascii="Times New Roman" w:hAnsi="Times New Roman" w:cs="Times New Roman"/>
          <w:color w:val="auto"/>
          <w:sz w:val="28"/>
          <w:szCs w:val="28"/>
          <w:highlight w:val="none"/>
          <w:shd w:val="clear"/>
        </w:rPr>
        <w:t>202</w:t>
      </w:r>
      <w:r>
        <w:rPr>
          <w:rFonts w:hint="eastAsia" w:ascii="Times New Roman" w:hAnsi="Times New Roman" w:cs="Times New Roman"/>
          <w:color w:val="auto"/>
          <w:sz w:val="28"/>
          <w:szCs w:val="28"/>
          <w:highlight w:val="none"/>
          <w:shd w:val="clear"/>
          <w:lang w:val="en-US" w:eastAsia="zh-CN"/>
        </w:rPr>
        <w:t>5</w:t>
      </w:r>
      <w:r>
        <w:rPr>
          <w:rFonts w:ascii="Times New Roman" w:hAnsi="Times New Roman" w:cs="Times New Roman"/>
          <w:color w:val="auto"/>
          <w:sz w:val="28"/>
          <w:szCs w:val="28"/>
          <w:highlight w:val="none"/>
          <w:shd w:val="clear"/>
        </w:rPr>
        <w:t>年0</w:t>
      </w:r>
      <w:r>
        <w:rPr>
          <w:rFonts w:hint="eastAsia" w:ascii="Times New Roman" w:hAnsi="Times New Roman" w:cs="Times New Roman"/>
          <w:color w:val="auto"/>
          <w:sz w:val="28"/>
          <w:szCs w:val="28"/>
          <w:highlight w:val="none"/>
          <w:shd w:val="clear"/>
          <w:lang w:val="en-US" w:eastAsia="zh-CN"/>
        </w:rPr>
        <w:t>4</w:t>
      </w:r>
      <w:r>
        <w:rPr>
          <w:rFonts w:ascii="Times New Roman" w:hAnsi="Times New Roman" w:cs="Times New Roman"/>
          <w:color w:val="auto"/>
          <w:sz w:val="28"/>
          <w:szCs w:val="28"/>
          <w:highlight w:val="none"/>
          <w:shd w:val="clear"/>
        </w:rPr>
        <w:t>月</w:t>
      </w:r>
      <w:r>
        <w:rPr>
          <w:rFonts w:hint="eastAsia" w:ascii="Times New Roman" w:hAnsi="Times New Roman" w:cs="Times New Roman"/>
          <w:color w:val="auto"/>
          <w:sz w:val="28"/>
          <w:szCs w:val="28"/>
          <w:highlight w:val="none"/>
          <w:shd w:val="clear"/>
          <w:lang w:val="en-US" w:eastAsia="zh-CN"/>
        </w:rPr>
        <w:t>09</w:t>
      </w:r>
      <w:r>
        <w:rPr>
          <w:rFonts w:hint="eastAsia"/>
          <w:color w:val="auto"/>
          <w:shd w:val="clear"/>
        </w:rPr>
        <w:t>日已委托</w:t>
      </w:r>
      <w:r>
        <w:rPr>
          <w:rFonts w:hint="eastAsia"/>
          <w:color w:val="auto"/>
          <w:shd w:val="clear"/>
          <w:lang w:val="en-US" w:eastAsia="zh-CN"/>
        </w:rPr>
        <w:t>江西赣象防雷检测中心有限公司宜春分公司</w:t>
      </w:r>
      <w:r>
        <w:rPr>
          <w:rFonts w:hint="eastAsia"/>
          <w:color w:val="auto"/>
          <w:shd w:val="clear"/>
        </w:rPr>
        <w:t>进行</w:t>
      </w:r>
      <w:r>
        <w:rPr>
          <w:rFonts w:hint="eastAsia"/>
          <w:color w:val="auto"/>
          <w:shd w:val="clear"/>
          <w:lang w:eastAsia="zh-CN"/>
        </w:rPr>
        <w:t>了</w:t>
      </w:r>
      <w:r>
        <w:rPr>
          <w:rFonts w:hint="eastAsia"/>
          <w:color w:val="auto"/>
          <w:shd w:val="clear"/>
          <w:lang w:val="en-US" w:eastAsia="zh-CN"/>
        </w:rPr>
        <w:t>防雷</w:t>
      </w:r>
      <w:r>
        <w:rPr>
          <w:rFonts w:hint="eastAsia"/>
          <w:color w:val="auto"/>
          <w:shd w:val="clear"/>
        </w:rPr>
        <w:t>检测，检测结果为合格，并取得了《江西省雷电防护装置检测报告》（</w:t>
      </w:r>
      <w:r>
        <w:rPr>
          <w:rFonts w:hint="eastAsia" w:ascii="Times New Roman" w:hAnsi="Times New Roman" w:cs="Times New Roman"/>
          <w:color w:val="auto"/>
          <w:sz w:val="28"/>
          <w:szCs w:val="28"/>
          <w:highlight w:val="none"/>
          <w:shd w:val="clear"/>
        </w:rPr>
        <w:t>1152017005雷检字[202</w:t>
      </w:r>
      <w:r>
        <w:rPr>
          <w:rFonts w:hint="eastAsia" w:ascii="Times New Roman" w:hAnsi="Times New Roman" w:cs="Times New Roman"/>
          <w:color w:val="auto"/>
          <w:sz w:val="28"/>
          <w:szCs w:val="28"/>
          <w:highlight w:val="none"/>
          <w:shd w:val="clear"/>
          <w:lang w:val="en-US" w:eastAsia="zh-CN"/>
        </w:rPr>
        <w:t>5</w:t>
      </w:r>
      <w:r>
        <w:rPr>
          <w:rFonts w:hint="eastAsia" w:ascii="Times New Roman" w:hAnsi="Times New Roman" w:cs="Times New Roman"/>
          <w:color w:val="auto"/>
          <w:sz w:val="28"/>
          <w:szCs w:val="28"/>
          <w:highlight w:val="none"/>
          <w:shd w:val="clear"/>
        </w:rPr>
        <w:t>]</w:t>
      </w:r>
      <w:r>
        <w:rPr>
          <w:rFonts w:hint="eastAsia" w:ascii="Times New Roman" w:hAnsi="Times New Roman" w:cs="Times New Roman"/>
          <w:color w:val="auto"/>
          <w:sz w:val="28"/>
          <w:szCs w:val="28"/>
          <w:highlight w:val="none"/>
          <w:shd w:val="clear"/>
          <w:lang w:val="en-US" w:eastAsia="zh-CN"/>
        </w:rPr>
        <w:t>30010019</w:t>
      </w:r>
      <w:r>
        <w:rPr>
          <w:rFonts w:hint="eastAsia"/>
          <w:color w:val="auto"/>
          <w:shd w:val="clear"/>
        </w:rPr>
        <w:t>），雷电防护装置检测合格</w:t>
      </w:r>
      <w:r>
        <w:rPr>
          <w:rFonts w:hint="eastAsia"/>
          <w:color w:val="auto"/>
          <w:shd w:val="clear"/>
          <w:lang w:val="en-US" w:eastAsia="zh-CN"/>
        </w:rPr>
        <w:t>，</w:t>
      </w:r>
      <w:r>
        <w:rPr>
          <w:rFonts w:hint="eastAsia"/>
          <w:color w:val="auto"/>
          <w:shd w:val="clear"/>
        </w:rPr>
        <w:t>详见本报告附件。</w:t>
      </w:r>
    </w:p>
    <w:p w14:paraId="1E34EE42">
      <w:pPr>
        <w:numPr>
          <w:ilvl w:val="0"/>
          <w:numId w:val="0"/>
        </w:numPr>
        <w:spacing w:line="360" w:lineRule="auto"/>
        <w:ind w:left="-2" w:leftChars="0" w:firstLine="562" w:firstLineChars="0"/>
        <w:rPr>
          <w:b/>
          <w:bCs/>
          <w:color w:val="auto"/>
        </w:rPr>
      </w:pPr>
      <w:r>
        <w:rPr>
          <w:rFonts w:ascii="Times New Roman" w:hAnsi="Times New Roman" w:eastAsia="宋体" w:cs="Times New Roman"/>
          <w:b/>
          <w:bCs/>
          <w:color w:val="auto"/>
          <w:kern w:val="2"/>
          <w:sz w:val="28"/>
          <w:szCs w:val="24"/>
          <w:lang w:val="en-US" w:eastAsia="zh-CN" w:bidi="ar-SA"/>
        </w:rPr>
        <w:t>（4）</w:t>
      </w:r>
      <w:r>
        <w:rPr>
          <w:rFonts w:hint="eastAsia"/>
          <w:b/>
          <w:bCs/>
          <w:color w:val="auto"/>
        </w:rPr>
        <w:t>建设项目调试中表现出的技术、工艺和装置、设备（设施）的安全、可靠性和安全水平。</w:t>
      </w:r>
    </w:p>
    <w:p w14:paraId="6AEB5E88">
      <w:pPr>
        <w:spacing w:line="360" w:lineRule="auto"/>
        <w:ind w:firstLine="560"/>
        <w:rPr>
          <w:color w:val="auto"/>
        </w:rPr>
      </w:pPr>
      <w:r>
        <w:rPr>
          <w:rFonts w:hint="eastAsia"/>
          <w:color w:val="auto"/>
          <w:lang w:eastAsia="zh-CN"/>
        </w:rPr>
        <w:t>本项目</w:t>
      </w:r>
      <w:r>
        <w:rPr>
          <w:rFonts w:hint="eastAsia"/>
          <w:color w:val="auto"/>
        </w:rPr>
        <w:t>调试期间，技术、工艺和装置、设备（设施）调试工作进展顺利，处于正常状态。经查阅资料和分析评价，认为</w:t>
      </w:r>
      <w:r>
        <w:rPr>
          <w:rFonts w:hint="eastAsia"/>
          <w:color w:val="auto"/>
          <w:lang w:eastAsia="zh-CN"/>
        </w:rPr>
        <w:t>本项目</w:t>
      </w:r>
      <w:r>
        <w:rPr>
          <w:rFonts w:hint="eastAsia"/>
          <w:color w:val="auto"/>
        </w:rPr>
        <w:t>技术、工艺和装置、设备（设施）的安全、可靠性和安全水平符合国家相应安全标准的要求。</w:t>
      </w:r>
    </w:p>
    <w:p w14:paraId="3806E47F">
      <w:pPr>
        <w:numPr>
          <w:ilvl w:val="0"/>
          <w:numId w:val="0"/>
        </w:numPr>
        <w:spacing w:line="360" w:lineRule="auto"/>
        <w:ind w:left="-2" w:leftChars="0" w:firstLine="560" w:firstLineChars="0"/>
        <w:rPr>
          <w:color w:val="auto"/>
        </w:rPr>
      </w:pPr>
      <w:r>
        <w:rPr>
          <w:rFonts w:ascii="Times New Roman" w:hAnsi="Times New Roman" w:eastAsia="宋体" w:cs="Times New Roman"/>
          <w:color w:val="auto"/>
          <w:kern w:val="2"/>
          <w:sz w:val="28"/>
          <w:szCs w:val="24"/>
          <w:lang w:val="en-US" w:eastAsia="zh-CN" w:bidi="ar-SA"/>
        </w:rPr>
        <w:t>（5）</w:t>
      </w:r>
      <w:r>
        <w:rPr>
          <w:rFonts w:hint="eastAsia"/>
          <w:color w:val="auto"/>
        </w:rPr>
        <w:t>该加油站不涉及《中华人民共和国监控化学品管理条例》、《易制毒化学品管理条例》、《易制爆危险化学品名录》和《危险化学品目录》所列举的监控化学品、易制毒化学品、易制爆化学品和剧毒化学品。但汽油属于《重点监管的危险化学品目录》（</w:t>
      </w:r>
      <w:r>
        <w:rPr>
          <w:rFonts w:hint="eastAsia" w:ascii="Times New Roman" w:hAnsi="Times New Roman"/>
          <w:color w:val="auto"/>
        </w:rPr>
        <w:t>2013</w:t>
      </w:r>
      <w:r>
        <w:rPr>
          <w:rFonts w:hint="eastAsia"/>
          <w:color w:val="auto"/>
        </w:rPr>
        <w:t>年完整版）中要求重点监管的危险化学品，该加油站在后续的经营中应按照相关规范和要求加强对汽油的监管，同时属于《特别管控危险化学品目录》中的特别管控危险化学品，该加油站应要求油品运输单位</w:t>
      </w:r>
      <w:r>
        <w:rPr>
          <w:color w:val="auto"/>
        </w:rPr>
        <w:t>强化运输管理</w:t>
      </w:r>
      <w:r>
        <w:rPr>
          <w:rFonts w:hint="eastAsia"/>
          <w:color w:val="auto"/>
        </w:rPr>
        <w:t>、自身加强储存定</w:t>
      </w:r>
      <w:r>
        <w:rPr>
          <w:rFonts w:hint="eastAsia"/>
          <w:color w:val="auto"/>
          <w:lang w:eastAsia="zh-CN"/>
        </w:rPr>
        <w:t>制</w:t>
      </w:r>
      <w:r>
        <w:rPr>
          <w:rFonts w:hint="eastAsia"/>
          <w:color w:val="auto"/>
        </w:rPr>
        <w:t>化管理。</w:t>
      </w:r>
    </w:p>
    <w:p w14:paraId="2D0EAF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1" w:firstLineChars="0"/>
        <w:textAlignment w:val="auto"/>
        <w:rPr>
          <w:color w:val="auto"/>
        </w:rPr>
      </w:pPr>
      <w:r>
        <w:rPr>
          <w:rFonts w:ascii="Times New Roman" w:hAnsi="Times New Roman" w:eastAsia="宋体" w:cs="Times New Roman"/>
          <w:color w:val="auto"/>
          <w:kern w:val="2"/>
          <w:sz w:val="28"/>
          <w:szCs w:val="24"/>
          <w:lang w:val="en-US" w:eastAsia="zh-CN" w:bidi="ar-SA"/>
        </w:rPr>
        <w:t>（6）</w:t>
      </w:r>
      <w:r>
        <w:rPr>
          <w:rFonts w:hint="eastAsia"/>
          <w:color w:val="auto"/>
        </w:rPr>
        <w:t>该加油站经营过程中可能存在的危险有害因素为：①</w:t>
      </w:r>
      <w:r>
        <w:rPr>
          <w:color w:val="auto"/>
        </w:rPr>
        <w:t>火灾</w:t>
      </w:r>
      <w:r>
        <w:rPr>
          <w:rFonts w:hint="eastAsia"/>
          <w:color w:val="auto"/>
        </w:rPr>
        <w:t>、爆炸；②</w:t>
      </w:r>
      <w:r>
        <w:rPr>
          <w:color w:val="auto"/>
        </w:rPr>
        <w:t>中毒和窒息</w:t>
      </w:r>
      <w:r>
        <w:rPr>
          <w:rFonts w:hint="eastAsia"/>
          <w:color w:val="auto"/>
        </w:rPr>
        <w:t>；③</w:t>
      </w:r>
      <w:r>
        <w:rPr>
          <w:color w:val="auto"/>
        </w:rPr>
        <w:t>车辆伤害</w:t>
      </w:r>
      <w:r>
        <w:rPr>
          <w:rFonts w:hint="eastAsia"/>
          <w:color w:val="auto"/>
        </w:rPr>
        <w:t>；④</w:t>
      </w:r>
      <w:r>
        <w:rPr>
          <w:color w:val="auto"/>
        </w:rPr>
        <w:t>触电</w:t>
      </w:r>
      <w:r>
        <w:rPr>
          <w:rFonts w:hint="eastAsia"/>
          <w:color w:val="auto"/>
        </w:rPr>
        <w:t>；⑤高处坠落；⑥物体打击、⑦其它伤害。其中火灾、爆炸是主要的危险、有害因素，加油站埋地储罐区、加油区、卸油区是主要的危险源。</w:t>
      </w:r>
    </w:p>
    <w:p w14:paraId="5A22E040">
      <w:pPr>
        <w:numPr>
          <w:ilvl w:val="0"/>
          <w:numId w:val="0"/>
        </w:numPr>
        <w:spacing w:line="360" w:lineRule="auto"/>
        <w:ind w:left="-2" w:leftChars="0" w:firstLine="560" w:firstLineChars="0"/>
        <w:rPr>
          <w:color w:val="auto"/>
        </w:rPr>
      </w:pPr>
      <w:r>
        <w:rPr>
          <w:rFonts w:ascii="Times New Roman" w:hAnsi="Times New Roman" w:eastAsia="宋体" w:cs="Times New Roman"/>
          <w:color w:val="auto"/>
          <w:kern w:val="2"/>
          <w:sz w:val="28"/>
          <w:szCs w:val="24"/>
          <w:lang w:val="en-US" w:eastAsia="zh-CN" w:bidi="ar-SA"/>
        </w:rPr>
        <w:t>（7）</w:t>
      </w:r>
      <w:r>
        <w:rPr>
          <w:rFonts w:hint="eastAsia"/>
          <w:color w:val="auto"/>
        </w:rPr>
        <w:t>该加油站的生产工艺不属于《重点监管危险化工工艺目录》（</w:t>
      </w:r>
      <w:r>
        <w:rPr>
          <w:rFonts w:ascii="Times New Roman" w:hAnsi="Times New Roman"/>
          <w:color w:val="auto"/>
        </w:rPr>
        <w:t>2013</w:t>
      </w:r>
      <w:r>
        <w:rPr>
          <w:rFonts w:hint="eastAsia"/>
          <w:color w:val="auto"/>
        </w:rPr>
        <w:t>完整版）中所列的重点监管危险工艺。</w:t>
      </w:r>
    </w:p>
    <w:p w14:paraId="7C110C3E">
      <w:pPr>
        <w:numPr>
          <w:ilvl w:val="0"/>
          <w:numId w:val="0"/>
        </w:numPr>
        <w:spacing w:line="360" w:lineRule="auto"/>
        <w:ind w:left="-2" w:leftChars="0" w:firstLine="560" w:firstLineChars="0"/>
        <w:rPr>
          <w:color w:val="auto"/>
        </w:rPr>
      </w:pPr>
      <w:r>
        <w:rPr>
          <w:rFonts w:ascii="Times New Roman" w:hAnsi="Times New Roman" w:eastAsia="宋体" w:cs="Times New Roman"/>
          <w:color w:val="auto"/>
          <w:kern w:val="2"/>
          <w:sz w:val="28"/>
          <w:szCs w:val="24"/>
          <w:lang w:val="en-US" w:eastAsia="zh-CN" w:bidi="ar-SA"/>
        </w:rPr>
        <w:t>（8）</w:t>
      </w:r>
      <w:r>
        <w:rPr>
          <w:rFonts w:hint="eastAsia"/>
          <w:color w:val="auto"/>
        </w:rPr>
        <w:t>该加油站生产单元和储存单元综合未构成危险化学品重大危险源。</w:t>
      </w:r>
    </w:p>
    <w:p w14:paraId="2060A030">
      <w:pPr>
        <w:numPr>
          <w:ilvl w:val="0"/>
          <w:numId w:val="0"/>
        </w:numPr>
        <w:spacing w:line="360" w:lineRule="auto"/>
        <w:ind w:left="-2" w:leftChars="0" w:firstLine="560" w:firstLineChars="0"/>
        <w:rPr>
          <w:color w:val="auto"/>
        </w:rPr>
      </w:pPr>
      <w:r>
        <w:rPr>
          <w:rFonts w:ascii="Times New Roman" w:hAnsi="Times New Roman" w:eastAsia="宋体" w:cs="Times New Roman"/>
          <w:color w:val="auto"/>
          <w:kern w:val="2"/>
          <w:sz w:val="28"/>
          <w:szCs w:val="24"/>
          <w:lang w:val="en-US" w:eastAsia="zh-CN" w:bidi="ar-SA"/>
        </w:rPr>
        <w:t>（9）</w:t>
      </w:r>
      <w:r>
        <w:rPr>
          <w:rFonts w:hint="eastAsia"/>
          <w:color w:val="auto"/>
        </w:rPr>
        <w:t>采用安全检查表对该加油站设置了以下检查表：《站址选择安全检查表》、《总平面布置安全检查表》、《加油工艺及设施安全检查表》、《消防设施和给排水安全检查表》、《电气与报警和紧急切断系统安全检查表》、《重大生产安全事故隐患判定检查表》。评价组经过安全检查评价，共发现</w:t>
      </w:r>
      <w:r>
        <w:rPr>
          <w:rFonts w:hint="eastAsia"/>
          <w:color w:val="auto"/>
          <w:lang w:val="en-US" w:eastAsia="zh-CN"/>
        </w:rPr>
        <w:t>1</w:t>
      </w:r>
      <w:r>
        <w:rPr>
          <w:rFonts w:hint="eastAsia"/>
          <w:color w:val="auto"/>
        </w:rPr>
        <w:t>个不符合项，</w:t>
      </w:r>
      <w:r>
        <w:rPr>
          <w:rFonts w:hint="eastAsia" w:ascii="宋体" w:hAnsi="宋体" w:cs="宋体"/>
          <w:color w:val="auto"/>
          <w:szCs w:val="28"/>
        </w:rPr>
        <w:t>该加油站已全部整改完毕，整改完成后，</w:t>
      </w:r>
      <w:r>
        <w:rPr>
          <w:rFonts w:hint="eastAsia"/>
          <w:color w:val="auto"/>
        </w:rPr>
        <w:t>该加油站建设项目的站址选择、总平面布置、加油工艺及设施、消防设施和给排水、电气与报警和紧急切断系统等均能够满足《汽车加油加气加氢站技术标准》（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）及其相关规范中的安全要求，该加油站不存在重大生产安全事故隐患。</w:t>
      </w:r>
    </w:p>
    <w:p w14:paraId="106C52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 w:leftChars="0" w:firstLine="560" w:firstLineChars="0"/>
        <w:textAlignment w:val="auto"/>
        <w:rPr>
          <w:rFonts w:hint="eastAsia" w:eastAsia="宋体"/>
          <w:color w:val="auto"/>
          <w:lang w:eastAsia="zh-CN"/>
        </w:rPr>
      </w:pPr>
      <w:r>
        <w:rPr>
          <w:rFonts w:ascii="Times New Roman" w:hAnsi="Times New Roman" w:eastAsia="宋体" w:cs="Times New Roman"/>
          <w:color w:val="auto"/>
          <w:kern w:val="2"/>
          <w:sz w:val="28"/>
          <w:szCs w:val="24"/>
          <w:lang w:val="en-US" w:eastAsia="zh-CN" w:bidi="ar-SA"/>
        </w:rPr>
        <w:t>（10）</w:t>
      </w:r>
      <w:r>
        <w:rPr>
          <w:rFonts w:hint="eastAsia"/>
          <w:color w:val="auto"/>
        </w:rPr>
        <w:t>根据作业条件分析评价可知，该加油站加油作业单元火灾爆炸风险为“显著危险，需要整改”等级，表明该加油站需要引起足够的重视，应采取措施，降低安全风险，该加油站已采取了措施防范事故发生。其他作业单元的风险等级为“可能危险，需要注意”或“稍有危险，可以接受”，因此，企业</w:t>
      </w:r>
      <w:r>
        <w:rPr>
          <w:rFonts w:hint="eastAsia"/>
          <w:color w:val="auto"/>
          <w:lang w:eastAsia="zh-CN"/>
        </w:rPr>
        <w:t>必须</w:t>
      </w:r>
      <w:r>
        <w:rPr>
          <w:rFonts w:hint="eastAsia"/>
          <w:color w:val="auto"/>
        </w:rPr>
        <w:t>加强对生产过程中的安全管理，遵守安全操作规程，分主次认真做好作业场所管理、设备安全检修及人员的安全教育培训工作，并做好事故应急预案的演练，提高从业人员应急处置能力</w:t>
      </w:r>
      <w:r>
        <w:rPr>
          <w:rFonts w:hint="eastAsia"/>
          <w:color w:val="auto"/>
          <w:lang w:eastAsia="zh-CN"/>
        </w:rPr>
        <w:t>。</w:t>
      </w:r>
    </w:p>
    <w:p w14:paraId="05B950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 w:leftChars="0" w:firstLine="560" w:firstLineChars="0"/>
        <w:textAlignment w:val="auto"/>
        <w:rPr>
          <w:rFonts w:hint="eastAsia"/>
          <w:color w:val="auto"/>
        </w:rPr>
      </w:pPr>
      <w:r>
        <w:rPr>
          <w:rFonts w:ascii="Times New Roman" w:hAnsi="Times New Roman" w:eastAsia="宋体" w:cs="Times New Roman"/>
          <w:color w:val="auto"/>
          <w:kern w:val="2"/>
          <w:sz w:val="28"/>
          <w:szCs w:val="24"/>
          <w:lang w:val="en-US" w:eastAsia="zh-CN" w:bidi="ar-SA"/>
        </w:rPr>
        <w:t>（1</w:t>
      </w:r>
      <w:r>
        <w:rPr>
          <w:rFonts w:hint="eastAsia" w:cs="Times New Roman"/>
          <w:color w:val="auto"/>
          <w:kern w:val="2"/>
          <w:sz w:val="28"/>
          <w:szCs w:val="24"/>
          <w:lang w:val="en-US" w:eastAsia="zh-CN" w:bidi="ar-SA"/>
        </w:rPr>
        <w:t>1</w:t>
      </w:r>
      <w:r>
        <w:rPr>
          <w:rFonts w:ascii="Times New Roman" w:hAnsi="Times New Roman" w:eastAsia="宋体" w:cs="Times New Roman"/>
          <w:color w:val="auto"/>
          <w:kern w:val="2"/>
          <w:sz w:val="28"/>
          <w:szCs w:val="24"/>
          <w:lang w:val="en-US" w:eastAsia="zh-CN" w:bidi="ar-SA"/>
        </w:rPr>
        <w:t>）</w:t>
      </w:r>
      <w:r>
        <w:rPr>
          <w:rFonts w:hint="eastAsia"/>
          <w:color w:val="auto"/>
        </w:rPr>
        <w:t>该加油站具备《危险化学品经营许可证管理办法》（原国家安全监督管理总局令第</w:t>
      </w:r>
      <w:r>
        <w:rPr>
          <w:rFonts w:hint="eastAsia" w:ascii="Times New Roman" w:hAnsi="Times New Roman"/>
          <w:color w:val="auto"/>
        </w:rPr>
        <w:t>55</w:t>
      </w:r>
      <w:r>
        <w:rPr>
          <w:rFonts w:hint="eastAsia"/>
          <w:color w:val="auto"/>
        </w:rPr>
        <w:t>号，第</w:t>
      </w:r>
      <w:r>
        <w:rPr>
          <w:rFonts w:hint="eastAsia" w:ascii="Times New Roman" w:hAnsi="Times New Roman"/>
          <w:color w:val="auto"/>
        </w:rPr>
        <w:t>79</w:t>
      </w:r>
      <w:r>
        <w:rPr>
          <w:rFonts w:hint="eastAsia"/>
          <w:color w:val="auto"/>
        </w:rPr>
        <w:t>号修改）第六条申请经营许可证的条件。</w:t>
      </w:r>
    </w:p>
    <w:p w14:paraId="0621DCBE">
      <w:pPr>
        <w:keepNext w:val="0"/>
        <w:keepLines w:val="0"/>
        <w:pageBreakBefore w:val="0"/>
        <w:kinsoku/>
        <w:wordWrap/>
        <w:overflowPunct/>
        <w:topLinePunct w:val="0"/>
        <w:autoSpaceDE/>
        <w:autoSpaceDN/>
        <w:bidi w:val="0"/>
        <w:adjustRightInd/>
        <w:snapToGrid/>
        <w:spacing w:line="360" w:lineRule="auto"/>
        <w:textAlignment w:val="auto"/>
        <w:rPr>
          <w:b/>
          <w:bCs/>
          <w:color w:val="auto"/>
        </w:rPr>
      </w:pPr>
      <w:r>
        <w:rPr>
          <w:rFonts w:hint="eastAsia"/>
          <w:b/>
          <w:bCs/>
          <w:color w:val="auto"/>
        </w:rPr>
        <w:t>总体评价结论：</w:t>
      </w:r>
      <w:r>
        <w:rPr>
          <w:rFonts w:hint="eastAsia"/>
          <w:b/>
          <w:bCs/>
          <w:color w:val="auto"/>
          <w:lang w:val="en-US" w:eastAsia="zh-CN"/>
        </w:rPr>
        <w:t>中国石化销售股份有限公司江西宜春铜鼓县城加油站单罐单线改造项目安全设施</w:t>
      </w:r>
      <w:r>
        <w:rPr>
          <w:rFonts w:hint="eastAsia"/>
          <w:b/>
          <w:bCs/>
          <w:color w:val="auto"/>
        </w:rPr>
        <w:t>，</w:t>
      </w:r>
      <w:r>
        <w:rPr>
          <w:b/>
          <w:bCs/>
          <w:color w:val="auto"/>
        </w:rPr>
        <w:t>能与主体工程同时设计、同时施工、同时投入生产和使用，符合国家有关安全生产的法律法规和标准规范</w:t>
      </w:r>
      <w:r>
        <w:rPr>
          <w:rFonts w:hint="eastAsia"/>
          <w:b/>
          <w:bCs/>
          <w:color w:val="auto"/>
        </w:rPr>
        <w:t>，其</w:t>
      </w:r>
      <w:r>
        <w:rPr>
          <w:b/>
          <w:bCs/>
          <w:color w:val="auto"/>
        </w:rPr>
        <w:t>安全生产条件</w:t>
      </w:r>
      <w:r>
        <w:rPr>
          <w:rFonts w:hint="eastAsia"/>
          <w:b/>
          <w:bCs/>
          <w:color w:val="auto"/>
        </w:rPr>
        <w:t>符合《危险化学品建设项目安全监督管理办法》（国家安全生产监督管理总局令第</w:t>
      </w:r>
      <w:r>
        <w:rPr>
          <w:rFonts w:ascii="Times New Roman" w:hAnsi="Times New Roman"/>
          <w:b/>
          <w:bCs/>
          <w:color w:val="auto"/>
        </w:rPr>
        <w:t>45</w:t>
      </w:r>
      <w:r>
        <w:rPr>
          <w:rFonts w:hint="eastAsia"/>
          <w:b/>
          <w:bCs/>
          <w:color w:val="auto"/>
        </w:rPr>
        <w:t>号）、《江西省应急管理厅关于印发&lt;江西省危险化学品建设项目安全监督管理实施细则&gt;（试行）的通知》（赣应急字〔</w:t>
      </w:r>
      <w:r>
        <w:rPr>
          <w:rFonts w:hint="eastAsia" w:ascii="Times New Roman" w:hAnsi="Times New Roman"/>
          <w:b/>
          <w:bCs/>
          <w:color w:val="auto"/>
        </w:rPr>
        <w:t>2021</w:t>
      </w:r>
      <w:r>
        <w:rPr>
          <w:rFonts w:hint="eastAsia"/>
          <w:b/>
          <w:bCs/>
          <w:color w:val="auto"/>
        </w:rPr>
        <w:t>〕</w:t>
      </w:r>
      <w:r>
        <w:rPr>
          <w:rFonts w:hint="eastAsia" w:ascii="Times New Roman" w:hAnsi="Times New Roman"/>
          <w:b/>
          <w:bCs/>
          <w:color w:val="auto"/>
        </w:rPr>
        <w:t>100</w:t>
      </w:r>
      <w:r>
        <w:rPr>
          <w:rFonts w:hint="eastAsia"/>
          <w:b/>
          <w:bCs/>
          <w:color w:val="auto"/>
        </w:rPr>
        <w:t>号）</w:t>
      </w:r>
      <w:r>
        <w:rPr>
          <w:rFonts w:hint="eastAsia" w:ascii="宋体" w:hAnsi="宋体"/>
          <w:b/>
          <w:bCs/>
          <w:color w:val="auto"/>
          <w:szCs w:val="28"/>
        </w:rPr>
        <w:t>等相关要求，具备安全验收</w:t>
      </w:r>
      <w:r>
        <w:rPr>
          <w:rFonts w:ascii="宋体" w:hAnsi="宋体"/>
          <w:b/>
          <w:bCs/>
          <w:color w:val="auto"/>
          <w:szCs w:val="28"/>
        </w:rPr>
        <w:t>的</w:t>
      </w:r>
      <w:r>
        <w:rPr>
          <w:rFonts w:hint="eastAsia" w:ascii="宋体" w:hAnsi="宋体"/>
          <w:b/>
          <w:bCs/>
          <w:color w:val="auto"/>
          <w:szCs w:val="28"/>
        </w:rPr>
        <w:t>条件</w:t>
      </w:r>
      <w:r>
        <w:rPr>
          <w:rFonts w:hint="eastAsia"/>
          <w:b/>
          <w:bCs/>
          <w:color w:val="auto"/>
        </w:rPr>
        <w:t>。</w:t>
      </w:r>
    </w:p>
    <w:p w14:paraId="27A10B1A">
      <w:pPr>
        <w:pStyle w:val="37"/>
        <w:ind w:firstLine="360"/>
        <w:rPr>
          <w:color w:val="auto"/>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0" w:charSpace="0"/>
        </w:sectPr>
      </w:pPr>
    </w:p>
    <w:bookmarkEnd w:id="440"/>
    <w:p w14:paraId="4454F835">
      <w:pPr>
        <w:pStyle w:val="3"/>
        <w:numPr>
          <w:ilvl w:val="0"/>
          <w:numId w:val="15"/>
        </w:numPr>
        <w:snapToGrid w:val="0"/>
        <w:spacing w:line="360" w:lineRule="auto"/>
        <w:rPr>
          <w:rFonts w:hint="eastAsia"/>
          <w:color w:val="auto"/>
        </w:rPr>
      </w:pPr>
      <w:bookmarkStart w:id="512" w:name="_Toc7970"/>
      <w:bookmarkStart w:id="513" w:name="_Toc22421"/>
      <w:bookmarkStart w:id="514" w:name="_Toc28009"/>
      <w:bookmarkStart w:id="515" w:name="_Toc8042"/>
      <w:bookmarkStart w:id="516" w:name="_Toc29860"/>
      <w:bookmarkStart w:id="517" w:name="_Toc213658079"/>
      <w:bookmarkStart w:id="518" w:name="_Toc24635"/>
      <w:bookmarkStart w:id="519" w:name="_Toc5418"/>
      <w:bookmarkStart w:id="520" w:name="_Toc26091"/>
      <w:r>
        <w:rPr>
          <w:rFonts w:hint="eastAsia"/>
          <w:color w:val="auto"/>
        </w:rPr>
        <w:t>与建设单位交换意见的情况结果</w:t>
      </w:r>
      <w:bookmarkEnd w:id="512"/>
      <w:bookmarkEnd w:id="513"/>
      <w:bookmarkEnd w:id="514"/>
      <w:bookmarkEnd w:id="515"/>
      <w:bookmarkEnd w:id="516"/>
      <w:bookmarkEnd w:id="517"/>
      <w:bookmarkEnd w:id="518"/>
      <w:bookmarkEnd w:id="519"/>
      <w:bookmarkEnd w:id="520"/>
    </w:p>
    <w:p w14:paraId="73E2A2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 w:leftChars="0" w:firstLine="560" w:firstLineChars="0"/>
        <w:textAlignment w:val="auto"/>
        <w:rPr>
          <w:rFonts w:hint="eastAsia"/>
          <w:color w:val="auto"/>
        </w:rPr>
      </w:pPr>
      <w:r>
        <w:rPr>
          <w:rFonts w:hint="eastAsia"/>
          <w:color w:val="auto"/>
        </w:rPr>
        <w:t>在对</w:t>
      </w:r>
      <w:r>
        <w:rPr>
          <w:rFonts w:hint="eastAsia"/>
          <w:color w:val="auto"/>
          <w:lang w:val="en-US" w:eastAsia="zh-CN"/>
        </w:rPr>
        <w:t>中国石化销售股份有限公司江西宜春铜鼓县城加油站单罐单线改造项目</w:t>
      </w:r>
      <w:r>
        <w:rPr>
          <w:rFonts w:hint="eastAsia"/>
          <w:color w:val="auto"/>
        </w:rPr>
        <w:t>安全设施竣工验收评价过程中，评价组对各个阶段存在的或遇到的问题及时与企业进行了沟通和交流，在充分沟通和交流后，双方意见统一。</w:t>
      </w:r>
    </w:p>
    <w:p w14:paraId="08B160F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 w:leftChars="0" w:firstLine="560" w:firstLineChars="0"/>
        <w:textAlignment w:val="auto"/>
        <w:rPr>
          <w:rFonts w:hint="eastAsia" w:eastAsia="宋体"/>
          <w:color w:val="auto"/>
          <w:lang w:val="en-US" w:eastAsia="zh-CN"/>
        </w:rPr>
        <w:sectPr>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312" w:charSpace="0"/>
        </w:sectPr>
      </w:pPr>
      <w:r>
        <w:rPr>
          <w:rFonts w:hint="eastAsia"/>
          <w:color w:val="auto"/>
        </w:rPr>
        <w:t>依据国家相关规定要求，评价组现场考察时针对加油站实际情况提出了</w:t>
      </w:r>
      <w:r>
        <w:rPr>
          <w:rFonts w:hint="eastAsia"/>
          <w:color w:val="auto"/>
          <w:lang w:val="en-US" w:eastAsia="zh-CN"/>
        </w:rPr>
        <w:t>1</w:t>
      </w:r>
      <w:r>
        <w:rPr>
          <w:rFonts w:hint="eastAsia"/>
          <w:color w:val="auto"/>
        </w:rPr>
        <w:t>项不符合项，并给出了相应的整改对策措施，企业对提出的不符合项及整改措施均未提出异议，并进行了整改</w:t>
      </w:r>
      <w:r>
        <w:rPr>
          <w:rFonts w:hint="eastAsia"/>
          <w:color w:val="auto"/>
          <w:lang w:eastAsia="zh-CN"/>
        </w:rPr>
        <w:t>。</w:t>
      </w:r>
    </w:p>
    <w:p w14:paraId="5295AF5D">
      <w:pPr>
        <w:pStyle w:val="3"/>
        <w:spacing w:before="120" w:beforeLines="50" w:after="120" w:afterLines="50" w:line="360" w:lineRule="auto"/>
        <w:rPr>
          <w:color w:val="auto"/>
        </w:rPr>
      </w:pPr>
      <w:bookmarkStart w:id="521" w:name="_Toc26960"/>
      <w:bookmarkStart w:id="522" w:name="_Toc5729"/>
      <w:bookmarkStart w:id="523" w:name="_Toc22455"/>
      <w:bookmarkStart w:id="524" w:name="_Toc207511308"/>
      <w:bookmarkStart w:id="525" w:name="_Toc23297"/>
      <w:bookmarkStart w:id="526" w:name="_Toc7361"/>
      <w:bookmarkStart w:id="527" w:name="_Toc18312"/>
      <w:bookmarkStart w:id="528" w:name="_Toc3734"/>
      <w:bookmarkStart w:id="529" w:name="_Toc25080"/>
      <w:r>
        <w:rPr>
          <w:rFonts w:hint="eastAsia"/>
          <w:color w:val="auto"/>
        </w:rPr>
        <w:t>附件一：安全评价过程制作的图表</w:t>
      </w:r>
      <w:bookmarkEnd w:id="521"/>
      <w:bookmarkEnd w:id="522"/>
      <w:bookmarkEnd w:id="523"/>
      <w:bookmarkEnd w:id="524"/>
      <w:bookmarkEnd w:id="525"/>
      <w:bookmarkEnd w:id="526"/>
      <w:bookmarkEnd w:id="527"/>
      <w:bookmarkEnd w:id="528"/>
      <w:bookmarkEnd w:id="529"/>
    </w:p>
    <w:p w14:paraId="5263C090">
      <w:pPr>
        <w:pStyle w:val="4"/>
        <w:spacing w:line="360" w:lineRule="auto"/>
        <w:jc w:val="both"/>
        <w:rPr>
          <w:rFonts w:hint="default" w:ascii="Times New Roman" w:hAnsi="Times New Roman" w:cs="Times New Roman"/>
          <w:color w:val="auto"/>
        </w:rPr>
      </w:pPr>
      <w:bookmarkStart w:id="530" w:name="_Toc7180"/>
      <w:bookmarkStart w:id="531" w:name="_Toc207511309"/>
      <w:bookmarkStart w:id="532" w:name="_Toc30526"/>
      <w:bookmarkStart w:id="533" w:name="_Toc12829"/>
      <w:bookmarkStart w:id="534" w:name="_Toc22440"/>
      <w:r>
        <w:rPr>
          <w:rFonts w:hint="default" w:ascii="Times New Roman" w:hAnsi="Times New Roman" w:cs="Times New Roman"/>
          <w:color w:val="auto"/>
        </w:rPr>
        <w:t>F1.1总平面布置图</w:t>
      </w:r>
      <w:bookmarkEnd w:id="530"/>
      <w:bookmarkEnd w:id="531"/>
      <w:bookmarkEnd w:id="532"/>
      <w:bookmarkEnd w:id="533"/>
      <w:bookmarkEnd w:id="534"/>
    </w:p>
    <w:p w14:paraId="66A63429">
      <w:pPr>
        <w:spacing w:line="360" w:lineRule="auto"/>
        <w:ind w:firstLine="537" w:firstLineChars="192"/>
        <w:rPr>
          <w:rFonts w:hint="default" w:ascii="Times New Roman" w:hAnsi="Times New Roman" w:cs="Times New Roman"/>
          <w:color w:val="auto"/>
          <w:szCs w:val="28"/>
        </w:rPr>
      </w:pPr>
      <w:r>
        <w:rPr>
          <w:rFonts w:hint="default" w:ascii="Times New Roman" w:hAnsi="Times New Roman" w:cs="Times New Roman"/>
          <w:color w:val="auto"/>
          <w:szCs w:val="28"/>
        </w:rPr>
        <w:t>见报告后附图。</w:t>
      </w:r>
    </w:p>
    <w:p w14:paraId="0D299B50">
      <w:pPr>
        <w:pStyle w:val="4"/>
        <w:spacing w:line="360" w:lineRule="auto"/>
        <w:jc w:val="both"/>
        <w:rPr>
          <w:rFonts w:hint="default" w:ascii="Times New Roman" w:hAnsi="Times New Roman" w:cs="Times New Roman"/>
          <w:color w:val="auto"/>
        </w:rPr>
      </w:pPr>
      <w:bookmarkStart w:id="535" w:name="_Toc31601"/>
      <w:bookmarkStart w:id="536" w:name="_Toc12187"/>
      <w:bookmarkStart w:id="537" w:name="_Toc1020"/>
      <w:bookmarkStart w:id="538" w:name="_Toc16412"/>
      <w:bookmarkStart w:id="539" w:name="_Toc27964"/>
      <w:bookmarkStart w:id="540" w:name="_Toc11316"/>
      <w:bookmarkStart w:id="541" w:name="_Toc134"/>
      <w:bookmarkStart w:id="542" w:name="_Toc32246"/>
      <w:r>
        <w:rPr>
          <w:rFonts w:hint="default" w:ascii="Times New Roman" w:hAnsi="Times New Roman" w:cs="Times New Roman"/>
          <w:color w:val="auto"/>
        </w:rPr>
        <w:t>F1.</w:t>
      </w:r>
      <w:r>
        <w:rPr>
          <w:rFonts w:hint="default" w:ascii="Times New Roman" w:hAnsi="Times New Roman" w:cs="Times New Roman"/>
          <w:color w:val="auto"/>
          <w:lang w:val="en-US" w:eastAsia="zh-CN"/>
        </w:rPr>
        <w:t xml:space="preserve">2 </w:t>
      </w:r>
      <w:r>
        <w:rPr>
          <w:rFonts w:hint="default" w:ascii="Times New Roman" w:hAnsi="Times New Roman" w:cs="Times New Roman"/>
          <w:color w:val="auto"/>
        </w:rPr>
        <w:t>安全评价程序框图</w:t>
      </w:r>
      <w:bookmarkEnd w:id="535"/>
      <w:bookmarkEnd w:id="536"/>
      <w:bookmarkEnd w:id="537"/>
      <w:bookmarkEnd w:id="538"/>
      <w:bookmarkEnd w:id="539"/>
      <w:bookmarkEnd w:id="540"/>
      <w:bookmarkEnd w:id="541"/>
      <w:bookmarkEnd w:id="542"/>
    </w:p>
    <w:p w14:paraId="7D51132E">
      <w:pPr>
        <w:spacing w:line="240" w:lineRule="auto"/>
        <w:ind w:firstLine="0" w:firstLineChars="0"/>
        <w:jc w:val="center"/>
        <w:rPr>
          <w:rFonts w:hint="default" w:ascii="Times New Roman" w:hAnsi="Times New Roman" w:cs="Times New Roman"/>
          <w:color w:val="auto"/>
          <w:szCs w:val="28"/>
        </w:rPr>
      </w:pPr>
      <w:r>
        <w:rPr>
          <w:rFonts w:hint="default" w:ascii="Times New Roman" w:hAnsi="Times New Roman" w:cs="Times New Roman"/>
          <w:color w:val="auto"/>
          <w:szCs w:val="28"/>
        </w:rPr>
        <mc:AlternateContent>
          <mc:Choice Requires="wpg">
            <w:drawing>
              <wp:inline distT="0" distB="0" distL="114300" distR="114300">
                <wp:extent cx="1828800" cy="4837430"/>
                <wp:effectExtent l="4445" t="4445" r="10795" b="19685"/>
                <wp:docPr id="79" name="组合 25"/>
                <wp:cNvGraphicFramePr/>
                <a:graphic xmlns:a="http://schemas.openxmlformats.org/drawingml/2006/main">
                  <a:graphicData uri="http://schemas.microsoft.com/office/word/2010/wordprocessingGroup">
                    <wpg:wgp>
                      <wpg:cNvGrpSpPr>
                        <a:grpSpLocks noRot="1"/>
                      </wpg:cNvGrpSpPr>
                      <wpg:grpSpPr>
                        <a:xfrm>
                          <a:off x="0" y="0"/>
                          <a:ext cx="1828800" cy="4837430"/>
                          <a:chOff x="4487" y="3786"/>
                          <a:chExt cx="2880" cy="8112"/>
                        </a:xfrm>
                      </wpg:grpSpPr>
                      <wpg:grpSp>
                        <wpg:cNvPr id="59" name="组合 26"/>
                        <wpg:cNvGrpSpPr/>
                        <wpg:grpSpPr>
                          <a:xfrm>
                            <a:off x="4487" y="3786"/>
                            <a:ext cx="2880" cy="1092"/>
                            <a:chOff x="4487" y="3786"/>
                            <a:chExt cx="2880" cy="1092"/>
                          </a:xfrm>
                        </wpg:grpSpPr>
                        <wps:wsp>
                          <wps:cNvPr id="57" name="矩形 27"/>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E98868">
                                <w:pPr>
                                  <w:spacing w:line="320" w:lineRule="exact"/>
                                  <w:ind w:firstLine="0" w:firstLineChars="0"/>
                                  <w:jc w:val="center"/>
                                  <w:rPr>
                                    <w:sz w:val="21"/>
                                    <w:szCs w:val="21"/>
                                  </w:rPr>
                                </w:pPr>
                                <w:r>
                                  <w:rPr>
                                    <w:rFonts w:hint="eastAsia"/>
                                    <w:sz w:val="21"/>
                                    <w:szCs w:val="21"/>
                                  </w:rPr>
                                  <w:t>前期准备</w:t>
                                </w:r>
                              </w:p>
                            </w:txbxContent>
                          </wps:txbx>
                          <wps:bodyPr wrap="square" upright="1"/>
                        </wps:wsp>
                        <wps:wsp>
                          <wps:cNvPr id="58" name="直线 28"/>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62" name="组合 29"/>
                        <wpg:cNvGrpSpPr/>
                        <wpg:grpSpPr>
                          <a:xfrm>
                            <a:off x="4487" y="4878"/>
                            <a:ext cx="2880" cy="1092"/>
                            <a:chOff x="4487" y="3786"/>
                            <a:chExt cx="2880" cy="1092"/>
                          </a:xfrm>
                        </wpg:grpSpPr>
                        <wps:wsp>
                          <wps:cNvPr id="60" name="矩形 30"/>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4B7064">
                                <w:pPr>
                                  <w:spacing w:line="320" w:lineRule="exact"/>
                                  <w:ind w:firstLine="0" w:firstLineChars="0"/>
                                  <w:jc w:val="center"/>
                                  <w:rPr>
                                    <w:sz w:val="21"/>
                                    <w:szCs w:val="21"/>
                                  </w:rPr>
                                </w:pPr>
                                <w:r>
                                  <w:rPr>
                                    <w:rFonts w:hint="eastAsia"/>
                                    <w:sz w:val="21"/>
                                    <w:szCs w:val="21"/>
                                  </w:rPr>
                                  <w:t>辨识与分析危险、有害因素</w:t>
                                </w:r>
                              </w:p>
                            </w:txbxContent>
                          </wps:txbx>
                          <wps:bodyPr wrap="square" upright="1"/>
                        </wps:wsp>
                        <wps:wsp>
                          <wps:cNvPr id="61" name="直线 31"/>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65" name="组合 32"/>
                        <wpg:cNvGrpSpPr/>
                        <wpg:grpSpPr>
                          <a:xfrm>
                            <a:off x="4487" y="5970"/>
                            <a:ext cx="2880" cy="1092"/>
                            <a:chOff x="4487" y="3786"/>
                            <a:chExt cx="2880" cy="1092"/>
                          </a:xfrm>
                        </wpg:grpSpPr>
                        <wps:wsp>
                          <wps:cNvPr id="63" name="矩形 33"/>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501DF4">
                                <w:pPr>
                                  <w:spacing w:line="320" w:lineRule="exact"/>
                                  <w:ind w:firstLine="0" w:firstLineChars="0"/>
                                  <w:jc w:val="center"/>
                                  <w:rPr>
                                    <w:sz w:val="21"/>
                                    <w:szCs w:val="21"/>
                                  </w:rPr>
                                </w:pPr>
                                <w:r>
                                  <w:rPr>
                                    <w:rFonts w:hint="eastAsia"/>
                                    <w:sz w:val="21"/>
                                    <w:szCs w:val="21"/>
                                  </w:rPr>
                                  <w:t>划分评价单元</w:t>
                                </w:r>
                              </w:p>
                            </w:txbxContent>
                          </wps:txbx>
                          <wps:bodyPr wrap="square" upright="1"/>
                        </wps:wsp>
                        <wps:wsp>
                          <wps:cNvPr id="64" name="直线 34"/>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68" name="组合 35"/>
                        <wpg:cNvGrpSpPr/>
                        <wpg:grpSpPr>
                          <a:xfrm>
                            <a:off x="4487" y="7062"/>
                            <a:ext cx="2880" cy="1092"/>
                            <a:chOff x="4487" y="3786"/>
                            <a:chExt cx="2880" cy="1092"/>
                          </a:xfrm>
                        </wpg:grpSpPr>
                        <wps:wsp>
                          <wps:cNvPr id="66" name="矩形 36"/>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4E30181">
                                <w:pPr>
                                  <w:spacing w:line="320" w:lineRule="exact"/>
                                  <w:ind w:firstLine="0" w:firstLineChars="0"/>
                                  <w:jc w:val="center"/>
                                  <w:rPr>
                                    <w:sz w:val="21"/>
                                    <w:szCs w:val="21"/>
                                  </w:rPr>
                                </w:pPr>
                                <w:r>
                                  <w:rPr>
                                    <w:rFonts w:hint="eastAsia"/>
                                    <w:sz w:val="21"/>
                                    <w:szCs w:val="21"/>
                                  </w:rPr>
                                  <w:t>选择评价方法</w:t>
                                </w:r>
                              </w:p>
                            </w:txbxContent>
                          </wps:txbx>
                          <wps:bodyPr wrap="square" upright="1"/>
                        </wps:wsp>
                        <wps:wsp>
                          <wps:cNvPr id="67" name="直线 37"/>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71" name="组合 38"/>
                        <wpg:cNvGrpSpPr/>
                        <wpg:grpSpPr>
                          <a:xfrm>
                            <a:off x="4487" y="8154"/>
                            <a:ext cx="2880" cy="1092"/>
                            <a:chOff x="4487" y="3786"/>
                            <a:chExt cx="2880" cy="1092"/>
                          </a:xfrm>
                        </wpg:grpSpPr>
                        <wps:wsp>
                          <wps:cNvPr id="69" name="矩形 39"/>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3A5FEE">
                                <w:pPr>
                                  <w:spacing w:line="320" w:lineRule="exact"/>
                                  <w:ind w:firstLine="0" w:firstLineChars="0"/>
                                  <w:jc w:val="center"/>
                                  <w:rPr>
                                    <w:sz w:val="21"/>
                                    <w:szCs w:val="21"/>
                                  </w:rPr>
                                </w:pPr>
                                <w:r>
                                  <w:rPr>
                                    <w:rFonts w:hint="eastAsia"/>
                                    <w:sz w:val="21"/>
                                    <w:szCs w:val="21"/>
                                  </w:rPr>
                                  <w:t>定性、定量评价</w:t>
                                </w:r>
                              </w:p>
                            </w:txbxContent>
                          </wps:txbx>
                          <wps:bodyPr wrap="square" upright="1"/>
                        </wps:wsp>
                        <wps:wsp>
                          <wps:cNvPr id="70" name="直线 40"/>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74" name="组合 41"/>
                        <wpg:cNvGrpSpPr/>
                        <wpg:grpSpPr>
                          <a:xfrm>
                            <a:off x="4487" y="9246"/>
                            <a:ext cx="2880" cy="1092"/>
                            <a:chOff x="4487" y="3786"/>
                            <a:chExt cx="2880" cy="1092"/>
                          </a:xfrm>
                        </wpg:grpSpPr>
                        <wps:wsp>
                          <wps:cNvPr id="72" name="矩形 42"/>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1BD541">
                                <w:pPr>
                                  <w:spacing w:line="320" w:lineRule="exact"/>
                                  <w:ind w:firstLine="0" w:firstLineChars="0"/>
                                  <w:jc w:val="center"/>
                                  <w:rPr>
                                    <w:sz w:val="21"/>
                                    <w:szCs w:val="21"/>
                                  </w:rPr>
                                </w:pPr>
                                <w:r>
                                  <w:rPr>
                                    <w:rFonts w:hint="eastAsia"/>
                                    <w:sz w:val="21"/>
                                    <w:szCs w:val="21"/>
                                  </w:rPr>
                                  <w:t>提出安全对策措施建议</w:t>
                                </w:r>
                              </w:p>
                            </w:txbxContent>
                          </wps:txbx>
                          <wps:bodyPr wrap="square" upright="1"/>
                        </wps:wsp>
                        <wps:wsp>
                          <wps:cNvPr id="73" name="直线 43"/>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g:grpSp>
                        <wpg:cNvPr id="77" name="组合 44"/>
                        <wpg:cNvGrpSpPr/>
                        <wpg:grpSpPr>
                          <a:xfrm>
                            <a:off x="4487" y="10338"/>
                            <a:ext cx="2880" cy="1092"/>
                            <a:chOff x="4487" y="3786"/>
                            <a:chExt cx="2880" cy="1092"/>
                          </a:xfrm>
                        </wpg:grpSpPr>
                        <wps:wsp>
                          <wps:cNvPr id="75" name="矩形 45"/>
                          <wps:cNvSpPr/>
                          <wps:spPr>
                            <a:xfrm>
                              <a:off x="4487" y="3786"/>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D886E1">
                                <w:pPr>
                                  <w:spacing w:line="320" w:lineRule="exact"/>
                                  <w:ind w:firstLine="0" w:firstLineChars="0"/>
                                  <w:jc w:val="center"/>
                                  <w:rPr>
                                    <w:sz w:val="21"/>
                                    <w:szCs w:val="21"/>
                                  </w:rPr>
                                </w:pPr>
                                <w:r>
                                  <w:rPr>
                                    <w:rFonts w:hint="eastAsia"/>
                                    <w:sz w:val="21"/>
                                    <w:szCs w:val="21"/>
                                  </w:rPr>
                                  <w:t>做出评价结论</w:t>
                                </w:r>
                              </w:p>
                            </w:txbxContent>
                          </wps:txbx>
                          <wps:bodyPr wrap="square" upright="1"/>
                        </wps:wsp>
                        <wps:wsp>
                          <wps:cNvPr id="76" name="直线 46"/>
                          <wps:cNvCnPr/>
                          <wps:spPr>
                            <a:xfrm>
                              <a:off x="5927" y="4254"/>
                              <a:ext cx="0" cy="624"/>
                            </a:xfrm>
                            <a:prstGeom prst="line">
                              <a:avLst/>
                            </a:prstGeom>
                            <a:ln w="9525" cap="flat" cmpd="sng">
                              <a:solidFill>
                                <a:srgbClr val="000000"/>
                              </a:solidFill>
                              <a:prstDash val="solid"/>
                              <a:headEnd type="none" w="med" len="med"/>
                              <a:tailEnd type="triangle" w="med" len="med"/>
                            </a:ln>
                          </wps:spPr>
                          <wps:bodyPr/>
                        </wps:wsp>
                      </wpg:grpSp>
                      <wps:wsp>
                        <wps:cNvPr id="78" name="矩形 47"/>
                        <wps:cNvSpPr/>
                        <wps:spPr>
                          <a:xfrm>
                            <a:off x="4487" y="11430"/>
                            <a:ext cx="2880"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2C08358">
                              <w:pPr>
                                <w:spacing w:line="320" w:lineRule="exact"/>
                                <w:ind w:firstLine="0" w:firstLineChars="0"/>
                                <w:jc w:val="center"/>
                                <w:rPr>
                                  <w:rFonts w:hint="eastAsia" w:eastAsia="宋体"/>
                                  <w:sz w:val="21"/>
                                  <w:szCs w:val="21"/>
                                  <w:lang w:eastAsia="zh-CN"/>
                                </w:rPr>
                              </w:pPr>
                              <w:r>
                                <w:rPr>
                                  <w:rFonts w:hint="eastAsia"/>
                                  <w:sz w:val="21"/>
                                  <w:szCs w:val="21"/>
                                </w:rPr>
                                <w:t>编制</w:t>
                              </w:r>
                              <w:r>
                                <w:rPr>
                                  <w:rFonts w:hint="eastAsia"/>
                                  <w:sz w:val="21"/>
                                  <w:szCs w:val="21"/>
                                  <w:lang w:eastAsia="zh-CN"/>
                                </w:rPr>
                                <w:t>安全验收评价报告</w:t>
                              </w:r>
                            </w:p>
                          </w:txbxContent>
                        </wps:txbx>
                        <wps:bodyPr wrap="square" upright="1"/>
                      </wps:wsp>
                    </wpg:wgp>
                  </a:graphicData>
                </a:graphic>
              </wp:inline>
            </w:drawing>
          </mc:Choice>
          <mc:Fallback>
            <w:pict>
              <v:group id="组合 25" o:spid="_x0000_s1026" o:spt="203" style="height:380.9pt;width:144pt;" coordorigin="4487,3786" coordsize="2880,8112" o:gfxdata="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">
                <o:lock v:ext="edit" rotation="t" aspectratio="f"/>
                <v:group id="组合 26" o:spid="_x0000_s1026" o:spt="203" style="position:absolute;left:4487;top:3786;height:1092;width:2880;" coordorigin="4487,3786" coordsize="2880,1092"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rect id="矩形 27" o:spid="_x0000_s1026" o:spt="1" style="position:absolute;left:4487;top:3786;height:468;width:2880;" fillcolor="#FFFFFF" filled="t" stroked="t" coordsize="21600,21600" o:gfxdata="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Hz8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72E98868">
                          <w:pPr>
                            <w:spacing w:line="320" w:lineRule="exact"/>
                            <w:ind w:firstLine="0" w:firstLineChars="0"/>
                            <w:jc w:val="center"/>
                            <w:rPr>
                              <w:sz w:val="21"/>
                              <w:szCs w:val="21"/>
                            </w:rPr>
                          </w:pPr>
                          <w:r>
                            <w:rPr>
                              <w:rFonts w:hint="eastAsia"/>
                              <w:sz w:val="21"/>
                              <w:szCs w:val="21"/>
                            </w:rPr>
                            <w:t>前期准备</w:t>
                          </w:r>
                        </w:p>
                      </w:txbxContent>
                    </v:textbox>
                  </v:rect>
                  <v:line id="直线 28" o:spid="_x0000_s1026" o:spt="20" style="position:absolute;left:5927;top:4254;height:624;width:0;" filled="f" stroked="t" coordsize="21600,21600" o:gfxdata="UEsDBAoAAAAAAIdO4kAAAAAAAAAAAAAAAAAEAAAAZHJzL1BLAwQUAAAACACHTuJAAbVJbbsAAADb&#10;AAAADwAAAGRycy9kb3ducmV2LnhtbEVPy4rCMBTdC/MP4Q6407SC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VJb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group>
                <v:group id="组合 29" o:spid="_x0000_s1026" o:spt="203" style="position:absolute;left:4487;top:4878;height:1092;width:2880;" coordorigin="4487,3786" coordsize="2880,1092" o:gfxdata="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WW2YS+AAAA2wAAAA8AAAAAAAAAAQAgAAAAIgAAAGRycy9kb3ducmV2Lnht&#10;bFBLAQIUABQAAAAIAIdO4kAzLwWeOwAAADkAAAAVAAAAAAAAAAEAIAAAAA0BAABkcnMvZ3JvdXBz&#10;aGFwZXhtbC54bWxQSwUGAAAAAAYABgBgAQAAygMAAAAA&#10;">
                  <o:lock v:ext="edit" aspectratio="f"/>
                  <v:rect id="矩形 30" o:spid="_x0000_s1026" o:spt="1" style="position:absolute;left:4487;top:3786;height:468;width:2880;" fillcolor="#FFFFFF" filled="t" stroked="t" coordsize="21600,21600" o:gfxdata="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Zpt7LgAAADbAAAA&#10;DwAAAAAAAAABACAAAAAiAAAAZHJzL2Rvd25yZXYueG1sUEsBAhQAFAAAAAgAh07iQDMvBZ47AAAA&#10;OQAAABAAAAAAAAAAAQAgAAAABwEAAGRycy9zaGFwZXhtbC54bWxQSwUGAAAAAAYABgBbAQAAsQMA&#10;AAAA&#10;">
                    <v:fill on="t" focussize="0,0"/>
                    <v:stroke color="#000000" joinstyle="miter"/>
                    <v:imagedata o:title=""/>
                    <o:lock v:ext="edit" aspectratio="f"/>
                    <v:textbox>
                      <w:txbxContent>
                        <w:p w14:paraId="7E4B7064">
                          <w:pPr>
                            <w:spacing w:line="320" w:lineRule="exact"/>
                            <w:ind w:firstLine="0" w:firstLineChars="0"/>
                            <w:jc w:val="center"/>
                            <w:rPr>
                              <w:sz w:val="21"/>
                              <w:szCs w:val="21"/>
                            </w:rPr>
                          </w:pPr>
                          <w:r>
                            <w:rPr>
                              <w:rFonts w:hint="eastAsia"/>
                              <w:sz w:val="21"/>
                              <w:szCs w:val="21"/>
                            </w:rPr>
                            <w:t>辨识与分析危险、有害因素</w:t>
                          </w:r>
                        </w:p>
                      </w:txbxContent>
                    </v:textbox>
                  </v:rect>
                  <v:line id="直线 31" o:spid="_x0000_s1026" o:spt="20" style="position:absolute;left:5927;top:4254;height:624;width:0;" filled="f" stroked="t" coordsize="21600,21600" o:gfxdata="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4ypN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id="组合 32" o:spid="_x0000_s1026" o:spt="203" style="position:absolute;left:4487;top:5970;height:1092;width:2880;" coordorigin="4487,3786" coordsize="2880,1092"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rect id="矩形 33" o:spid="_x0000_s1026" o:spt="1" style="position:absolute;left:4487;top:3786;height:468;width:2880;" fillcolor="#FFFFFF" filled="t" stroked="t" coordsize="21600,21600" o:gfxdata="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SPOb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3501DF4">
                          <w:pPr>
                            <w:spacing w:line="320" w:lineRule="exact"/>
                            <w:ind w:firstLine="0" w:firstLineChars="0"/>
                            <w:jc w:val="center"/>
                            <w:rPr>
                              <w:sz w:val="21"/>
                              <w:szCs w:val="21"/>
                            </w:rPr>
                          </w:pPr>
                          <w:r>
                            <w:rPr>
                              <w:rFonts w:hint="eastAsia"/>
                              <w:sz w:val="21"/>
                              <w:szCs w:val="21"/>
                            </w:rPr>
                            <w:t>划分评价单元</w:t>
                          </w:r>
                        </w:p>
                      </w:txbxContent>
                    </v:textbox>
                  </v:rect>
                  <v:line id="直线 34" o:spid="_x0000_s1026" o:spt="20" style="position:absolute;left:5927;top:4254;height:624;width:0;" filled="f" stroked="t" coordsize="21600,21600" o:gfxdata="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6UidW/&#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id="组合 35" o:spid="_x0000_s1026" o:spt="203" style="position:absolute;left:4487;top:7062;height:1092;width:2880;" coordorigin="4487,3786" coordsize="2880,1092"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rect id="矩形 36" o:spid="_x0000_s1026" o:spt="1" style="position:absolute;left:4487;top:3786;height:468;width:2880;" fillcolor="#FFFFFF" filled="t" stroked="t" coordsize="21600,21600" o:gfxdata="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0/UA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44E30181">
                          <w:pPr>
                            <w:spacing w:line="320" w:lineRule="exact"/>
                            <w:ind w:firstLine="0" w:firstLineChars="0"/>
                            <w:jc w:val="center"/>
                            <w:rPr>
                              <w:sz w:val="21"/>
                              <w:szCs w:val="21"/>
                            </w:rPr>
                          </w:pPr>
                          <w:r>
                            <w:rPr>
                              <w:rFonts w:hint="eastAsia"/>
                              <w:sz w:val="21"/>
                              <w:szCs w:val="21"/>
                            </w:rPr>
                            <w:t>选择评价方法</w:t>
                          </w:r>
                        </w:p>
                      </w:txbxContent>
                    </v:textbox>
                  </v:rect>
                  <v:line id="直线 37" o:spid="_x0000_s1026" o:spt="20" style="position:absolute;left:5927;top:4254;height:624;width:0;" filled="f" stroked="t" coordsize="21600,21600" o:gfxdata="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YXo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group id="组合 38" o:spid="_x0000_s1026" o:spt="203" style="position:absolute;left:4487;top:8154;height:1092;width:2880;" coordorigin="4487,3786" coordsize="2880,1092" o:gfxdata="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Cd0S6+AAAA2wAAAA8AAAAAAAAAAQAgAAAAIgAAAGRycy9kb3ducmV2Lnht&#10;bFBLAQIUABQAAAAIAIdO4kAzLwWeOwAAADkAAAAVAAAAAAAAAAEAIAAAAA0BAABkcnMvZ3JvdXBz&#10;aGFwZXhtbC54bWxQSwUGAAAAAAYABgBgAQAAygMAAAAA&#10;">
                  <o:lock v:ext="edit" aspectratio="f"/>
                  <v:rect id="矩形 39" o:spid="_x0000_s1026" o:spt="1" style="position:absolute;left:4487;top:3786;height:468;width:2880;" fillcolor="#FFFFFF" filled="t" stroked="t" coordsize="21600,21600" o:gfxdata="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DEc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03A5FEE">
                          <w:pPr>
                            <w:spacing w:line="320" w:lineRule="exact"/>
                            <w:ind w:firstLine="0" w:firstLineChars="0"/>
                            <w:jc w:val="center"/>
                            <w:rPr>
                              <w:sz w:val="21"/>
                              <w:szCs w:val="21"/>
                            </w:rPr>
                          </w:pPr>
                          <w:r>
                            <w:rPr>
                              <w:rFonts w:hint="eastAsia"/>
                              <w:sz w:val="21"/>
                              <w:szCs w:val="21"/>
                            </w:rPr>
                            <w:t>定性、定量评价</w:t>
                          </w:r>
                        </w:p>
                      </w:txbxContent>
                    </v:textbox>
                  </v:rect>
                  <v:line id="直线 40" o:spid="_x0000_s1026" o:spt="20" style="position:absolute;left:5927;top:4254;height:624;width:0;" filled="f" stroked="t" coordsize="21600,21600" o:gfxdata="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YZC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group>
                <v:group id="组合 41" o:spid="_x0000_s1026" o:spt="203" style="position:absolute;left:4487;top:9246;height:1092;width:2880;" coordorigin="4487,3786" coordsize="2880,1092" o:gfxdata="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Q6nK2vwAAANsAAAAPAAAAAAAAAAEAIAAAACIAAABkcnMvZG93bnJldi54&#10;bWxQSwECFAAUAAAACACHTuJAMy8FnjsAAAA5AAAAFQAAAAAAAAABACAAAAAOAQAAZHJzL2dyb3Vw&#10;c2hhcGV4bWwueG1sUEsFBgAAAAAGAAYAYAEAAMsDAAAAAA==&#10;">
                  <o:lock v:ext="edit" aspectratio="f"/>
                  <v:rect id="矩形 42" o:spid="_x0000_s1026" o:spt="1" style="position:absolute;left:4487;top:3786;height:468;width:2880;" fillcolor="#FFFFFF" filled="t" stroked="t" coordsize="21600,21600" o:gfxdata="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3cDd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501BD541">
                          <w:pPr>
                            <w:spacing w:line="320" w:lineRule="exact"/>
                            <w:ind w:firstLine="0" w:firstLineChars="0"/>
                            <w:jc w:val="center"/>
                            <w:rPr>
                              <w:sz w:val="21"/>
                              <w:szCs w:val="21"/>
                            </w:rPr>
                          </w:pPr>
                          <w:r>
                            <w:rPr>
                              <w:rFonts w:hint="eastAsia"/>
                              <w:sz w:val="21"/>
                              <w:szCs w:val="21"/>
                            </w:rPr>
                            <w:t>提出安全对策措施建议</w:t>
                          </w:r>
                        </w:p>
                      </w:txbxContent>
                    </v:textbox>
                  </v:rect>
                  <v:line id="直线 43" o:spid="_x0000_s1026" o:spt="20" style="position:absolute;left:5927;top:4254;height:624;width:0;" filled="f" stroked="t" coordsize="21600,21600" o:gfxdata="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kh3y/&#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id="组合 44" o:spid="_x0000_s1026" o:spt="203" style="position:absolute;left:4487;top:10338;height:1092;width:2880;" coordorigin="4487,3786" coordsize="2880,1092" o:gfxdata="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Djswb0AAADbAAAADwAAAAAAAAABACAAAAAiAAAAZHJzL2Rvd25yZXYueG1s&#10;UEsBAhQAFAAAAAgAh07iQDMvBZ47AAAAOQAAABUAAAAAAAAAAQAgAAAADAEAAGRycy9ncm91cHNo&#10;YXBleG1sLnhtbFBLBQYAAAAABgAGAGABAADJAwAAAAA=&#10;">
                  <o:lock v:ext="edit" aspectratio="f"/>
                  <v:rect id="矩形 45" o:spid="_x0000_s1026" o:spt="1" style="position:absolute;left:4487;top:3786;height:468;width:2880;" fillcolor="#FFFFFF" filled="t" stroked="t" coordsize="21600,21600" o:gfxdata="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NFip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BD886E1">
                          <w:pPr>
                            <w:spacing w:line="320" w:lineRule="exact"/>
                            <w:ind w:firstLine="0" w:firstLineChars="0"/>
                            <w:jc w:val="center"/>
                            <w:rPr>
                              <w:sz w:val="21"/>
                              <w:szCs w:val="21"/>
                            </w:rPr>
                          </w:pPr>
                          <w:r>
                            <w:rPr>
                              <w:rFonts w:hint="eastAsia"/>
                              <w:sz w:val="21"/>
                              <w:szCs w:val="21"/>
                            </w:rPr>
                            <w:t>做出评价结论</w:t>
                          </w:r>
                        </w:p>
                      </w:txbxContent>
                    </v:textbox>
                  </v:rect>
                  <v:line id="直线 46" o:spid="_x0000_s1026" o:spt="20" style="position:absolute;left:5927;top:4254;height:624;width:0;" filled="f" stroked="t" coordsize="21600,21600" o:gfxdata="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Mk5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rect id="矩形 47" o:spid="_x0000_s1026" o:spt="1" style="position:absolute;left:4487;top:11430;height:468;width:2880;" fillcolor="#FFFFFF" filled="t" stroked="t" coordsize="21600,21600" o:gfxdata="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Nfc3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32C08358">
                        <w:pPr>
                          <w:spacing w:line="320" w:lineRule="exact"/>
                          <w:ind w:firstLine="0" w:firstLineChars="0"/>
                          <w:jc w:val="center"/>
                          <w:rPr>
                            <w:rFonts w:hint="eastAsia" w:eastAsia="宋体"/>
                            <w:sz w:val="21"/>
                            <w:szCs w:val="21"/>
                            <w:lang w:eastAsia="zh-CN"/>
                          </w:rPr>
                        </w:pPr>
                        <w:r>
                          <w:rPr>
                            <w:rFonts w:hint="eastAsia"/>
                            <w:sz w:val="21"/>
                            <w:szCs w:val="21"/>
                          </w:rPr>
                          <w:t>编制</w:t>
                        </w:r>
                        <w:r>
                          <w:rPr>
                            <w:rFonts w:hint="eastAsia"/>
                            <w:sz w:val="21"/>
                            <w:szCs w:val="21"/>
                            <w:lang w:eastAsia="zh-CN"/>
                          </w:rPr>
                          <w:t>安全验收评价报告</w:t>
                        </w:r>
                      </w:p>
                    </w:txbxContent>
                  </v:textbox>
                </v:rect>
                <w10:wrap type="none"/>
                <w10:anchorlock/>
              </v:group>
            </w:pict>
          </mc:Fallback>
        </mc:AlternateContent>
      </w:r>
    </w:p>
    <w:p w14:paraId="64361AC4">
      <w:pPr>
        <w:ind w:firstLine="0" w:firstLineChars="0"/>
        <w:jc w:val="center"/>
        <w:rPr>
          <w:color w:val="auto"/>
          <w:szCs w:val="28"/>
        </w:rPr>
      </w:pPr>
    </w:p>
    <w:p w14:paraId="646E4574">
      <w:pPr>
        <w:rPr>
          <w:color w:val="auto"/>
        </w:rPr>
      </w:pPr>
      <w:r>
        <w:rPr>
          <w:color w:val="auto"/>
        </w:rPr>
        <w:br w:type="page"/>
      </w:r>
    </w:p>
    <w:p w14:paraId="7F75E414">
      <w:pPr>
        <w:pStyle w:val="37"/>
        <w:ind w:firstLine="360"/>
        <w:rPr>
          <w:color w:val="auto"/>
        </w:rPr>
      </w:pPr>
    </w:p>
    <w:p w14:paraId="6F3D4AE1">
      <w:pPr>
        <w:pStyle w:val="4"/>
        <w:spacing w:line="360" w:lineRule="auto"/>
        <w:jc w:val="both"/>
        <w:rPr>
          <w:rFonts w:hint="default" w:ascii="Times New Roman" w:hAnsi="Times New Roman" w:cs="Times New Roman"/>
          <w:color w:val="auto"/>
        </w:rPr>
      </w:pPr>
      <w:bookmarkStart w:id="543" w:name="_Toc15512"/>
      <w:bookmarkStart w:id="544" w:name="_Toc28211"/>
      <w:bookmarkStart w:id="545" w:name="_Toc26248"/>
      <w:bookmarkStart w:id="546" w:name="_Toc11512"/>
      <w:bookmarkStart w:id="547" w:name="_Toc8173"/>
      <w:bookmarkStart w:id="548" w:name="_Toc11668"/>
      <w:bookmarkStart w:id="549" w:name="_Toc4427"/>
      <w:bookmarkStart w:id="550" w:name="_Toc6785"/>
      <w:r>
        <w:rPr>
          <w:rFonts w:hint="default" w:ascii="Times New Roman" w:hAnsi="Times New Roman" w:cs="Times New Roman"/>
          <w:color w:val="auto"/>
        </w:rPr>
        <w:t>F1.</w:t>
      </w:r>
      <w:r>
        <w:rPr>
          <w:rFonts w:hint="default" w:ascii="Times New Roman" w:hAnsi="Times New Roman" w:cs="Times New Roman"/>
          <w:color w:val="auto"/>
          <w:lang w:val="en-US" w:eastAsia="zh-CN"/>
        </w:rPr>
        <w:t>3</w:t>
      </w:r>
      <w:r>
        <w:rPr>
          <w:rFonts w:hint="default" w:ascii="Times New Roman" w:hAnsi="Times New Roman" w:cs="Times New Roman"/>
          <w:color w:val="auto"/>
        </w:rPr>
        <w:t>工艺流程框图</w:t>
      </w:r>
      <w:bookmarkEnd w:id="543"/>
      <w:bookmarkEnd w:id="544"/>
      <w:bookmarkEnd w:id="545"/>
      <w:bookmarkEnd w:id="546"/>
      <w:bookmarkEnd w:id="547"/>
      <w:bookmarkEnd w:id="548"/>
      <w:bookmarkEnd w:id="549"/>
      <w:bookmarkEnd w:id="550"/>
    </w:p>
    <w:p w14:paraId="1031D714">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汽油工艺流程框图如下：</w:t>
      </w:r>
    </w:p>
    <w:p w14:paraId="17D7D72C">
      <w:pPr>
        <w:spacing w:line="240" w:lineRule="auto"/>
        <w:ind w:firstLine="0" w:firstLineChars="0"/>
        <w:rPr>
          <w:rFonts w:hint="default" w:ascii="Times New Roman" w:hAnsi="Times New Roman" w:cs="Times New Roman"/>
          <w:color w:val="auto"/>
        </w:rPr>
      </w:pPr>
      <w:r>
        <w:rPr>
          <w:rFonts w:hint="default" w:ascii="Times New Roman" w:hAnsi="Times New Roman" w:cs="Times New Roman"/>
          <w:color w:val="auto"/>
        </w:rPr>
        <w:object>
          <v:shape id="_x0000_i1025" o:spt="75" type="#_x0000_t75" style="height:153pt;width:453.9pt;" o:ole="t" filled="f" o:preferrelative="t" stroked="f" coordsize="21600,21600">
            <v:path/>
            <v:fill on="f" focussize="0,0"/>
            <v:stroke on="f" joinstyle="miter"/>
            <v:imagedata r:id="rId18" o:title=""/>
            <o:lock v:ext="edit" aspectratio="t"/>
            <w10:wrap type="none"/>
            <w10:anchorlock/>
          </v:shape>
          <o:OLEObject Type="Embed" ProgID="Visio.Drawing.11" ShapeID="_x0000_i1025" DrawAspect="Content" ObjectID="_1468075725" r:id="rId17">
            <o:LockedField>false</o:LockedField>
          </o:OLEObject>
        </w:object>
      </w:r>
    </w:p>
    <w:p w14:paraId="7E525657">
      <w:pPr>
        <w:pStyle w:val="3"/>
        <w:spacing w:line="360" w:lineRule="auto"/>
        <w:jc w:val="center"/>
        <w:rPr>
          <w:rFonts w:hint="eastAsia"/>
          <w:color w:val="auto"/>
        </w:rPr>
      </w:pPr>
      <w:bookmarkStart w:id="551" w:name="_Toc32584"/>
      <w:bookmarkStart w:id="552" w:name="_Toc3969"/>
      <w:bookmarkStart w:id="553" w:name="_Toc15042"/>
      <w:bookmarkStart w:id="554" w:name="_Toc207511319"/>
      <w:bookmarkStart w:id="555" w:name="_Toc3998"/>
      <w:bookmarkStart w:id="556" w:name="_Toc21545"/>
      <w:bookmarkStart w:id="557" w:name="_Toc511"/>
      <w:bookmarkStart w:id="558" w:name="_Toc31763"/>
    </w:p>
    <w:p w14:paraId="4024DB75">
      <w:pPr>
        <w:pStyle w:val="3"/>
        <w:spacing w:line="360" w:lineRule="auto"/>
        <w:jc w:val="center"/>
        <w:rPr>
          <w:color w:val="auto"/>
        </w:rPr>
      </w:pPr>
      <w:bookmarkStart w:id="559" w:name="_Toc32151"/>
      <w:r>
        <w:rPr>
          <w:rFonts w:hint="eastAsia"/>
          <w:color w:val="auto"/>
        </w:rPr>
        <w:t>附件二：选用的安全评价方法简介</w:t>
      </w:r>
      <w:bookmarkEnd w:id="551"/>
      <w:bookmarkEnd w:id="552"/>
      <w:bookmarkEnd w:id="553"/>
      <w:bookmarkEnd w:id="554"/>
      <w:bookmarkEnd w:id="555"/>
      <w:bookmarkEnd w:id="556"/>
      <w:bookmarkEnd w:id="557"/>
      <w:bookmarkEnd w:id="558"/>
      <w:bookmarkEnd w:id="559"/>
    </w:p>
    <w:p w14:paraId="61216D0D">
      <w:pPr>
        <w:pStyle w:val="4"/>
        <w:spacing w:line="360" w:lineRule="auto"/>
        <w:jc w:val="both"/>
        <w:rPr>
          <w:rFonts w:hint="default" w:ascii="Times New Roman" w:hAnsi="Times New Roman" w:cs="Times New Roman"/>
          <w:color w:val="auto"/>
        </w:rPr>
      </w:pPr>
      <w:bookmarkStart w:id="560" w:name="_Toc24888"/>
      <w:bookmarkStart w:id="561" w:name="_Toc7773"/>
      <w:bookmarkStart w:id="562" w:name="_Toc29669"/>
      <w:bookmarkStart w:id="563" w:name="_Toc32557"/>
      <w:bookmarkStart w:id="564" w:name="_Toc13284"/>
      <w:bookmarkStart w:id="565" w:name="_Toc4075"/>
      <w:bookmarkStart w:id="566" w:name="_Toc203476228"/>
      <w:bookmarkStart w:id="567" w:name="_Toc15620"/>
      <w:bookmarkStart w:id="568" w:name="_Toc207511323"/>
      <w:bookmarkStart w:id="569" w:name="_Toc203556915"/>
      <w:bookmarkStart w:id="570" w:name="_Toc17460"/>
      <w:r>
        <w:rPr>
          <w:rFonts w:hint="default" w:ascii="Times New Roman" w:hAnsi="Times New Roman" w:cs="Times New Roman"/>
          <w:color w:val="auto"/>
        </w:rPr>
        <w:t>F2.1安全检查表分析法</w:t>
      </w:r>
      <w:bookmarkEnd w:id="560"/>
      <w:bookmarkEnd w:id="561"/>
      <w:bookmarkEnd w:id="562"/>
    </w:p>
    <w:p w14:paraId="1B47C743">
      <w:pPr>
        <w:keepNext w:val="0"/>
        <w:keepLines w:val="0"/>
        <w:pageBreakBefore w:val="0"/>
        <w:widowControl/>
        <w:kinsoku/>
        <w:wordWrap/>
        <w:overflowPunct/>
        <w:topLinePunct w:val="0"/>
        <w:autoSpaceDE/>
        <w:autoSpaceDN/>
        <w:bidi w:val="0"/>
        <w:adjustRightInd/>
        <w:snapToGrid/>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rPr>
        <w:t>安全检查表分析法是利用检查条款按照相关的标准、规范等对已知的危险类别、设计缺陷以及与一般工艺设备、操作、管理有关的潜在危险性和有害性进行判别检查。</w:t>
      </w:r>
    </w:p>
    <w:p w14:paraId="4E12C6E6">
      <w:pPr>
        <w:keepNext w:val="0"/>
        <w:keepLines w:val="0"/>
        <w:pageBreakBefore w:val="0"/>
        <w:widowControl/>
        <w:kinsoku/>
        <w:wordWrap/>
        <w:overflowPunct/>
        <w:topLinePunct w:val="0"/>
        <w:autoSpaceDE/>
        <w:autoSpaceDN/>
        <w:bidi w:val="0"/>
        <w:adjustRightInd/>
        <w:snapToGrid/>
        <w:spacing w:line="360" w:lineRule="auto"/>
        <w:ind w:firstLine="560"/>
        <w:textAlignment w:val="auto"/>
        <w:rPr>
          <w:color w:val="auto"/>
        </w:rPr>
      </w:pPr>
      <w:r>
        <w:rPr>
          <w:rFonts w:hint="eastAsia"/>
          <w:color w:val="auto"/>
        </w:rPr>
        <w:t>评价组采用《站址选择安全检查表》、《总平面布置安全检查表》、《加油工艺及设施</w:t>
      </w:r>
      <w:r>
        <w:rPr>
          <w:color w:val="auto"/>
        </w:rPr>
        <w:t>安全检查表</w:t>
      </w:r>
      <w:r>
        <w:rPr>
          <w:rFonts w:hint="eastAsia"/>
          <w:color w:val="auto"/>
        </w:rPr>
        <w:t>》、《消防设施和给排水</w:t>
      </w:r>
      <w:r>
        <w:rPr>
          <w:color w:val="auto"/>
        </w:rPr>
        <w:t>安全检查表</w:t>
      </w:r>
      <w:r>
        <w:rPr>
          <w:rFonts w:hint="eastAsia"/>
          <w:color w:val="auto"/>
        </w:rPr>
        <w:t>》、《</w:t>
      </w:r>
      <w:r>
        <w:rPr>
          <w:color w:val="auto"/>
        </w:rPr>
        <w:t>电气与报警和紧急切断系统安全检查表</w:t>
      </w:r>
      <w:r>
        <w:rPr>
          <w:rFonts w:hint="eastAsia"/>
          <w:color w:val="auto"/>
        </w:rPr>
        <w:t>》、《重大生产安全事故隐患判定</w:t>
      </w:r>
      <w:r>
        <w:rPr>
          <w:color w:val="auto"/>
        </w:rPr>
        <w:t>检查表</w:t>
      </w:r>
      <w:r>
        <w:rPr>
          <w:rFonts w:hint="eastAsia"/>
          <w:color w:val="auto"/>
        </w:rPr>
        <w:t>》对该加油站的站址选择和总平面布置、站区安全间距、消防等设备设施等进行安全检查。</w:t>
      </w:r>
    </w:p>
    <w:bookmarkEnd w:id="563"/>
    <w:bookmarkEnd w:id="564"/>
    <w:bookmarkEnd w:id="565"/>
    <w:bookmarkEnd w:id="566"/>
    <w:bookmarkEnd w:id="567"/>
    <w:bookmarkEnd w:id="568"/>
    <w:bookmarkEnd w:id="569"/>
    <w:bookmarkEnd w:id="570"/>
    <w:p w14:paraId="78B23F41">
      <w:pPr>
        <w:pStyle w:val="4"/>
        <w:spacing w:line="360" w:lineRule="auto"/>
        <w:jc w:val="both"/>
        <w:rPr>
          <w:rFonts w:hint="default" w:ascii="Times New Roman" w:hAnsi="Times New Roman" w:cs="Times New Roman"/>
          <w:color w:val="auto"/>
        </w:rPr>
      </w:pPr>
      <w:bookmarkStart w:id="571" w:name="_Toc14074"/>
      <w:bookmarkStart w:id="572" w:name="_Toc26520"/>
      <w:bookmarkStart w:id="573" w:name="_Toc6107"/>
      <w:bookmarkStart w:id="574" w:name="_Toc24452"/>
      <w:r>
        <w:rPr>
          <w:rFonts w:hint="default" w:ascii="Times New Roman" w:hAnsi="Times New Roman" w:cs="Times New Roman"/>
          <w:color w:val="auto"/>
        </w:rPr>
        <w:t>F2.2作业条件危险性分析法</w:t>
      </w:r>
      <w:bookmarkEnd w:id="571"/>
      <w:bookmarkEnd w:id="572"/>
      <w:bookmarkEnd w:id="573"/>
      <w:bookmarkEnd w:id="574"/>
    </w:p>
    <w:p w14:paraId="1834B131">
      <w:pPr>
        <w:pStyle w:val="134"/>
        <w:keepNext w:val="0"/>
        <w:keepLines w:val="0"/>
        <w:pageBreakBefore w:val="0"/>
        <w:widowControl/>
        <w:kinsoku/>
        <w:wordWrap/>
        <w:overflowPunct/>
        <w:topLinePunct w:val="0"/>
        <w:autoSpaceDE/>
        <w:autoSpaceDN/>
        <w:bidi w:val="0"/>
        <w:adjustRightInd/>
        <w:snapToGrid/>
        <w:spacing w:line="360" w:lineRule="auto"/>
        <w:ind w:firstLine="544"/>
        <w:textAlignment w:val="auto"/>
        <w:rPr>
          <w:rFonts w:hint="default" w:ascii="Times New Roman" w:hAnsi="Times New Roman" w:cs="Times New Roman"/>
          <w:color w:val="auto"/>
          <w:spacing w:val="-4"/>
          <w:szCs w:val="28"/>
        </w:rPr>
      </w:pPr>
      <w:r>
        <w:rPr>
          <w:rFonts w:hint="default" w:ascii="Times New Roman" w:hAnsi="Times New Roman" w:cs="Times New Roman"/>
          <w:color w:val="auto"/>
          <w:spacing w:val="-4"/>
          <w:szCs w:val="28"/>
        </w:rPr>
        <w:t>作业条件危险性评价法是一种简单易行的半定量评价方法，是对具有潜在危险性环境中作业时人员承受的风险的综合评估。此评价方法是由美国格雷厄姆和金尼先生提出的。评价运用系统安全工程的方法辨识危险，按事故因果论、</w:t>
      </w:r>
      <w:r>
        <w:rPr>
          <w:rFonts w:ascii="Times New Roman" w:hAnsi="Times New Roman" w:cs="Times New Roman"/>
          <w:color w:val="auto"/>
          <w:spacing w:val="-4"/>
          <w:szCs w:val="28"/>
        </w:rPr>
        <w:t>能量转移学说的原理确定作业条件存在的危险性因素；L（事故发生的可能性）、E（人员暴露于危险</w:t>
      </w:r>
      <w:r>
        <w:rPr>
          <w:rFonts w:hint="eastAsia" w:ascii="Times New Roman" w:hAnsi="Times New Roman" w:cs="Times New Roman"/>
          <w:color w:val="auto"/>
          <w:spacing w:val="-4"/>
          <w:szCs w:val="28"/>
        </w:rPr>
        <w:t>环境的频繁</w:t>
      </w:r>
      <w:r>
        <w:rPr>
          <w:rFonts w:ascii="Times New Roman" w:hAnsi="Times New Roman" w:cs="Times New Roman"/>
          <w:color w:val="auto"/>
          <w:spacing w:val="-4"/>
          <w:szCs w:val="28"/>
        </w:rPr>
        <w:t>程度）和C（一旦发生事故可能造成的后果）。用这三个因素分值的乘积D=L×E×C来评价作业条件的危险性。D值越大，作业条件的危险性也越</w:t>
      </w:r>
      <w:r>
        <w:rPr>
          <w:rFonts w:hint="default" w:ascii="Times New Roman" w:hAnsi="Times New Roman" w:cs="Times New Roman"/>
          <w:color w:val="auto"/>
          <w:spacing w:val="-4"/>
          <w:szCs w:val="28"/>
        </w:rPr>
        <w:t>大。评价的各项赋分标准如下：</w:t>
      </w:r>
    </w:p>
    <w:p w14:paraId="7B32DFE9">
      <w:pPr>
        <w:spacing w:line="240" w:lineRule="auto"/>
        <w:ind w:firstLine="422"/>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lang w:val="en-US" w:eastAsia="zh-CN"/>
        </w:rPr>
        <w:t>F表2.2-1</w:t>
      </w:r>
      <w:r>
        <w:rPr>
          <w:rFonts w:hint="default" w:ascii="Times New Roman" w:hAnsi="Times New Roman" w:eastAsia="黑体" w:cs="Times New Roman"/>
          <w:b/>
          <w:bCs/>
          <w:color w:val="auto"/>
          <w:sz w:val="21"/>
          <w:szCs w:val="21"/>
        </w:rPr>
        <w:t>（L）事故发生可能性分值</w:t>
      </w:r>
    </w:p>
    <w:tbl>
      <w:tblPr>
        <w:tblStyle w:val="48"/>
        <w:tblW w:w="90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18"/>
        <w:gridCol w:w="6261"/>
      </w:tblGrid>
      <w:tr w14:paraId="67FAB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818" w:type="dxa"/>
            <w:tcBorders>
              <w:tl2br w:val="nil"/>
              <w:tr2bl w:val="nil"/>
            </w:tcBorders>
            <w:vAlign w:val="center"/>
          </w:tcPr>
          <w:p w14:paraId="6300C7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6261" w:type="dxa"/>
            <w:tcBorders>
              <w:tl2br w:val="nil"/>
              <w:tr2bl w:val="nil"/>
            </w:tcBorders>
            <w:vAlign w:val="center"/>
          </w:tcPr>
          <w:p w14:paraId="434473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事故发生的可能性</w:t>
            </w:r>
          </w:p>
        </w:tc>
      </w:tr>
      <w:tr w14:paraId="1AA1F5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3C0E05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6261" w:type="dxa"/>
            <w:tcBorders>
              <w:tl2br w:val="nil"/>
              <w:tr2bl w:val="nil"/>
            </w:tcBorders>
            <w:vAlign w:val="center"/>
          </w:tcPr>
          <w:p w14:paraId="082524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完全会被预料到</w:t>
            </w:r>
          </w:p>
        </w:tc>
      </w:tr>
      <w:tr w14:paraId="7DECC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3E0357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6</w:t>
            </w:r>
          </w:p>
        </w:tc>
        <w:tc>
          <w:tcPr>
            <w:tcW w:w="6261" w:type="dxa"/>
            <w:tcBorders>
              <w:tl2br w:val="nil"/>
              <w:tr2bl w:val="nil"/>
            </w:tcBorders>
            <w:vAlign w:val="center"/>
          </w:tcPr>
          <w:p w14:paraId="4DD389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相当可能</w:t>
            </w:r>
          </w:p>
        </w:tc>
      </w:tr>
      <w:tr w14:paraId="0E6AB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5D6D0A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3</w:t>
            </w:r>
          </w:p>
        </w:tc>
        <w:tc>
          <w:tcPr>
            <w:tcW w:w="6261" w:type="dxa"/>
            <w:tcBorders>
              <w:tl2br w:val="nil"/>
              <w:tr2bl w:val="nil"/>
            </w:tcBorders>
            <w:vAlign w:val="center"/>
          </w:tcPr>
          <w:p w14:paraId="420EC0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可能，但不经常</w:t>
            </w:r>
          </w:p>
        </w:tc>
      </w:tr>
      <w:tr w14:paraId="7EFEC4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4EA72B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1</w:t>
            </w:r>
          </w:p>
        </w:tc>
        <w:tc>
          <w:tcPr>
            <w:tcW w:w="6261" w:type="dxa"/>
            <w:tcBorders>
              <w:tl2br w:val="nil"/>
              <w:tr2bl w:val="nil"/>
            </w:tcBorders>
            <w:vAlign w:val="center"/>
          </w:tcPr>
          <w:p w14:paraId="2DD802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完全意外，很少可能</w:t>
            </w:r>
          </w:p>
        </w:tc>
      </w:tr>
      <w:tr w14:paraId="08B7B9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24F887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0</w:t>
            </w:r>
            <w:r>
              <w:rPr>
                <w:rFonts w:hint="default"/>
                <w:color w:val="auto"/>
                <w:sz w:val="21"/>
                <w:szCs w:val="21"/>
              </w:rPr>
              <w:t>.</w:t>
            </w:r>
            <w:r>
              <w:rPr>
                <w:rFonts w:hint="default" w:ascii="Times New Roman" w:hAnsi="Times New Roman"/>
                <w:color w:val="auto"/>
                <w:sz w:val="21"/>
                <w:szCs w:val="21"/>
              </w:rPr>
              <w:t>5</w:t>
            </w:r>
          </w:p>
        </w:tc>
        <w:tc>
          <w:tcPr>
            <w:tcW w:w="6261" w:type="dxa"/>
            <w:tcBorders>
              <w:tl2br w:val="nil"/>
              <w:tr2bl w:val="nil"/>
            </w:tcBorders>
            <w:vAlign w:val="center"/>
          </w:tcPr>
          <w:p w14:paraId="2F6620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可以设想，很不可能</w:t>
            </w:r>
          </w:p>
        </w:tc>
      </w:tr>
      <w:tr w14:paraId="7238CA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818" w:type="dxa"/>
            <w:tcBorders>
              <w:tl2br w:val="nil"/>
              <w:tr2bl w:val="nil"/>
            </w:tcBorders>
            <w:vAlign w:val="center"/>
          </w:tcPr>
          <w:p w14:paraId="15ED27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0</w:t>
            </w:r>
            <w:r>
              <w:rPr>
                <w:rFonts w:hint="default"/>
                <w:color w:val="auto"/>
                <w:sz w:val="21"/>
                <w:szCs w:val="21"/>
              </w:rPr>
              <w:t>.</w:t>
            </w:r>
            <w:r>
              <w:rPr>
                <w:rFonts w:hint="default" w:ascii="Times New Roman" w:hAnsi="Times New Roman"/>
                <w:color w:val="auto"/>
                <w:sz w:val="21"/>
                <w:szCs w:val="21"/>
              </w:rPr>
              <w:t>2</w:t>
            </w:r>
          </w:p>
        </w:tc>
        <w:tc>
          <w:tcPr>
            <w:tcW w:w="6261" w:type="dxa"/>
            <w:tcBorders>
              <w:tl2br w:val="nil"/>
              <w:tr2bl w:val="nil"/>
            </w:tcBorders>
            <w:vAlign w:val="center"/>
          </w:tcPr>
          <w:p w14:paraId="49C682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极不可能</w:t>
            </w:r>
          </w:p>
        </w:tc>
      </w:tr>
      <w:tr w14:paraId="68519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818" w:type="dxa"/>
            <w:tcBorders>
              <w:tl2br w:val="nil"/>
              <w:tr2bl w:val="nil"/>
            </w:tcBorders>
            <w:vAlign w:val="center"/>
          </w:tcPr>
          <w:p w14:paraId="5FBA77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ascii="Times New Roman" w:hAnsi="Times New Roman"/>
                <w:color w:val="auto"/>
                <w:sz w:val="21"/>
                <w:szCs w:val="21"/>
              </w:rPr>
              <w:t>0</w:t>
            </w:r>
            <w:r>
              <w:rPr>
                <w:rFonts w:hint="default"/>
                <w:color w:val="auto"/>
                <w:sz w:val="21"/>
                <w:szCs w:val="21"/>
              </w:rPr>
              <w:t>.</w:t>
            </w:r>
            <w:r>
              <w:rPr>
                <w:rFonts w:hint="default" w:ascii="Times New Roman" w:hAnsi="Times New Roman"/>
                <w:color w:val="auto"/>
                <w:sz w:val="21"/>
                <w:szCs w:val="21"/>
              </w:rPr>
              <w:t>1</w:t>
            </w:r>
          </w:p>
        </w:tc>
        <w:tc>
          <w:tcPr>
            <w:tcW w:w="6261" w:type="dxa"/>
            <w:tcBorders>
              <w:tl2br w:val="nil"/>
              <w:tr2bl w:val="nil"/>
            </w:tcBorders>
            <w:vAlign w:val="center"/>
          </w:tcPr>
          <w:p w14:paraId="2AAAE3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color w:val="auto"/>
                <w:sz w:val="21"/>
                <w:szCs w:val="21"/>
              </w:rPr>
            </w:pPr>
            <w:r>
              <w:rPr>
                <w:rFonts w:hint="default"/>
                <w:color w:val="auto"/>
                <w:sz w:val="21"/>
                <w:szCs w:val="21"/>
              </w:rPr>
              <w:t>实际上不可能</w:t>
            </w:r>
          </w:p>
        </w:tc>
      </w:tr>
    </w:tbl>
    <w:p w14:paraId="099D5892">
      <w:pPr>
        <w:spacing w:line="240" w:lineRule="auto"/>
        <w:ind w:firstLine="422"/>
        <w:jc w:val="center"/>
        <w:rPr>
          <w:rFonts w:hint="default" w:ascii="Times New Roman" w:hAnsi="Times New Roman" w:eastAsia="黑体" w:cs="Times New Roman"/>
          <w:b/>
          <w:bCs/>
          <w:color w:val="auto"/>
          <w:sz w:val="21"/>
          <w:szCs w:val="21"/>
          <w:lang w:val="en-US" w:eastAsia="zh-CN"/>
        </w:rPr>
      </w:pPr>
    </w:p>
    <w:p w14:paraId="15A3A347">
      <w:pPr>
        <w:spacing w:line="240" w:lineRule="auto"/>
        <w:ind w:firstLine="422"/>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F表2.2-2</w:t>
      </w:r>
      <w:r>
        <w:rPr>
          <w:rFonts w:hint="eastAsia" w:eastAsia="黑体" w:cs="Times New Roman"/>
          <w:b/>
          <w:bCs/>
          <w:color w:val="auto"/>
          <w:sz w:val="21"/>
          <w:szCs w:val="21"/>
          <w:lang w:val="en-US" w:eastAsia="zh-CN"/>
        </w:rPr>
        <w:t xml:space="preserve"> </w:t>
      </w:r>
      <w:r>
        <w:rPr>
          <w:rFonts w:hint="default" w:ascii="Times New Roman" w:hAnsi="Times New Roman" w:eastAsia="黑体" w:cs="Times New Roman"/>
          <w:b/>
          <w:bCs/>
          <w:color w:val="auto"/>
          <w:sz w:val="21"/>
          <w:szCs w:val="21"/>
          <w:lang w:val="en-US" w:eastAsia="zh-CN"/>
        </w:rPr>
        <w:t>（E）暴露于危险环境的频繁程度分值</w:t>
      </w:r>
    </w:p>
    <w:tbl>
      <w:tblPr>
        <w:tblStyle w:val="48"/>
        <w:tblW w:w="90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11"/>
        <w:gridCol w:w="6288"/>
      </w:tblGrid>
      <w:tr w14:paraId="5ACB1B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811" w:type="dxa"/>
            <w:tcBorders>
              <w:tl2br w:val="nil"/>
              <w:tr2bl w:val="nil"/>
            </w:tcBorders>
            <w:vAlign w:val="center"/>
          </w:tcPr>
          <w:p w14:paraId="0E7307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6288" w:type="dxa"/>
            <w:tcBorders>
              <w:tl2br w:val="nil"/>
              <w:tr2bl w:val="nil"/>
            </w:tcBorders>
            <w:vAlign w:val="center"/>
          </w:tcPr>
          <w:p w14:paraId="5DE4A8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人员暴露于危险环境的频繁程度</w:t>
            </w:r>
          </w:p>
        </w:tc>
      </w:tr>
      <w:tr w14:paraId="5F69BA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811" w:type="dxa"/>
            <w:tcBorders>
              <w:tl2br w:val="nil"/>
              <w:tr2bl w:val="nil"/>
            </w:tcBorders>
            <w:vAlign w:val="center"/>
          </w:tcPr>
          <w:p w14:paraId="4C4317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6288" w:type="dxa"/>
            <w:tcBorders>
              <w:tl2br w:val="nil"/>
              <w:tr2bl w:val="nil"/>
            </w:tcBorders>
            <w:vAlign w:val="center"/>
          </w:tcPr>
          <w:p w14:paraId="25DDA0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连续暴露</w:t>
            </w:r>
          </w:p>
        </w:tc>
      </w:tr>
      <w:tr w14:paraId="49DC26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811" w:type="dxa"/>
            <w:tcBorders>
              <w:tl2br w:val="nil"/>
              <w:tr2bl w:val="nil"/>
            </w:tcBorders>
            <w:vAlign w:val="center"/>
          </w:tcPr>
          <w:p w14:paraId="3859DD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6288" w:type="dxa"/>
            <w:tcBorders>
              <w:tl2br w:val="nil"/>
              <w:tr2bl w:val="nil"/>
            </w:tcBorders>
            <w:vAlign w:val="center"/>
          </w:tcPr>
          <w:p w14:paraId="5A4CCF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每天工作时间内暴露</w:t>
            </w:r>
          </w:p>
        </w:tc>
      </w:tr>
      <w:tr w14:paraId="75E6CA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811" w:type="dxa"/>
            <w:tcBorders>
              <w:tl2br w:val="nil"/>
              <w:tr2bl w:val="nil"/>
            </w:tcBorders>
            <w:vAlign w:val="center"/>
          </w:tcPr>
          <w:p w14:paraId="6940E0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6288" w:type="dxa"/>
            <w:tcBorders>
              <w:tl2br w:val="nil"/>
              <w:tr2bl w:val="nil"/>
            </w:tcBorders>
            <w:vAlign w:val="center"/>
          </w:tcPr>
          <w:p w14:paraId="452BDA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每周一次或偶然暴露</w:t>
            </w:r>
          </w:p>
        </w:tc>
      </w:tr>
      <w:tr w14:paraId="3A94B8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811" w:type="dxa"/>
            <w:tcBorders>
              <w:tl2br w:val="nil"/>
              <w:tr2bl w:val="nil"/>
            </w:tcBorders>
            <w:vAlign w:val="center"/>
          </w:tcPr>
          <w:p w14:paraId="0480B6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6288" w:type="dxa"/>
            <w:tcBorders>
              <w:tl2br w:val="nil"/>
              <w:tr2bl w:val="nil"/>
            </w:tcBorders>
            <w:vAlign w:val="center"/>
          </w:tcPr>
          <w:p w14:paraId="56F2B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每月暴露一次</w:t>
            </w:r>
          </w:p>
        </w:tc>
      </w:tr>
      <w:tr w14:paraId="3E1992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811" w:type="dxa"/>
            <w:tcBorders>
              <w:tl2br w:val="nil"/>
              <w:tr2bl w:val="nil"/>
            </w:tcBorders>
            <w:vAlign w:val="center"/>
          </w:tcPr>
          <w:p w14:paraId="051FE5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288" w:type="dxa"/>
            <w:tcBorders>
              <w:tl2br w:val="nil"/>
              <w:tr2bl w:val="nil"/>
            </w:tcBorders>
            <w:vAlign w:val="center"/>
          </w:tcPr>
          <w:p w14:paraId="72A9E3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每年几次暴露</w:t>
            </w:r>
          </w:p>
        </w:tc>
      </w:tr>
      <w:tr w14:paraId="0689B5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811" w:type="dxa"/>
            <w:tcBorders>
              <w:tl2br w:val="nil"/>
              <w:tr2bl w:val="nil"/>
            </w:tcBorders>
            <w:vAlign w:val="center"/>
          </w:tcPr>
          <w:p w14:paraId="761DC7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0.5</w:t>
            </w:r>
          </w:p>
        </w:tc>
        <w:tc>
          <w:tcPr>
            <w:tcW w:w="6288" w:type="dxa"/>
            <w:tcBorders>
              <w:tl2br w:val="nil"/>
              <w:tr2bl w:val="nil"/>
            </w:tcBorders>
            <w:vAlign w:val="center"/>
          </w:tcPr>
          <w:p w14:paraId="787F74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非常罕见地暴露</w:t>
            </w:r>
          </w:p>
        </w:tc>
      </w:tr>
    </w:tbl>
    <w:p w14:paraId="59AD01A1">
      <w:pPr>
        <w:spacing w:line="240" w:lineRule="auto"/>
        <w:ind w:firstLine="422"/>
        <w:jc w:val="center"/>
        <w:rPr>
          <w:rFonts w:hint="default" w:ascii="Times New Roman" w:hAnsi="Times New Roman" w:eastAsia="黑体" w:cs="Times New Roman"/>
          <w:b/>
          <w:bCs/>
          <w:color w:val="auto"/>
          <w:sz w:val="21"/>
          <w:szCs w:val="21"/>
          <w:lang w:val="en-US" w:eastAsia="zh-CN"/>
        </w:rPr>
      </w:pPr>
    </w:p>
    <w:p w14:paraId="00257611">
      <w:pPr>
        <w:spacing w:line="240" w:lineRule="auto"/>
        <w:ind w:firstLine="422"/>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F表2.2-3 （C）事故造成的后果分值</w:t>
      </w:r>
    </w:p>
    <w:tbl>
      <w:tblPr>
        <w:tblStyle w:val="48"/>
        <w:tblW w:w="93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56"/>
        <w:gridCol w:w="6483"/>
      </w:tblGrid>
      <w:tr w14:paraId="435F5C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856" w:type="dxa"/>
            <w:tcBorders>
              <w:tl2br w:val="nil"/>
              <w:tr2bl w:val="nil"/>
            </w:tcBorders>
            <w:vAlign w:val="center"/>
          </w:tcPr>
          <w:p w14:paraId="7A17E7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分数值</w:t>
            </w:r>
          </w:p>
        </w:tc>
        <w:tc>
          <w:tcPr>
            <w:tcW w:w="6483" w:type="dxa"/>
            <w:tcBorders>
              <w:tl2br w:val="nil"/>
              <w:tr2bl w:val="nil"/>
            </w:tcBorders>
            <w:vAlign w:val="center"/>
          </w:tcPr>
          <w:p w14:paraId="3C16E6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事故造成的后果</w:t>
            </w:r>
          </w:p>
        </w:tc>
      </w:tr>
      <w:tr w14:paraId="11F1CA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9" w:hRule="atLeast"/>
          <w:jc w:val="center"/>
        </w:trPr>
        <w:tc>
          <w:tcPr>
            <w:tcW w:w="2856" w:type="dxa"/>
            <w:tcBorders>
              <w:tl2br w:val="nil"/>
              <w:tr2bl w:val="nil"/>
            </w:tcBorders>
            <w:vAlign w:val="center"/>
          </w:tcPr>
          <w:p w14:paraId="3CB7EB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w:t>
            </w:r>
          </w:p>
        </w:tc>
        <w:tc>
          <w:tcPr>
            <w:tcW w:w="6483" w:type="dxa"/>
            <w:tcBorders>
              <w:tl2br w:val="nil"/>
              <w:tr2bl w:val="nil"/>
            </w:tcBorders>
            <w:vAlign w:val="center"/>
          </w:tcPr>
          <w:p w14:paraId="607E3D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10人以上死亡</w:t>
            </w:r>
          </w:p>
        </w:tc>
      </w:tr>
      <w:tr w14:paraId="23999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56" w:type="dxa"/>
            <w:tcBorders>
              <w:tl2br w:val="nil"/>
              <w:tr2bl w:val="nil"/>
            </w:tcBorders>
            <w:vAlign w:val="center"/>
          </w:tcPr>
          <w:p w14:paraId="3D34E8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w:t>
            </w:r>
          </w:p>
        </w:tc>
        <w:tc>
          <w:tcPr>
            <w:tcW w:w="6483" w:type="dxa"/>
            <w:tcBorders>
              <w:tl2br w:val="nil"/>
              <w:tr2bl w:val="nil"/>
            </w:tcBorders>
            <w:vAlign w:val="center"/>
          </w:tcPr>
          <w:p w14:paraId="641256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数人死亡</w:t>
            </w:r>
          </w:p>
        </w:tc>
      </w:tr>
      <w:tr w14:paraId="75FCE9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9" w:hRule="atLeast"/>
          <w:jc w:val="center"/>
        </w:trPr>
        <w:tc>
          <w:tcPr>
            <w:tcW w:w="2856" w:type="dxa"/>
            <w:tcBorders>
              <w:tl2br w:val="nil"/>
              <w:tr2bl w:val="nil"/>
            </w:tcBorders>
            <w:vAlign w:val="center"/>
          </w:tcPr>
          <w:p w14:paraId="2B33D4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15</w:t>
            </w:r>
          </w:p>
        </w:tc>
        <w:tc>
          <w:tcPr>
            <w:tcW w:w="6483" w:type="dxa"/>
            <w:tcBorders>
              <w:tl2br w:val="nil"/>
              <w:tr2bl w:val="nil"/>
            </w:tcBorders>
            <w:vAlign w:val="center"/>
          </w:tcPr>
          <w:p w14:paraId="5F51AF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1人死亡</w:t>
            </w:r>
          </w:p>
        </w:tc>
      </w:tr>
      <w:tr w14:paraId="2A3F0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56" w:type="dxa"/>
            <w:tcBorders>
              <w:tl2br w:val="nil"/>
              <w:tr2bl w:val="nil"/>
            </w:tcBorders>
            <w:vAlign w:val="center"/>
          </w:tcPr>
          <w:p w14:paraId="4AC8CD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6483" w:type="dxa"/>
            <w:tcBorders>
              <w:tl2br w:val="nil"/>
              <w:tr2bl w:val="nil"/>
            </w:tcBorders>
            <w:vAlign w:val="center"/>
          </w:tcPr>
          <w:p w14:paraId="27EAD7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严重伤残</w:t>
            </w:r>
          </w:p>
        </w:tc>
      </w:tr>
      <w:tr w14:paraId="1D6913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856" w:type="dxa"/>
            <w:tcBorders>
              <w:tl2br w:val="nil"/>
              <w:tr2bl w:val="nil"/>
            </w:tcBorders>
            <w:vAlign w:val="center"/>
          </w:tcPr>
          <w:p w14:paraId="3066E5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6483" w:type="dxa"/>
            <w:tcBorders>
              <w:tl2br w:val="nil"/>
              <w:tr2bl w:val="nil"/>
            </w:tcBorders>
            <w:vAlign w:val="center"/>
          </w:tcPr>
          <w:p w14:paraId="0BC0A1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有伤残</w:t>
            </w:r>
          </w:p>
        </w:tc>
      </w:tr>
      <w:tr w14:paraId="62B4C4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2856" w:type="dxa"/>
            <w:tcBorders>
              <w:tl2br w:val="nil"/>
              <w:tr2bl w:val="nil"/>
            </w:tcBorders>
            <w:vAlign w:val="center"/>
          </w:tcPr>
          <w:p w14:paraId="68BE3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483" w:type="dxa"/>
            <w:tcBorders>
              <w:tl2br w:val="nil"/>
              <w:tr2bl w:val="nil"/>
            </w:tcBorders>
            <w:vAlign w:val="center"/>
          </w:tcPr>
          <w:p w14:paraId="0CC3AD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轻伤需救护</w:t>
            </w:r>
          </w:p>
        </w:tc>
      </w:tr>
    </w:tbl>
    <w:p w14:paraId="6E51E196">
      <w:pPr>
        <w:spacing w:line="240" w:lineRule="auto"/>
        <w:ind w:firstLine="422"/>
        <w:jc w:val="center"/>
        <w:rPr>
          <w:rFonts w:hint="default" w:ascii="Times New Roman" w:hAnsi="Times New Roman" w:eastAsia="黑体" w:cs="Times New Roman"/>
          <w:b/>
          <w:bCs/>
          <w:color w:val="auto"/>
          <w:sz w:val="21"/>
          <w:szCs w:val="21"/>
          <w:lang w:val="en-US" w:eastAsia="zh-CN"/>
        </w:rPr>
      </w:pPr>
    </w:p>
    <w:p w14:paraId="272D2BA3">
      <w:pPr>
        <w:spacing w:line="240" w:lineRule="auto"/>
        <w:ind w:firstLine="422"/>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F表2.2-4  （D）危险性等级划分标准</w:t>
      </w:r>
    </w:p>
    <w:tbl>
      <w:tblPr>
        <w:tblStyle w:val="48"/>
        <w:tblW w:w="92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94"/>
        <w:gridCol w:w="6445"/>
      </w:tblGrid>
      <w:tr w14:paraId="2F39EF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794" w:type="dxa"/>
            <w:tcBorders>
              <w:tl2br w:val="nil"/>
              <w:tr2bl w:val="nil"/>
            </w:tcBorders>
            <w:vAlign w:val="center"/>
          </w:tcPr>
          <w:p w14:paraId="6386C7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危险性分值（D）</w:t>
            </w:r>
          </w:p>
        </w:tc>
        <w:tc>
          <w:tcPr>
            <w:tcW w:w="6445" w:type="dxa"/>
            <w:tcBorders>
              <w:tl2br w:val="nil"/>
              <w:tr2bl w:val="nil"/>
            </w:tcBorders>
            <w:vAlign w:val="center"/>
          </w:tcPr>
          <w:p w14:paraId="12F115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危险程度</w:t>
            </w:r>
          </w:p>
        </w:tc>
      </w:tr>
      <w:tr w14:paraId="5394F7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794" w:type="dxa"/>
            <w:tcBorders>
              <w:tl2br w:val="nil"/>
              <w:tr2bl w:val="nil"/>
            </w:tcBorders>
            <w:vAlign w:val="center"/>
          </w:tcPr>
          <w:p w14:paraId="3CE537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≥320</w:t>
            </w:r>
          </w:p>
        </w:tc>
        <w:tc>
          <w:tcPr>
            <w:tcW w:w="6445" w:type="dxa"/>
            <w:tcBorders>
              <w:tl2br w:val="nil"/>
              <w:tr2bl w:val="nil"/>
            </w:tcBorders>
            <w:vAlign w:val="center"/>
          </w:tcPr>
          <w:p w14:paraId="00E8C2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极度危险，不能继续作业</w:t>
            </w:r>
          </w:p>
        </w:tc>
      </w:tr>
      <w:tr w14:paraId="1032C1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794" w:type="dxa"/>
            <w:tcBorders>
              <w:tl2br w:val="nil"/>
              <w:tr2bl w:val="nil"/>
            </w:tcBorders>
            <w:vAlign w:val="center"/>
          </w:tcPr>
          <w:p w14:paraId="73FF5F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≥160～320</w:t>
            </w:r>
          </w:p>
        </w:tc>
        <w:tc>
          <w:tcPr>
            <w:tcW w:w="6445" w:type="dxa"/>
            <w:tcBorders>
              <w:tl2br w:val="nil"/>
              <w:tr2bl w:val="nil"/>
            </w:tcBorders>
            <w:vAlign w:val="center"/>
          </w:tcPr>
          <w:p w14:paraId="1C55E3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高度危险，需要立即整改</w:t>
            </w:r>
          </w:p>
        </w:tc>
      </w:tr>
      <w:tr w14:paraId="7EAE8A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794" w:type="dxa"/>
            <w:tcBorders>
              <w:tl2br w:val="nil"/>
              <w:tr2bl w:val="nil"/>
            </w:tcBorders>
            <w:vAlign w:val="center"/>
          </w:tcPr>
          <w:p w14:paraId="2C9EDD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≥70～160</w:t>
            </w:r>
          </w:p>
        </w:tc>
        <w:tc>
          <w:tcPr>
            <w:tcW w:w="6445" w:type="dxa"/>
            <w:tcBorders>
              <w:tl2br w:val="nil"/>
              <w:tr2bl w:val="nil"/>
            </w:tcBorders>
            <w:vAlign w:val="center"/>
          </w:tcPr>
          <w:p w14:paraId="4D6D80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显著危险，需要整改</w:t>
            </w:r>
          </w:p>
        </w:tc>
      </w:tr>
      <w:tr w14:paraId="265999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794" w:type="dxa"/>
            <w:tcBorders>
              <w:tl2br w:val="nil"/>
              <w:tr2bl w:val="nil"/>
            </w:tcBorders>
            <w:vAlign w:val="center"/>
          </w:tcPr>
          <w:p w14:paraId="501BCC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≥20～70</w:t>
            </w:r>
          </w:p>
        </w:tc>
        <w:tc>
          <w:tcPr>
            <w:tcW w:w="6445" w:type="dxa"/>
            <w:tcBorders>
              <w:tl2br w:val="nil"/>
              <w:tr2bl w:val="nil"/>
            </w:tcBorders>
            <w:vAlign w:val="center"/>
          </w:tcPr>
          <w:p w14:paraId="3C8F3E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可能危险，需要注意</w:t>
            </w:r>
          </w:p>
        </w:tc>
      </w:tr>
      <w:tr w14:paraId="61F486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2794" w:type="dxa"/>
            <w:tcBorders>
              <w:tl2br w:val="nil"/>
              <w:tr2bl w:val="nil"/>
            </w:tcBorders>
            <w:vAlign w:val="center"/>
          </w:tcPr>
          <w:p w14:paraId="4E6DC4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color w:val="auto"/>
                <w:sz w:val="21"/>
                <w:szCs w:val="21"/>
              </w:rPr>
            </w:pPr>
            <w:r>
              <w:rPr>
                <w:rFonts w:hint="default"/>
                <w:color w:val="auto"/>
                <w:sz w:val="21"/>
                <w:szCs w:val="21"/>
              </w:rPr>
              <w:t>＜</w:t>
            </w:r>
            <w:r>
              <w:rPr>
                <w:rFonts w:hint="default" w:ascii="Times New Roman" w:hAnsi="Times New Roman"/>
                <w:color w:val="auto"/>
                <w:sz w:val="21"/>
                <w:szCs w:val="21"/>
              </w:rPr>
              <w:t>20</w:t>
            </w:r>
          </w:p>
        </w:tc>
        <w:tc>
          <w:tcPr>
            <w:tcW w:w="6445" w:type="dxa"/>
            <w:tcBorders>
              <w:tl2br w:val="nil"/>
              <w:tr2bl w:val="nil"/>
            </w:tcBorders>
            <w:vAlign w:val="center"/>
          </w:tcPr>
          <w:p w14:paraId="6C8065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firstLine="420"/>
              <w:jc w:val="center"/>
              <w:textAlignment w:val="auto"/>
              <w:rPr>
                <w:rFonts w:hint="default"/>
                <w:color w:val="auto"/>
                <w:sz w:val="21"/>
                <w:szCs w:val="21"/>
              </w:rPr>
            </w:pPr>
            <w:r>
              <w:rPr>
                <w:rFonts w:hint="default"/>
                <w:color w:val="auto"/>
                <w:sz w:val="21"/>
                <w:szCs w:val="21"/>
              </w:rPr>
              <w:t>稍有危险，可以接受</w:t>
            </w:r>
          </w:p>
        </w:tc>
      </w:tr>
    </w:tbl>
    <w:p w14:paraId="1F60E50E">
      <w:pPr>
        <w:pStyle w:val="3"/>
        <w:spacing w:line="360" w:lineRule="auto"/>
        <w:rPr>
          <w:rFonts w:hint="default" w:ascii="Times New Roman" w:hAnsi="Times New Roman" w:cs="Times New Roman"/>
          <w:color w:val="auto"/>
          <w:highlight w:val="none"/>
        </w:rPr>
      </w:pPr>
      <w:r>
        <w:rPr>
          <w:color w:val="auto"/>
        </w:rPr>
        <w:br w:type="page"/>
      </w:r>
      <w:bookmarkStart w:id="575" w:name="_Toc2254"/>
      <w:bookmarkStart w:id="576" w:name="_Toc7183"/>
      <w:bookmarkStart w:id="577" w:name="_Toc4108"/>
      <w:bookmarkStart w:id="578" w:name="_Toc26596"/>
      <w:bookmarkStart w:id="579" w:name="_Toc15187"/>
      <w:bookmarkStart w:id="580" w:name="_Toc534"/>
      <w:bookmarkStart w:id="581" w:name="_Toc15137"/>
      <w:bookmarkStart w:id="582" w:name="_Toc6019"/>
      <w:r>
        <w:rPr>
          <w:rFonts w:hint="default" w:ascii="Times New Roman" w:hAnsi="Times New Roman" w:cs="Times New Roman"/>
          <w:color w:val="auto"/>
          <w:highlight w:val="none"/>
        </w:rPr>
        <w:t>附件三：</w:t>
      </w:r>
      <w:bookmarkEnd w:id="575"/>
      <w:bookmarkEnd w:id="576"/>
      <w:bookmarkEnd w:id="577"/>
      <w:bookmarkEnd w:id="578"/>
      <w:bookmarkEnd w:id="579"/>
      <w:bookmarkEnd w:id="580"/>
      <w:bookmarkEnd w:id="581"/>
      <w:r>
        <w:rPr>
          <w:rFonts w:hint="default" w:ascii="Times New Roman" w:hAnsi="Times New Roman" w:cs="Times New Roman"/>
          <w:color w:val="auto"/>
          <w:highlight w:val="none"/>
        </w:rPr>
        <w:t>主要危险、有害因素分析</w:t>
      </w:r>
      <w:bookmarkEnd w:id="582"/>
    </w:p>
    <w:p w14:paraId="6A17EAB3">
      <w:pPr>
        <w:pStyle w:val="4"/>
        <w:spacing w:line="360" w:lineRule="auto"/>
        <w:jc w:val="both"/>
        <w:rPr>
          <w:rFonts w:hint="default" w:ascii="Times New Roman" w:hAnsi="Times New Roman" w:cs="Times New Roman"/>
          <w:color w:val="auto"/>
          <w:highlight w:val="none"/>
        </w:rPr>
      </w:pPr>
      <w:bookmarkStart w:id="583" w:name="_Toc30868"/>
      <w:bookmarkStart w:id="584" w:name="_Toc28287"/>
      <w:bookmarkStart w:id="585" w:name="_Toc5472"/>
      <w:bookmarkStart w:id="586" w:name="_Toc32662"/>
      <w:bookmarkStart w:id="587" w:name="_Toc30789"/>
      <w:bookmarkStart w:id="588" w:name="_Toc8926"/>
      <w:bookmarkStart w:id="589" w:name="_Toc26237"/>
      <w:bookmarkStart w:id="590" w:name="_Toc4372"/>
      <w:r>
        <w:rPr>
          <w:rFonts w:hint="default" w:ascii="Times New Roman" w:hAnsi="Times New Roman" w:cs="Times New Roman"/>
          <w:color w:val="auto"/>
          <w:highlight w:val="none"/>
        </w:rPr>
        <w:t>F3.1物料危险有害因素辨识与分析</w:t>
      </w:r>
      <w:bookmarkEnd w:id="583"/>
      <w:bookmarkEnd w:id="584"/>
      <w:bookmarkEnd w:id="585"/>
      <w:bookmarkEnd w:id="586"/>
      <w:bookmarkEnd w:id="587"/>
      <w:bookmarkEnd w:id="588"/>
      <w:bookmarkEnd w:id="589"/>
      <w:bookmarkEnd w:id="590"/>
    </w:p>
    <w:p w14:paraId="0077EC80">
      <w:pPr>
        <w:pStyle w:val="5"/>
        <w:spacing w:line="360" w:lineRule="auto"/>
        <w:ind w:left="0" w:leftChars="0" w:firstLine="0" w:firstLineChars="0"/>
        <w:rPr>
          <w:rFonts w:hint="default" w:ascii="Times New Roman" w:hAnsi="Times New Roman" w:cs="Times New Roman"/>
          <w:color w:val="auto"/>
          <w:highlight w:val="none"/>
        </w:rPr>
      </w:pPr>
      <w:bookmarkStart w:id="591" w:name="_Toc30606"/>
      <w:r>
        <w:rPr>
          <w:rFonts w:hint="default" w:ascii="Times New Roman" w:hAnsi="Times New Roman" w:cs="Times New Roman"/>
          <w:color w:val="auto"/>
          <w:highlight w:val="none"/>
        </w:rPr>
        <w:t>F3.1.1危险化学品的辨识</w:t>
      </w:r>
      <w:bookmarkEnd w:id="591"/>
    </w:p>
    <w:p w14:paraId="3E191334">
      <w:pPr>
        <w:spacing w:line="360" w:lineRule="auto"/>
        <w:ind w:firstLine="560"/>
        <w:rPr>
          <w:color w:val="auto"/>
          <w:highlight w:val="none"/>
        </w:rPr>
      </w:pPr>
      <w:bookmarkStart w:id="592" w:name="_Toc125175178"/>
      <w:bookmarkStart w:id="593" w:name="_Toc104360615"/>
      <w:bookmarkStart w:id="594" w:name="_Toc116555513"/>
      <w:bookmarkStart w:id="595" w:name="_Toc116870930"/>
      <w:bookmarkStart w:id="596" w:name="_Toc132555777"/>
      <w:bookmarkStart w:id="597" w:name="_Toc181977936"/>
      <w:bookmarkStart w:id="598" w:name="_Toc233125873"/>
      <w:bookmarkStart w:id="599" w:name="_Toc110830008"/>
      <w:bookmarkStart w:id="600" w:name="_Toc104618806"/>
      <w:bookmarkStart w:id="601" w:name="_Toc110830102"/>
      <w:bookmarkStart w:id="602" w:name="_Toc104888516"/>
      <w:bookmarkStart w:id="603" w:name="_Toc232860198"/>
      <w:bookmarkStart w:id="604" w:name="_Toc110831308"/>
      <w:bookmarkStart w:id="605" w:name="_Toc132556125"/>
      <w:bookmarkStart w:id="606" w:name="_Toc104360319"/>
      <w:bookmarkStart w:id="607" w:name="_Toc110831487"/>
      <w:bookmarkStart w:id="608" w:name="_Toc105902706"/>
      <w:bookmarkStart w:id="609" w:name="_Toc132556038"/>
      <w:bookmarkStart w:id="610" w:name="_Toc110830055"/>
      <w:bookmarkStart w:id="611" w:name="_Toc116871081"/>
      <w:bookmarkStart w:id="612" w:name="_Toc132556212"/>
      <w:bookmarkStart w:id="613" w:name="_Toc104360742"/>
      <w:bookmarkStart w:id="614" w:name="_Toc104468987"/>
      <w:bookmarkStart w:id="615" w:name="_Toc25349"/>
      <w:bookmarkStart w:id="616" w:name="_Toc110830350"/>
      <w:bookmarkStart w:id="617" w:name="_Toc105902838"/>
      <w:bookmarkStart w:id="618" w:name="_Toc105902896"/>
      <w:bookmarkStart w:id="619" w:name="_Toc232859904"/>
      <w:bookmarkStart w:id="620" w:name="_Toc187311420"/>
      <w:bookmarkStart w:id="621" w:name="_Toc187312352"/>
      <w:bookmarkStart w:id="622" w:name="_Toc110830151"/>
      <w:bookmarkStart w:id="623" w:name="_Toc341919497"/>
      <w:bookmarkStart w:id="624" w:name="_Toc110831871"/>
      <w:bookmarkStart w:id="625" w:name="_Toc104888438"/>
      <w:bookmarkStart w:id="626" w:name="_Toc23745"/>
      <w:bookmarkStart w:id="627" w:name="_Toc187312273"/>
      <w:bookmarkStart w:id="628" w:name="_Toc187490919"/>
      <w:bookmarkStart w:id="629" w:name="_Toc110997760"/>
      <w:bookmarkStart w:id="630" w:name="_Toc233125204"/>
      <w:bookmarkStart w:id="631" w:name="_Toc116359751"/>
      <w:bookmarkStart w:id="632" w:name="_Toc132555603"/>
      <w:bookmarkStart w:id="633" w:name="_Toc124152825"/>
      <w:r>
        <w:rPr>
          <w:rFonts w:hint="default" w:ascii="Times New Roman" w:hAnsi="Times New Roman" w:cs="Times New Roman"/>
          <w:color w:val="auto"/>
          <w:highlight w:val="none"/>
        </w:rPr>
        <w:t>该加油站经</w:t>
      </w:r>
      <w:r>
        <w:rPr>
          <w:color w:val="auto"/>
          <w:highlight w:val="none"/>
        </w:rPr>
        <w:t>营车用汽油，按照</w:t>
      </w:r>
      <w:r>
        <w:rPr>
          <w:rFonts w:hint="eastAsia"/>
          <w:color w:val="auto"/>
          <w:highlight w:val="none"/>
          <w:lang w:eastAsia="zh-CN"/>
        </w:rPr>
        <w:t>《危险化学品目录》</w:t>
      </w:r>
      <w:r>
        <w:rPr>
          <w:color w:val="auto"/>
          <w:highlight w:val="none"/>
        </w:rPr>
        <w:t>和《化学品分类和危险性公示通则》（</w:t>
      </w:r>
      <w:r>
        <w:rPr>
          <w:rFonts w:ascii="Times New Roman" w:hAnsi="Times New Roman"/>
          <w:color w:val="auto"/>
          <w:highlight w:val="none"/>
        </w:rPr>
        <w:t>GB13690</w:t>
      </w:r>
      <w:r>
        <w:rPr>
          <w:color w:val="auto"/>
          <w:highlight w:val="none"/>
        </w:rPr>
        <w:t>-</w:t>
      </w:r>
      <w:r>
        <w:rPr>
          <w:rFonts w:ascii="Times New Roman" w:hAnsi="Times New Roman"/>
          <w:color w:val="auto"/>
          <w:highlight w:val="none"/>
        </w:rPr>
        <w:t>2009</w:t>
      </w:r>
      <w:r>
        <w:rPr>
          <w:color w:val="auto"/>
          <w:highlight w:val="none"/>
        </w:rPr>
        <w:t>）的分类标准，</w:t>
      </w:r>
      <w:r>
        <w:rPr>
          <w:rFonts w:hint="eastAsia"/>
          <w:color w:val="auto"/>
          <w:highlight w:val="none"/>
        </w:rPr>
        <w:t>该加油站</w:t>
      </w:r>
      <w:r>
        <w:rPr>
          <w:color w:val="auto"/>
          <w:highlight w:val="none"/>
        </w:rPr>
        <w:t>经营的车用汽油属于危险化学品。汽油为经营过程中存在的主要危险、有害物质，若处置不当，操作不符合要求，意外泄漏，遇点火源，就可能导致火灾爆炸事故的发生，油品不完全燃烧产生的有毒烟雾（含有一氧化碳等物质）易引起人体中毒，其相应的理化特性、火灾危险性、危规分类及危险特性见下表。</w:t>
      </w:r>
    </w:p>
    <w:p w14:paraId="641B5751">
      <w:pPr>
        <w:pStyle w:val="2"/>
        <w:spacing w:line="240" w:lineRule="auto"/>
        <w:ind w:firstLine="422"/>
        <w:rPr>
          <w:rFonts w:hint="default" w:ascii="Times New Roman" w:hAnsi="Times New Roman" w:cs="Times New Roman"/>
          <w:color w:val="auto"/>
          <w:szCs w:val="21"/>
        </w:rPr>
      </w:pPr>
      <w:r>
        <w:rPr>
          <w:rFonts w:hint="default" w:ascii="Times New Roman" w:hAnsi="Times New Roman" w:cs="Times New Roman"/>
          <w:color w:val="auto"/>
          <w:szCs w:val="21"/>
        </w:rPr>
        <w:t>F表3.1-1 汽油的理化特性表</w:t>
      </w:r>
    </w:p>
    <w:tbl>
      <w:tblPr>
        <w:tblStyle w:val="48"/>
        <w:tblW w:w="9739" w:type="dxa"/>
        <w:tblInd w:w="-4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427"/>
        <w:gridCol w:w="2769"/>
        <w:gridCol w:w="1206"/>
        <w:gridCol w:w="180"/>
        <w:gridCol w:w="1383"/>
        <w:gridCol w:w="2774"/>
      </w:tblGrid>
      <w:tr w14:paraId="7E138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restart"/>
            <w:noWrap w:val="0"/>
            <w:vAlign w:val="center"/>
          </w:tcPr>
          <w:p w14:paraId="585F44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bookmarkStart w:id="634" w:name="_Toc6553"/>
            <w:r>
              <w:rPr>
                <w:rFonts w:hint="default" w:ascii="Times New Roman" w:hAnsi="Times New Roman" w:eastAsia="宋体" w:cs="Times New Roman"/>
                <w:b/>
                <w:color w:val="auto"/>
                <w:sz w:val="21"/>
                <w:szCs w:val="21"/>
              </w:rPr>
              <w:t>化学品及企业标识</w:t>
            </w:r>
          </w:p>
        </w:tc>
        <w:tc>
          <w:tcPr>
            <w:tcW w:w="8312" w:type="dxa"/>
            <w:gridSpan w:val="5"/>
            <w:noWrap w:val="0"/>
            <w:vAlign w:val="center"/>
          </w:tcPr>
          <w:p w14:paraId="1E3CD93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化学品中文名：汽油</w:t>
            </w:r>
          </w:p>
        </w:tc>
      </w:tr>
      <w:tr w14:paraId="33E2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continue"/>
            <w:noWrap w:val="0"/>
            <w:vAlign w:val="center"/>
          </w:tcPr>
          <w:p w14:paraId="4D045D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77F0DDD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化学品英文名：gasoline；petrol</w:t>
            </w:r>
          </w:p>
        </w:tc>
      </w:tr>
      <w:tr w14:paraId="7E046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4D2D5C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成分/组成信息</w:t>
            </w:r>
          </w:p>
        </w:tc>
        <w:tc>
          <w:tcPr>
            <w:tcW w:w="4155" w:type="dxa"/>
            <w:gridSpan w:val="3"/>
            <w:noWrap w:val="0"/>
            <w:vAlign w:val="center"/>
          </w:tcPr>
          <w:p w14:paraId="2B0338F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纯品：</w:t>
            </w:r>
          </w:p>
        </w:tc>
        <w:tc>
          <w:tcPr>
            <w:tcW w:w="4157" w:type="dxa"/>
            <w:gridSpan w:val="2"/>
            <w:noWrap w:val="0"/>
            <w:vAlign w:val="center"/>
          </w:tcPr>
          <w:p w14:paraId="5C1DDD4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混合物：√</w:t>
            </w:r>
          </w:p>
        </w:tc>
      </w:tr>
      <w:tr w14:paraId="0415A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79B24B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2769" w:type="dxa"/>
            <w:noWrap w:val="0"/>
            <w:vAlign w:val="center"/>
          </w:tcPr>
          <w:p w14:paraId="23E061D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有害物成分：C4~C12的烃类</w:t>
            </w:r>
          </w:p>
        </w:tc>
        <w:tc>
          <w:tcPr>
            <w:tcW w:w="2769" w:type="dxa"/>
            <w:gridSpan w:val="3"/>
            <w:noWrap w:val="0"/>
            <w:vAlign w:val="center"/>
          </w:tcPr>
          <w:p w14:paraId="136F289C">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浓度：无资料</w:t>
            </w:r>
          </w:p>
        </w:tc>
        <w:tc>
          <w:tcPr>
            <w:tcW w:w="2774" w:type="dxa"/>
            <w:noWrap w:val="0"/>
            <w:vAlign w:val="center"/>
          </w:tcPr>
          <w:p w14:paraId="00BD4ECC">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CAS No.：8006-61-9</w:t>
            </w:r>
          </w:p>
        </w:tc>
      </w:tr>
      <w:tr w14:paraId="41C21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6EFB3E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危险性概述</w:t>
            </w:r>
          </w:p>
        </w:tc>
        <w:tc>
          <w:tcPr>
            <w:tcW w:w="8312" w:type="dxa"/>
            <w:gridSpan w:val="5"/>
            <w:noWrap w:val="0"/>
            <w:vAlign w:val="center"/>
          </w:tcPr>
          <w:p w14:paraId="065EC8AB">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危险性类别：第3.1类 低闪点液体</w:t>
            </w:r>
          </w:p>
        </w:tc>
      </w:tr>
      <w:tr w14:paraId="0A631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continue"/>
            <w:noWrap w:val="0"/>
            <w:vAlign w:val="center"/>
          </w:tcPr>
          <w:p w14:paraId="79B4E6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76B26D8A">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侵入途径：吸入、食入</w:t>
            </w:r>
          </w:p>
        </w:tc>
      </w:tr>
      <w:tr w14:paraId="4AC36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369" w:hRule="atLeast"/>
        </w:trPr>
        <w:tc>
          <w:tcPr>
            <w:tcW w:w="1427" w:type="dxa"/>
            <w:vMerge w:val="continue"/>
            <w:noWrap w:val="0"/>
            <w:vAlign w:val="center"/>
          </w:tcPr>
          <w:p w14:paraId="3EEF65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6494F0DB">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健康危害：汽油为麻醉性毒物，急性汽油中毒主要引起中枢神经系统和呼吸系统损害。</w:t>
            </w:r>
          </w:p>
          <w:p w14:paraId="659F77EA">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急性中毒：吸入汽油蒸气后，轻度中毒出现头痛、头晕、恶心、呕吐、步态不稳、视力模糊、烦躁、哭笑无常、兴奋不安、轻度意识障碍等。重度中毒出现中度或重度意识障碍、化学性肺炎、反射性呼吸停止。汽油液体被吸入呼吸道后引起吸入性肺炎，出现剧烈咳嗽、胸痛、咯血、发热、呼吸困难、紫绀。如汽油液体进入呼吸道，表现为频繁呕吐、胸骨后灼热感、腹痛、腹泻、肝脏肿大及压痛。皮肤浸泡或浸渍于汽油时间较长后，受浸皮肤出现水疱、表皮破碎脱落，呈Ⅱ度灼伤。个别敏感者可发生急性皮炎。</w:t>
            </w:r>
          </w:p>
          <w:p w14:paraId="173DCCB3">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慢性中毒：表现为神经衰弱综合症、植物神经功能紊乱、周围神经病。严重中毒出现中毒性脑病，中毒性精神病、类精神分裂症、中毒性周围神经病所致肢体瘫痪。可引起肾脏损害。长期接触汽油可引起血中白细胞等血细胞的减少，其原因是由于汽油内苯含量较高，其临床表现同慢性苯中毒。皮肤损害可见皮肤干燥、皲裂、角化、毛囊炎慢性湿疹、指甲变厚和凹陷。严重者可引起剥落性皮炎。</w:t>
            </w:r>
          </w:p>
        </w:tc>
      </w:tr>
      <w:tr w14:paraId="28AC7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4C3AF2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517B52D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环境危害：对环境有危害</w:t>
            </w:r>
          </w:p>
        </w:tc>
      </w:tr>
      <w:tr w14:paraId="4CBD0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75D051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543B18D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燃爆危险：极易燃，其蒸气与空气混合，能形成爆炸性混合物。</w:t>
            </w:r>
          </w:p>
        </w:tc>
      </w:tr>
      <w:tr w14:paraId="5E8A5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616EB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急救措施</w:t>
            </w:r>
          </w:p>
        </w:tc>
        <w:tc>
          <w:tcPr>
            <w:tcW w:w="8312" w:type="dxa"/>
            <w:gridSpan w:val="5"/>
            <w:noWrap w:val="0"/>
            <w:vAlign w:val="center"/>
          </w:tcPr>
          <w:p w14:paraId="011B3EE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皮肤接触：立即脱去污染的衣着，用肥皂水和清水彻底冲洗皮肤。如有不适感，就医。</w:t>
            </w:r>
          </w:p>
        </w:tc>
      </w:tr>
      <w:tr w14:paraId="6F9A6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3D76C1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1897BCB7">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眼睛接触：立即提起眼睑，用大量流动清水或生理盐水彻底冲洗。如有不适感，就医。</w:t>
            </w:r>
          </w:p>
        </w:tc>
      </w:tr>
      <w:tr w14:paraId="7D38B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continue"/>
            <w:noWrap w:val="0"/>
            <w:vAlign w:val="center"/>
          </w:tcPr>
          <w:p w14:paraId="35705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0BBFC82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吸入：迅速脱离现场至空气新鲜处。保持呼吸道通畅。如呼吸困难，给输氧。呼吸、心跳停止，立即进行人工呼吸。就医。</w:t>
            </w:r>
          </w:p>
        </w:tc>
      </w:tr>
      <w:tr w14:paraId="42E0D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2EB263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2FDD1C2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食入：饮水，禁止催吐。如有不适感，就医。</w:t>
            </w:r>
          </w:p>
        </w:tc>
      </w:tr>
      <w:tr w14:paraId="7F803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restart"/>
            <w:noWrap w:val="0"/>
            <w:vAlign w:val="center"/>
          </w:tcPr>
          <w:p w14:paraId="50006C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消防措施</w:t>
            </w:r>
          </w:p>
        </w:tc>
        <w:tc>
          <w:tcPr>
            <w:tcW w:w="8312" w:type="dxa"/>
            <w:gridSpan w:val="5"/>
            <w:noWrap w:val="0"/>
            <w:vAlign w:val="center"/>
          </w:tcPr>
          <w:p w14:paraId="2EE7E27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危险特性：其蒸气与空气可形成爆炸性混合物。遇明火、高热极易燃烧爆炸。与氧化剂能发生强烈反应。蒸气比空气重，沿地面扩散并易积存于低洼处，遇火源会着火回燃。</w:t>
            </w:r>
          </w:p>
        </w:tc>
      </w:tr>
      <w:tr w14:paraId="62B72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continue"/>
            <w:noWrap w:val="0"/>
            <w:vAlign w:val="center"/>
          </w:tcPr>
          <w:p w14:paraId="710C02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5DD4CB51">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有害燃烧产物：一氧化碳</w:t>
            </w:r>
          </w:p>
        </w:tc>
      </w:tr>
      <w:tr w14:paraId="2F34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E99E6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194E4151">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灭火方法：泡沫、干粉、二氧化碳。</w:t>
            </w:r>
          </w:p>
        </w:tc>
      </w:tr>
      <w:tr w14:paraId="46CF3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99" w:hRule="atLeast"/>
        </w:trPr>
        <w:tc>
          <w:tcPr>
            <w:tcW w:w="1427" w:type="dxa"/>
            <w:vMerge w:val="continue"/>
            <w:noWrap w:val="0"/>
            <w:vAlign w:val="center"/>
          </w:tcPr>
          <w:p w14:paraId="0F499B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6D19511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灭火注意事项及措施：消防人员必须佩戴空气呼吸器、穿全身防火防毒服，在上风向灭火。喷水冷却容器，可能的话将容器从火场移至空旷处。容器突然发出异常声音或出现异常现象，应立即撤离。</w:t>
            </w:r>
          </w:p>
        </w:tc>
      </w:tr>
      <w:tr w14:paraId="47E2B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506" w:hRule="atLeast"/>
        </w:trPr>
        <w:tc>
          <w:tcPr>
            <w:tcW w:w="1427" w:type="dxa"/>
            <w:noWrap w:val="0"/>
            <w:vAlign w:val="center"/>
          </w:tcPr>
          <w:p w14:paraId="67AD84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color w:val="auto"/>
                <w:szCs w:val="21"/>
              </w:rPr>
            </w:pPr>
            <w:r>
              <w:rPr>
                <w:rFonts w:hint="default" w:ascii="Times New Roman" w:hAnsi="Times New Roman" w:eastAsia="宋体" w:cs="Times New Roman"/>
                <w:b/>
                <w:color w:val="auto"/>
                <w:sz w:val="21"/>
                <w:szCs w:val="21"/>
              </w:rPr>
              <w:t>泄漏应急处理</w:t>
            </w:r>
          </w:p>
        </w:tc>
        <w:tc>
          <w:tcPr>
            <w:tcW w:w="8312" w:type="dxa"/>
            <w:gridSpan w:val="5"/>
            <w:noWrap w:val="0"/>
            <w:vAlign w:val="center"/>
          </w:tcPr>
          <w:p w14:paraId="1D2DE79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应急行动：消除所有点火源。根据液体流动和蒸气扩散的影响区域划定警戒区，无关人员从侧风、上风向撤离至安全区。建议应急处理人员戴正压自给式呼吸器，穿防毒、防静电服，戴橡胶耐油手套。作业时使用的所有设备应接地。禁止接触或跨越泄漏物。尽可能切断泄漏源。防止泄漏物进入水体、下水道、地下室或限制性空间。小量泄漏：用砂土或其他不燃材料吸收。使用洁净的无火花工具收集吸收材料。大量泄漏：构筑围堤或挖坑收容。用泡沫覆盖，减少蒸发。喷水雾能减少蒸发，但不能降低泄漏物在限制性空间内的易燃性。用防爆泵转移至槽车或专用收集器内。</w:t>
            </w:r>
          </w:p>
        </w:tc>
      </w:tr>
      <w:tr w14:paraId="1DCD0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92" w:hRule="atLeast"/>
        </w:trPr>
        <w:tc>
          <w:tcPr>
            <w:tcW w:w="1427" w:type="dxa"/>
            <w:vMerge w:val="restart"/>
            <w:noWrap w:val="0"/>
            <w:vAlign w:val="center"/>
          </w:tcPr>
          <w:p w14:paraId="6F43B0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操作处置</w:t>
            </w:r>
          </w:p>
          <w:p w14:paraId="26B801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color w:val="auto"/>
                <w:szCs w:val="21"/>
              </w:rPr>
            </w:pPr>
            <w:r>
              <w:rPr>
                <w:rFonts w:hint="default" w:ascii="Times New Roman" w:hAnsi="Times New Roman" w:eastAsia="宋体" w:cs="Times New Roman"/>
                <w:b/>
                <w:color w:val="auto"/>
                <w:sz w:val="21"/>
                <w:szCs w:val="21"/>
              </w:rPr>
              <w:t>与储存</w:t>
            </w:r>
          </w:p>
        </w:tc>
        <w:tc>
          <w:tcPr>
            <w:tcW w:w="8312" w:type="dxa"/>
            <w:gridSpan w:val="5"/>
            <w:noWrap w:val="0"/>
            <w:vAlign w:val="center"/>
          </w:tcPr>
          <w:p w14:paraId="013735C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操作注意事项：密闭操作，全面通风。操作人员必须经过专门培训，严格遵守操作规程。建议操作人员穿防静电工作服，戴橡胶耐油手套。远离火种、热源，工作场所严禁吸烟。使用防爆型的通风系统和设备。防止蒸气泄漏到工作场所空气中。避免与氧化剂接触。灌装时应控制流速，且有接地装置，防止静电积聚。搬运时要轻装轻卸，防止包装及容器损坏。配备相应品种和数量的消防器材及泄漏应急处理设备。</w:t>
            </w:r>
          </w:p>
        </w:tc>
      </w:tr>
      <w:tr w14:paraId="6EF41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189" w:hRule="atLeast"/>
        </w:trPr>
        <w:tc>
          <w:tcPr>
            <w:tcW w:w="1427" w:type="dxa"/>
            <w:vMerge w:val="continue"/>
            <w:noWrap w:val="0"/>
            <w:vAlign w:val="center"/>
          </w:tcPr>
          <w:p w14:paraId="584E3E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286F602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储存注意事项：用储罐、铁桶等容器盛装，盛装时切不可充满，要留出必要的安全空间。桶装汽油储存于阴凉、通风的库房。远离火种、热源，炎热季节应采取喷淋、通风等降温措施。库温不宜超过29℃。保持容器密封。应与氧化剂分开存放，切忌混储。采用防爆型照明、通风设施。禁止使用易产生火花的机械设备和工具。储区应备有泄漏应急处理设备和合适的收容材料。罐储时要有防火防爆技术措施。充装时流速不超过3 m/s，且有接地装置，防止静电积聚。</w:t>
            </w:r>
          </w:p>
        </w:tc>
      </w:tr>
      <w:tr w14:paraId="1B987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95" w:hRule="atLeast"/>
        </w:trPr>
        <w:tc>
          <w:tcPr>
            <w:tcW w:w="1427" w:type="dxa"/>
            <w:vMerge w:val="restart"/>
            <w:noWrap w:val="0"/>
            <w:vAlign w:val="center"/>
          </w:tcPr>
          <w:p w14:paraId="2F6317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接触控制/个体防护</w:t>
            </w:r>
          </w:p>
        </w:tc>
        <w:tc>
          <w:tcPr>
            <w:tcW w:w="8312" w:type="dxa"/>
            <w:gridSpan w:val="5"/>
            <w:tcBorders>
              <w:bottom w:val="single" w:color="auto" w:sz="4" w:space="0"/>
            </w:tcBorders>
            <w:noWrap w:val="0"/>
            <w:vAlign w:val="center"/>
          </w:tcPr>
          <w:p w14:paraId="1E589E1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职业接触限值：中国 PC-TWA (mg/m3)：300 [溶剂汽油]</w:t>
            </w:r>
          </w:p>
          <w:p w14:paraId="4BF2380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PC-STEL (mg/m3)：450 [溶剂汽油]</w:t>
            </w:r>
          </w:p>
          <w:p w14:paraId="631F8F1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美国（ACGIH）TLV-TWA：300 ppm</w:t>
            </w:r>
          </w:p>
          <w:p w14:paraId="6031CA7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TLV-STEL：500 ppm</w:t>
            </w:r>
          </w:p>
        </w:tc>
      </w:tr>
      <w:tr w14:paraId="33D02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0482D4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1C714D0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监测方法：热解析-气相色谱法；直接进样-气相色谱法</w:t>
            </w:r>
          </w:p>
        </w:tc>
      </w:tr>
      <w:tr w14:paraId="010E2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58AAC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0DBFB29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工程控制：生产过程密闭，全面通风。</w:t>
            </w:r>
          </w:p>
        </w:tc>
      </w:tr>
      <w:tr w14:paraId="7AA7C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rPr>
        <w:tc>
          <w:tcPr>
            <w:tcW w:w="1427" w:type="dxa"/>
            <w:vMerge w:val="continue"/>
            <w:noWrap w:val="0"/>
            <w:vAlign w:val="center"/>
          </w:tcPr>
          <w:p w14:paraId="64BF30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68AFFBC4">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呼吸系统防护：一般不需要特殊防护，高浓度接触时可佩戴自吸过滤式防毒面具（半面罩）。</w:t>
            </w:r>
          </w:p>
        </w:tc>
      </w:tr>
      <w:tr w14:paraId="5AB2E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B62EF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614DEFD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眼睛防护：一般不需要特殊防护，高浓度接触时可戴化学安全防护眼镜。</w:t>
            </w:r>
          </w:p>
        </w:tc>
      </w:tr>
      <w:tr w14:paraId="189DA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74797C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2DEDD7C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身体防护：穿防静电工作服。</w:t>
            </w:r>
          </w:p>
        </w:tc>
      </w:tr>
      <w:tr w14:paraId="0DF3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6FF75D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699FD4C7">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手防护：戴橡胶耐油手套。</w:t>
            </w:r>
          </w:p>
        </w:tc>
      </w:tr>
      <w:tr w14:paraId="21F35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768CC5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3C8604D1">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其他防护：工作现场严禁吸烟。避免长期反复接触。</w:t>
            </w:r>
          </w:p>
        </w:tc>
      </w:tr>
      <w:tr w14:paraId="2BFB7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551016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理化特性</w:t>
            </w:r>
          </w:p>
        </w:tc>
        <w:tc>
          <w:tcPr>
            <w:tcW w:w="8312" w:type="dxa"/>
            <w:gridSpan w:val="5"/>
            <w:noWrap w:val="0"/>
            <w:vAlign w:val="center"/>
          </w:tcPr>
          <w:p w14:paraId="175371D3">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外观与性状：无色或浅黄色透明液体, 易挥发，具有典型的石油烃气味。</w:t>
            </w:r>
          </w:p>
        </w:tc>
      </w:tr>
      <w:tr w14:paraId="0A6E9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2CDABE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noWrap w:val="0"/>
            <w:vAlign w:val="center"/>
          </w:tcPr>
          <w:p w14:paraId="1BDD493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pH值：无资料</w:t>
            </w:r>
          </w:p>
        </w:tc>
        <w:tc>
          <w:tcPr>
            <w:tcW w:w="4337" w:type="dxa"/>
            <w:gridSpan w:val="3"/>
            <w:noWrap w:val="0"/>
            <w:vAlign w:val="center"/>
          </w:tcPr>
          <w:p w14:paraId="606AE93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熔点（℃）：-95.4~-90.5</w:t>
            </w:r>
          </w:p>
        </w:tc>
      </w:tr>
      <w:tr w14:paraId="11B7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3328E3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noWrap w:val="0"/>
            <w:vAlign w:val="center"/>
          </w:tcPr>
          <w:p w14:paraId="353C460F">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沸点（℃）：25~220</w:t>
            </w:r>
          </w:p>
        </w:tc>
        <w:tc>
          <w:tcPr>
            <w:tcW w:w="4337" w:type="dxa"/>
            <w:gridSpan w:val="3"/>
            <w:noWrap w:val="0"/>
            <w:vAlign w:val="center"/>
          </w:tcPr>
          <w:p w14:paraId="400946CF">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相对密度（水=1）：0.70~0.80</w:t>
            </w:r>
          </w:p>
        </w:tc>
      </w:tr>
      <w:tr w14:paraId="58D5B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32F99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noWrap w:val="0"/>
            <w:vAlign w:val="center"/>
          </w:tcPr>
          <w:p w14:paraId="41F3E36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相对蒸气密度（空气=1）：3~4</w:t>
            </w:r>
          </w:p>
        </w:tc>
        <w:tc>
          <w:tcPr>
            <w:tcW w:w="4337" w:type="dxa"/>
            <w:gridSpan w:val="3"/>
            <w:noWrap w:val="0"/>
            <w:vAlign w:val="center"/>
          </w:tcPr>
          <w:p w14:paraId="7EE56C1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饱和蒸汽压（kPa）：40.5~91.8（37.8℃）</w:t>
            </w:r>
          </w:p>
        </w:tc>
      </w:tr>
      <w:tr w14:paraId="678F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63437D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noWrap w:val="0"/>
            <w:vAlign w:val="center"/>
          </w:tcPr>
          <w:p w14:paraId="0CB2E78C">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临界压力（MPa）：无资料</w:t>
            </w:r>
          </w:p>
        </w:tc>
        <w:tc>
          <w:tcPr>
            <w:tcW w:w="4337" w:type="dxa"/>
            <w:gridSpan w:val="3"/>
            <w:noWrap w:val="0"/>
            <w:vAlign w:val="center"/>
          </w:tcPr>
          <w:p w14:paraId="423BEE73">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辛醇/水分配系数：2~7</w:t>
            </w:r>
          </w:p>
        </w:tc>
      </w:tr>
      <w:tr w14:paraId="264B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66" w:hRule="atLeast"/>
        </w:trPr>
        <w:tc>
          <w:tcPr>
            <w:tcW w:w="1427" w:type="dxa"/>
            <w:vMerge w:val="continue"/>
            <w:noWrap w:val="0"/>
            <w:vAlign w:val="center"/>
          </w:tcPr>
          <w:p w14:paraId="7A3A44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noWrap w:val="0"/>
            <w:vAlign w:val="center"/>
          </w:tcPr>
          <w:p w14:paraId="62160D3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闪点（℃）：-58~10</w:t>
            </w:r>
          </w:p>
        </w:tc>
        <w:tc>
          <w:tcPr>
            <w:tcW w:w="4337" w:type="dxa"/>
            <w:gridSpan w:val="3"/>
            <w:noWrap w:val="0"/>
            <w:vAlign w:val="center"/>
          </w:tcPr>
          <w:p w14:paraId="5DFCC0D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引燃温度（℃）：250~530</w:t>
            </w:r>
          </w:p>
        </w:tc>
      </w:tr>
      <w:tr w14:paraId="2B206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517783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3975" w:type="dxa"/>
            <w:gridSpan w:val="2"/>
            <w:tcBorders>
              <w:bottom w:val="single" w:color="auto" w:sz="4" w:space="0"/>
            </w:tcBorders>
            <w:noWrap w:val="0"/>
            <w:vAlign w:val="center"/>
          </w:tcPr>
          <w:p w14:paraId="795F76F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爆炸下限（%）：1.3</w:t>
            </w:r>
          </w:p>
        </w:tc>
        <w:tc>
          <w:tcPr>
            <w:tcW w:w="4337" w:type="dxa"/>
            <w:gridSpan w:val="3"/>
            <w:tcBorders>
              <w:bottom w:val="single" w:color="auto" w:sz="4" w:space="0"/>
            </w:tcBorders>
            <w:noWrap w:val="0"/>
            <w:vAlign w:val="center"/>
          </w:tcPr>
          <w:p w14:paraId="7FE2818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爆炸上限（%）：7.6</w:t>
            </w:r>
          </w:p>
        </w:tc>
      </w:tr>
      <w:tr w14:paraId="0B83D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0B814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63BA5F9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溶解性：不溶于水，易溶于苯、二硫化碳、乙醇、脂肪、乙醚、氯仿等。</w:t>
            </w:r>
          </w:p>
        </w:tc>
      </w:tr>
      <w:tr w14:paraId="4657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continue"/>
            <w:noWrap w:val="0"/>
            <w:vAlign w:val="center"/>
          </w:tcPr>
          <w:p w14:paraId="2DDB44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30EF1FE4">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主要用途：主要用作汽油机的燃料,可用于橡胶、制鞋、印刷、制革、颜料等行业, 也可用作机械零件的去污剂。</w:t>
            </w:r>
          </w:p>
        </w:tc>
      </w:tr>
      <w:tr w14:paraId="4522A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6D8DA5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稳定性和反应性</w:t>
            </w:r>
          </w:p>
        </w:tc>
        <w:tc>
          <w:tcPr>
            <w:tcW w:w="8312" w:type="dxa"/>
            <w:gridSpan w:val="5"/>
            <w:noWrap w:val="0"/>
            <w:vAlign w:val="center"/>
          </w:tcPr>
          <w:p w14:paraId="6209AA6B">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稳定性：稳定</w:t>
            </w:r>
          </w:p>
        </w:tc>
      </w:tr>
      <w:tr w14:paraId="390A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567ABF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166F656F">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禁配物：强氧化剂、强酸、强碱、卤素</w:t>
            </w:r>
          </w:p>
        </w:tc>
      </w:tr>
      <w:tr w14:paraId="2BB9D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4F7342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3A489A9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避免接触的条件：无资料</w:t>
            </w:r>
          </w:p>
        </w:tc>
      </w:tr>
      <w:tr w14:paraId="1518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C0FD3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013EF2A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聚合危害：不聚合</w:t>
            </w:r>
          </w:p>
        </w:tc>
      </w:tr>
      <w:tr w14:paraId="2541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8834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368351F3">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分解产物：无资料</w:t>
            </w:r>
          </w:p>
        </w:tc>
      </w:tr>
      <w:tr w14:paraId="1A3E6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restart"/>
            <w:noWrap w:val="0"/>
            <w:vAlign w:val="center"/>
          </w:tcPr>
          <w:p w14:paraId="3240CC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毒理学资料</w:t>
            </w:r>
          </w:p>
        </w:tc>
        <w:tc>
          <w:tcPr>
            <w:tcW w:w="8312" w:type="dxa"/>
            <w:gridSpan w:val="5"/>
            <w:noWrap w:val="0"/>
            <w:vAlign w:val="center"/>
          </w:tcPr>
          <w:p w14:paraId="39574F5F">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急性毒性：LD50：67000 mg/kg（120号溶剂汽油）(小鼠经口)</w:t>
            </w:r>
          </w:p>
          <w:p w14:paraId="07B83BB0">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LC50：103000 mg/m</w:t>
            </w:r>
            <w:r>
              <w:rPr>
                <w:rFonts w:hint="eastAsia" w:ascii="Times New Roman" w:hAnsi="Times New Roman" w:eastAsia="宋体" w:cs="Times New Roman"/>
                <w:color w:val="auto"/>
                <w:kern w:val="2"/>
                <w:sz w:val="21"/>
                <w:szCs w:val="21"/>
                <w:vertAlign w:val="superscript"/>
                <w:lang w:val="en-US" w:eastAsia="zh-CN" w:bidi="ar-SA"/>
              </w:rPr>
              <w:t>3</w:t>
            </w:r>
            <w:r>
              <w:rPr>
                <w:rFonts w:hint="eastAsia" w:ascii="Times New Roman" w:hAnsi="Times New Roman" w:eastAsia="宋体" w:cs="Times New Roman"/>
                <w:color w:val="auto"/>
                <w:kern w:val="2"/>
                <w:sz w:val="21"/>
                <w:szCs w:val="21"/>
                <w:lang w:val="en-US" w:eastAsia="zh-CN" w:bidi="ar-SA"/>
              </w:rPr>
              <w:t>（120号溶剂汽油） (小鼠吸入，2 h)</w:t>
            </w:r>
          </w:p>
        </w:tc>
      </w:tr>
      <w:tr w14:paraId="2621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63B5CD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103E973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刺激性：人经眼：140 ppm (8 h)，轻度刺激</w:t>
            </w:r>
          </w:p>
        </w:tc>
      </w:tr>
      <w:tr w14:paraId="7D9B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99" w:hRule="atLeast"/>
        </w:trPr>
        <w:tc>
          <w:tcPr>
            <w:tcW w:w="1427" w:type="dxa"/>
            <w:vMerge w:val="continue"/>
            <w:noWrap w:val="0"/>
            <w:vAlign w:val="center"/>
          </w:tcPr>
          <w:p w14:paraId="74C536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5EBD7EFA">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亚急性和慢性毒性：大鼠吸入3 g/m</w:t>
            </w:r>
            <w:r>
              <w:rPr>
                <w:rFonts w:hint="eastAsia" w:ascii="Times New Roman" w:hAnsi="Times New Roman" w:eastAsia="宋体" w:cs="Times New Roman"/>
                <w:color w:val="auto"/>
                <w:kern w:val="2"/>
                <w:sz w:val="21"/>
                <w:szCs w:val="21"/>
                <w:vertAlign w:val="superscript"/>
                <w:lang w:val="en-US" w:eastAsia="zh-CN" w:bidi="ar-SA"/>
              </w:rPr>
              <w:t>3</w:t>
            </w:r>
            <w:r>
              <w:rPr>
                <w:rFonts w:hint="eastAsia" w:ascii="Times New Roman" w:hAnsi="Times New Roman" w:eastAsia="宋体" w:cs="Times New Roman"/>
                <w:color w:val="auto"/>
                <w:kern w:val="2"/>
                <w:sz w:val="21"/>
                <w:szCs w:val="21"/>
                <w:lang w:val="en-US" w:eastAsia="zh-CN" w:bidi="ar-SA"/>
              </w:rPr>
              <w:t>，每天12~24 h，78 d (120号溶剂汽油)，未见中毒症状。大鼠吸入2500 mg/m3，130号催化裂解汽油，每天4 h，每周6 d，8周，体力活动能力降低，神经系统发生机能性改变。</w:t>
            </w:r>
          </w:p>
        </w:tc>
      </w:tr>
      <w:tr w14:paraId="52997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0E5BEC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0340706F">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致癌性：IARC致癌性评论：G2B，可疑人类致癌物</w:t>
            </w:r>
          </w:p>
        </w:tc>
      </w:tr>
      <w:tr w14:paraId="04C0A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restart"/>
            <w:noWrap w:val="0"/>
            <w:vAlign w:val="center"/>
          </w:tcPr>
          <w:p w14:paraId="0A6F30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生态学资料</w:t>
            </w:r>
          </w:p>
        </w:tc>
        <w:tc>
          <w:tcPr>
            <w:tcW w:w="8312" w:type="dxa"/>
            <w:gridSpan w:val="5"/>
            <w:noWrap w:val="0"/>
            <w:vAlign w:val="center"/>
          </w:tcPr>
          <w:p w14:paraId="207236B4">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生态毒性：LC50：11～16 mg/L（96 h）（虹鳟鱼，静态）</w:t>
            </w:r>
          </w:p>
          <w:p w14:paraId="051F96C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 xml:space="preserve">          EC50：7.6～12 mg/L（48 h）（水蚤）</w:t>
            </w:r>
          </w:p>
        </w:tc>
      </w:tr>
      <w:tr w14:paraId="05D42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587D54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4155" w:type="dxa"/>
            <w:gridSpan w:val="3"/>
            <w:noWrap w:val="0"/>
            <w:vAlign w:val="center"/>
          </w:tcPr>
          <w:p w14:paraId="4E1855DE">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生物降解性：无资料</w:t>
            </w:r>
          </w:p>
        </w:tc>
        <w:tc>
          <w:tcPr>
            <w:tcW w:w="4157" w:type="dxa"/>
            <w:gridSpan w:val="2"/>
            <w:noWrap w:val="0"/>
            <w:vAlign w:val="center"/>
          </w:tcPr>
          <w:p w14:paraId="4B39F245">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非生物降解性：无资料</w:t>
            </w:r>
          </w:p>
        </w:tc>
      </w:tr>
      <w:tr w14:paraId="7BEFB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restart"/>
            <w:noWrap w:val="0"/>
            <w:vAlign w:val="center"/>
          </w:tcPr>
          <w:p w14:paraId="48AFE7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废弃处置</w:t>
            </w:r>
          </w:p>
        </w:tc>
        <w:tc>
          <w:tcPr>
            <w:tcW w:w="8312" w:type="dxa"/>
            <w:gridSpan w:val="5"/>
            <w:noWrap w:val="0"/>
            <w:vAlign w:val="center"/>
          </w:tcPr>
          <w:p w14:paraId="1C4383B3">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废弃物性质：危险废物</w:t>
            </w:r>
          </w:p>
        </w:tc>
      </w:tr>
      <w:tr w14:paraId="1B00A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6C8D62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616FD12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废弃处置方法：用焚烧法处置。</w:t>
            </w:r>
          </w:p>
        </w:tc>
      </w:tr>
      <w:tr w14:paraId="4CC6E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4282BB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color w:val="auto"/>
                <w:sz w:val="21"/>
                <w:szCs w:val="21"/>
              </w:rPr>
            </w:pPr>
          </w:p>
        </w:tc>
        <w:tc>
          <w:tcPr>
            <w:tcW w:w="8312" w:type="dxa"/>
            <w:gridSpan w:val="5"/>
            <w:noWrap w:val="0"/>
            <w:vAlign w:val="center"/>
          </w:tcPr>
          <w:p w14:paraId="1311B645">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废弃注意事项：处置前应参阅国家和地方有关法规。</w:t>
            </w:r>
          </w:p>
        </w:tc>
      </w:tr>
      <w:tr w14:paraId="71C9B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restart"/>
            <w:noWrap w:val="0"/>
            <w:vAlign w:val="center"/>
          </w:tcPr>
          <w:p w14:paraId="0FF15B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运输信息</w:t>
            </w:r>
          </w:p>
        </w:tc>
        <w:tc>
          <w:tcPr>
            <w:tcW w:w="4155" w:type="dxa"/>
            <w:gridSpan w:val="3"/>
            <w:tcBorders>
              <w:bottom w:val="single" w:color="auto" w:sz="4" w:space="0"/>
            </w:tcBorders>
            <w:noWrap w:val="0"/>
            <w:vAlign w:val="center"/>
          </w:tcPr>
          <w:p w14:paraId="7AE145C2">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危险货物编号：31001</w:t>
            </w:r>
          </w:p>
        </w:tc>
        <w:tc>
          <w:tcPr>
            <w:tcW w:w="4157" w:type="dxa"/>
            <w:gridSpan w:val="2"/>
            <w:tcBorders>
              <w:bottom w:val="single" w:color="auto" w:sz="4" w:space="0"/>
            </w:tcBorders>
            <w:noWrap w:val="0"/>
            <w:vAlign w:val="center"/>
          </w:tcPr>
          <w:p w14:paraId="2FB1AB06">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铁危编号：31001</w:t>
            </w:r>
          </w:p>
        </w:tc>
      </w:tr>
      <w:tr w14:paraId="036B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trPr>
        <w:tc>
          <w:tcPr>
            <w:tcW w:w="1427" w:type="dxa"/>
            <w:vMerge w:val="continue"/>
            <w:noWrap w:val="0"/>
            <w:vAlign w:val="center"/>
          </w:tcPr>
          <w:p w14:paraId="1AD2DA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4155" w:type="dxa"/>
            <w:gridSpan w:val="3"/>
            <w:tcBorders>
              <w:bottom w:val="single" w:color="auto" w:sz="4" w:space="0"/>
            </w:tcBorders>
            <w:noWrap w:val="0"/>
            <w:vAlign w:val="center"/>
          </w:tcPr>
          <w:p w14:paraId="16883D88">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UN编号：1203</w:t>
            </w:r>
          </w:p>
        </w:tc>
        <w:tc>
          <w:tcPr>
            <w:tcW w:w="4157" w:type="dxa"/>
            <w:gridSpan w:val="2"/>
            <w:tcBorders>
              <w:bottom w:val="single" w:color="auto" w:sz="4" w:space="0"/>
            </w:tcBorders>
            <w:noWrap w:val="0"/>
            <w:vAlign w:val="center"/>
          </w:tcPr>
          <w:p w14:paraId="07BA5D91">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包装类别：Ⅱ类包装</w:t>
            </w:r>
          </w:p>
        </w:tc>
      </w:tr>
      <w:tr w14:paraId="773F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5" w:hRule="atLeast"/>
        </w:trPr>
        <w:tc>
          <w:tcPr>
            <w:tcW w:w="1427" w:type="dxa"/>
            <w:vMerge w:val="continue"/>
            <w:noWrap w:val="0"/>
            <w:vAlign w:val="center"/>
          </w:tcPr>
          <w:p w14:paraId="76CD69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tcBorders>
              <w:bottom w:val="single" w:color="auto" w:sz="4" w:space="0"/>
            </w:tcBorders>
            <w:noWrap w:val="0"/>
            <w:vAlign w:val="center"/>
          </w:tcPr>
          <w:p w14:paraId="57F2CA34">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包装标志：易燃液体</w:t>
            </w:r>
          </w:p>
        </w:tc>
      </w:tr>
      <w:tr w14:paraId="1B11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02" w:hRule="atLeast"/>
        </w:trPr>
        <w:tc>
          <w:tcPr>
            <w:tcW w:w="1427" w:type="dxa"/>
            <w:vMerge w:val="continue"/>
            <w:noWrap w:val="0"/>
            <w:vAlign w:val="center"/>
          </w:tcPr>
          <w:p w14:paraId="06EA17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52C9443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包装方法：小开口钢桶；安瓿瓶外普通木箱；螺纹口玻璃瓶、铁盖压口玻璃瓶、塑料瓶或金属桶（罐）外普通木箱。</w:t>
            </w:r>
          </w:p>
        </w:tc>
      </w:tr>
      <w:tr w14:paraId="5675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386" w:hRule="atLeast"/>
        </w:trPr>
        <w:tc>
          <w:tcPr>
            <w:tcW w:w="1427" w:type="dxa"/>
            <w:vMerge w:val="continue"/>
            <w:noWrap w:val="0"/>
            <w:vAlign w:val="center"/>
          </w:tcPr>
          <w:p w14:paraId="6F5BF1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color w:val="auto"/>
                <w:szCs w:val="21"/>
              </w:rPr>
            </w:pPr>
          </w:p>
        </w:tc>
        <w:tc>
          <w:tcPr>
            <w:tcW w:w="8312" w:type="dxa"/>
            <w:gridSpan w:val="5"/>
            <w:noWrap w:val="0"/>
            <w:vAlign w:val="center"/>
          </w:tcPr>
          <w:p w14:paraId="474C4AB9">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运输注意事项：本品铁路运输时限使用钢制企业自备罐车装运，装运前需报有关部门批准。运输时运输车辆应配备相应品种和数量的消防器材及泄漏应急处理设备。夏季最好早晚运输。运输时所用的槽（罐）车应有接地链，槽内可设孔隔板以减少震荡产生静电。严禁与氧化剂等混装混运。运输途中应防暴晒、雨淋，防高温。中途停留时应远离火种、热源、高温区。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14:paraId="62CF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582" w:hRule="atLeast"/>
        </w:trPr>
        <w:tc>
          <w:tcPr>
            <w:tcW w:w="1427" w:type="dxa"/>
            <w:noWrap w:val="0"/>
            <w:vAlign w:val="center"/>
          </w:tcPr>
          <w:p w14:paraId="0B81A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法规信息</w:t>
            </w:r>
          </w:p>
        </w:tc>
        <w:tc>
          <w:tcPr>
            <w:tcW w:w="8312" w:type="dxa"/>
            <w:gridSpan w:val="5"/>
            <w:noWrap w:val="0"/>
            <w:vAlign w:val="center"/>
          </w:tcPr>
          <w:p w14:paraId="7A3280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危险化学品安全生理条例（2002年1月26日国务院发布），针对危险化学品的安全生产、使用、储存、经营、运输、废弃等做了相应规定。中华人民共和国海洋倾废管理条例（1985年3月6日国务院发布），属于禁止倾倒的物质。危险货物品名表（GB12268-90），将该物质划为第3.3类高闪点液体.汽车危险货物运输规则(JT3130-88)，对该物质的公路运输做了具体规定。铁路危险货物运输管理规则（铁运{1995}104号），对该物质的铁路运输做了具体规定。水路危险货物运输规则（1996年11月4日交通部令1996年第10号发布），对该物质的水路运输做了具体规定。中国民用航空危险品运输管理规定（1996年2月27日民航总局令第48号制定），对该物质的航空运输做了具体规定</w:t>
            </w:r>
          </w:p>
        </w:tc>
      </w:tr>
      <w:tr w14:paraId="0D2F3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14" w:hRule="atLeast"/>
        </w:trPr>
        <w:tc>
          <w:tcPr>
            <w:tcW w:w="1427" w:type="dxa"/>
            <w:noWrap w:val="0"/>
            <w:vAlign w:val="center"/>
          </w:tcPr>
          <w:p w14:paraId="379EDF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rPr>
                <w:rFonts w:hint="default"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其它信息</w:t>
            </w:r>
          </w:p>
        </w:tc>
        <w:tc>
          <w:tcPr>
            <w:tcW w:w="8312" w:type="dxa"/>
            <w:gridSpan w:val="5"/>
            <w:noWrap w:val="0"/>
            <w:vAlign w:val="center"/>
          </w:tcPr>
          <w:p w14:paraId="67A3B51B">
            <w:pPr>
              <w:pStyle w:val="3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参考文献：危险化学品安全技术全书</w:t>
            </w:r>
          </w:p>
        </w:tc>
      </w:tr>
    </w:tbl>
    <w:p w14:paraId="7F658413">
      <w:pPr>
        <w:pStyle w:val="5"/>
        <w:spacing w:line="360" w:lineRule="auto"/>
        <w:ind w:left="0" w:leftChars="0" w:firstLine="0" w:firstLineChars="0"/>
        <w:jc w:val="both"/>
        <w:rPr>
          <w:rFonts w:hint="default" w:ascii="Times New Roman" w:hAnsi="Times New Roman" w:cs="Times New Roman"/>
          <w:color w:val="auto"/>
        </w:rPr>
      </w:pPr>
      <w:r>
        <w:rPr>
          <w:rFonts w:hint="default" w:ascii="Times New Roman" w:hAnsi="Times New Roman" w:cs="Times New Roman"/>
          <w:color w:val="auto"/>
        </w:rPr>
        <w:t>F3.1.2剧毒化学品辨识</w:t>
      </w:r>
      <w:bookmarkEnd w:id="634"/>
    </w:p>
    <w:p w14:paraId="3C2DACA0">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w:t>
      </w:r>
      <w:r>
        <w:rPr>
          <w:rFonts w:hint="default" w:ascii="Times New Roman" w:hAnsi="Times New Roman" w:cs="Times New Roman"/>
          <w:color w:val="auto"/>
          <w:lang w:eastAsia="zh-CN"/>
        </w:rPr>
        <w:t>《危险化学品目录》</w:t>
      </w:r>
      <w:r>
        <w:rPr>
          <w:rFonts w:hint="default" w:ascii="Times New Roman" w:hAnsi="Times New Roman" w:cs="Times New Roman"/>
          <w:color w:val="auto"/>
        </w:rPr>
        <w:t>规定，对该加油站经营储存的汽油进行辨识可知，汽油不属于剧毒化学品。</w:t>
      </w:r>
    </w:p>
    <w:p w14:paraId="184A9A0D">
      <w:pPr>
        <w:pStyle w:val="5"/>
        <w:spacing w:line="360" w:lineRule="auto"/>
        <w:ind w:left="0" w:leftChars="0" w:firstLine="0" w:firstLineChars="0"/>
        <w:rPr>
          <w:rFonts w:hint="default" w:ascii="Times New Roman" w:hAnsi="Times New Roman" w:cs="Times New Roman"/>
          <w:color w:val="auto"/>
        </w:rPr>
      </w:pPr>
      <w:bookmarkStart w:id="635" w:name="_Toc15488"/>
      <w:r>
        <w:rPr>
          <w:rFonts w:hint="default" w:ascii="Times New Roman" w:hAnsi="Times New Roman" w:cs="Times New Roman"/>
          <w:color w:val="auto"/>
        </w:rPr>
        <w:t>F3.1.3高毒化学品辨识</w:t>
      </w:r>
      <w:bookmarkEnd w:id="635"/>
    </w:p>
    <w:p w14:paraId="3440088A">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依据卫法监发</w:t>
      </w:r>
      <w:r>
        <w:rPr>
          <w:rFonts w:hint="default" w:ascii="Times New Roman" w:hAnsi="Times New Roman" w:cs="Times New Roman"/>
          <w:color w:val="auto"/>
          <w:lang w:eastAsia="zh-CN"/>
        </w:rPr>
        <w:t>〔</w:t>
      </w:r>
      <w:r>
        <w:rPr>
          <w:rFonts w:hint="default" w:ascii="Times New Roman" w:hAnsi="Times New Roman" w:cs="Times New Roman"/>
          <w:color w:val="auto"/>
        </w:rPr>
        <w:t>2003</w:t>
      </w:r>
      <w:r>
        <w:rPr>
          <w:rFonts w:hint="default" w:ascii="Times New Roman" w:hAnsi="Times New Roman" w:cs="Times New Roman"/>
          <w:color w:val="auto"/>
          <w:lang w:eastAsia="zh-CN"/>
        </w:rPr>
        <w:t>〕</w:t>
      </w:r>
      <w:r>
        <w:rPr>
          <w:rFonts w:hint="default" w:ascii="Times New Roman" w:hAnsi="Times New Roman" w:cs="Times New Roman"/>
          <w:color w:val="auto"/>
        </w:rPr>
        <w:t>142号《高毒物品目录》（2003年版）辨识，该加油站涉及的汽油属于低毒物品，不属于高毒物品。</w:t>
      </w:r>
    </w:p>
    <w:p w14:paraId="7B549FC9">
      <w:pPr>
        <w:pStyle w:val="5"/>
        <w:spacing w:line="360" w:lineRule="auto"/>
        <w:ind w:left="0" w:leftChars="0" w:firstLine="0" w:firstLineChars="0"/>
        <w:rPr>
          <w:rFonts w:hint="default" w:ascii="Times New Roman" w:hAnsi="Times New Roman" w:cs="Times New Roman"/>
          <w:color w:val="auto"/>
        </w:rPr>
      </w:pPr>
      <w:bookmarkStart w:id="636" w:name="_Toc13992"/>
      <w:bookmarkStart w:id="637" w:name="_Toc189287090"/>
      <w:bookmarkStart w:id="638" w:name="_Toc29256760"/>
      <w:bookmarkStart w:id="639" w:name="_Toc223419438"/>
      <w:r>
        <w:rPr>
          <w:rFonts w:hint="default" w:ascii="Times New Roman" w:hAnsi="Times New Roman" w:cs="Times New Roman"/>
          <w:color w:val="auto"/>
        </w:rPr>
        <w:t>F3.1.4监控化学品的辨识与分析</w:t>
      </w:r>
      <w:bookmarkEnd w:id="636"/>
      <w:bookmarkEnd w:id="637"/>
      <w:bookmarkEnd w:id="638"/>
      <w:bookmarkEnd w:id="639"/>
    </w:p>
    <w:p w14:paraId="753BA47D">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按照《各类监控化学品名录》和《列入第三类监控化学品的新增品种清单》规定，该加油站涉及的汽油不</w:t>
      </w:r>
      <w:r>
        <w:rPr>
          <w:rFonts w:hint="default" w:ascii="Times New Roman" w:hAnsi="Times New Roman" w:cs="Times New Roman"/>
          <w:color w:val="auto"/>
          <w:lang w:eastAsia="zh-CN"/>
        </w:rPr>
        <w:t>属于</w:t>
      </w:r>
      <w:r>
        <w:rPr>
          <w:rFonts w:hint="default" w:ascii="Times New Roman" w:hAnsi="Times New Roman" w:cs="Times New Roman"/>
          <w:color w:val="auto"/>
        </w:rPr>
        <w:t>国家监控的化学品。</w:t>
      </w:r>
    </w:p>
    <w:p w14:paraId="1E230B49">
      <w:pPr>
        <w:pStyle w:val="5"/>
        <w:spacing w:line="360" w:lineRule="auto"/>
        <w:ind w:left="0" w:leftChars="0" w:firstLine="0" w:firstLineChars="0"/>
        <w:rPr>
          <w:rFonts w:hint="default" w:ascii="Times New Roman" w:hAnsi="Times New Roman" w:cs="Times New Roman"/>
          <w:color w:val="auto"/>
        </w:rPr>
      </w:pPr>
      <w:bookmarkStart w:id="640" w:name="_Toc26060"/>
      <w:bookmarkStart w:id="641" w:name="_Toc27253"/>
      <w:r>
        <w:rPr>
          <w:rFonts w:hint="default" w:ascii="Times New Roman" w:hAnsi="Times New Roman" w:cs="Times New Roman"/>
          <w:color w:val="auto"/>
        </w:rPr>
        <w:t>F3.1.5易制毒化学品辨识</w:t>
      </w:r>
      <w:bookmarkEnd w:id="640"/>
      <w:bookmarkEnd w:id="641"/>
    </w:p>
    <w:p w14:paraId="0F891302">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易制毒化学品是指用于非法生产、制造或合成毒品的原料、配剂等化学物品，包括用以制造毒品的原料前体、试剂、溶剂及稀释剂、添加剂等。易制毒化学品本身不是毒品，但其具有双重性，易制毒化学品既是一般医药、化工的工业原料，又是生产、制造或合成毒品必不可少的化学品。</w:t>
      </w:r>
    </w:p>
    <w:p w14:paraId="34C556A2">
      <w:pPr>
        <w:spacing w:line="360" w:lineRule="auto"/>
        <w:ind w:firstLine="560"/>
        <w:rPr>
          <w:color w:val="auto"/>
        </w:rPr>
      </w:pPr>
      <w:r>
        <w:rPr>
          <w:rFonts w:hint="default" w:ascii="Times New Roman" w:hAnsi="Times New Roman" w:cs="Times New Roman"/>
          <w:color w:val="auto"/>
        </w:rPr>
        <w:t>根据《易制毒化学品管理条例》（国务院令445号，[2018年修订]703</w:t>
      </w:r>
      <w:r>
        <w:rPr>
          <w:rFonts w:hint="eastAsia"/>
          <w:color w:val="auto"/>
        </w:rPr>
        <w:t>号，国办函</w:t>
      </w:r>
      <w:r>
        <w:rPr>
          <w:rFonts w:hint="eastAsia"/>
          <w:color w:val="auto"/>
          <w:lang w:eastAsia="zh-CN"/>
        </w:rPr>
        <w:t>〔</w:t>
      </w:r>
      <w:r>
        <w:rPr>
          <w:rFonts w:hint="eastAsia" w:ascii="Times New Roman" w:hAnsi="Times New Roman"/>
          <w:color w:val="auto"/>
        </w:rPr>
        <w:t>2021</w:t>
      </w:r>
      <w:r>
        <w:rPr>
          <w:rFonts w:hint="eastAsia"/>
          <w:color w:val="auto"/>
          <w:lang w:eastAsia="zh-CN"/>
        </w:rPr>
        <w:t>〕</w:t>
      </w:r>
      <w:r>
        <w:rPr>
          <w:rFonts w:hint="eastAsia" w:ascii="Times New Roman" w:hAnsi="Times New Roman"/>
          <w:color w:val="auto"/>
        </w:rPr>
        <w:t>58</w:t>
      </w:r>
      <w:r>
        <w:rPr>
          <w:rFonts w:hint="eastAsia"/>
          <w:color w:val="auto"/>
        </w:rPr>
        <w:t>号）辨识，该加油站涉及的汽油不属于易制毒化学品。</w:t>
      </w:r>
    </w:p>
    <w:p w14:paraId="25BF7D9E">
      <w:pPr>
        <w:pStyle w:val="5"/>
        <w:spacing w:line="360" w:lineRule="auto"/>
        <w:ind w:left="0" w:leftChars="0" w:firstLine="0" w:firstLineChars="0"/>
        <w:rPr>
          <w:rFonts w:hint="default" w:ascii="Times New Roman" w:hAnsi="Times New Roman" w:cs="Times New Roman"/>
          <w:color w:val="auto"/>
        </w:rPr>
      </w:pPr>
      <w:bookmarkStart w:id="642" w:name="_Toc5631"/>
      <w:bookmarkStart w:id="643" w:name="_Toc27898"/>
      <w:r>
        <w:rPr>
          <w:rFonts w:hint="default" w:ascii="Times New Roman" w:hAnsi="Times New Roman" w:cs="Times New Roman"/>
          <w:color w:val="auto"/>
        </w:rPr>
        <w:t>F3.1.6易制爆化学品辨识</w:t>
      </w:r>
      <w:bookmarkEnd w:id="642"/>
      <w:bookmarkEnd w:id="643"/>
    </w:p>
    <w:p w14:paraId="74DD5B54">
      <w:pPr>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根据《易制爆危险化学品名录》（2017年版）</w:t>
      </w:r>
      <w:r>
        <w:rPr>
          <w:rFonts w:hint="default" w:ascii="Times New Roman" w:hAnsi="Times New Roman" w:cs="Times New Roman"/>
          <w:color w:val="auto"/>
        </w:rPr>
        <w:t>规定辨识，该加油站涉及的汽油不属于</w:t>
      </w:r>
      <w:r>
        <w:rPr>
          <w:rFonts w:hint="default" w:ascii="Times New Roman" w:hAnsi="Times New Roman" w:cs="Times New Roman"/>
          <w:color w:val="auto"/>
          <w:szCs w:val="28"/>
        </w:rPr>
        <w:t>易制爆危险化学品。</w:t>
      </w:r>
    </w:p>
    <w:p w14:paraId="082FA241">
      <w:pPr>
        <w:pStyle w:val="5"/>
        <w:spacing w:line="360" w:lineRule="auto"/>
        <w:ind w:left="0" w:leftChars="0" w:firstLine="0" w:firstLineChars="0"/>
        <w:rPr>
          <w:rFonts w:hint="default" w:ascii="Times New Roman" w:hAnsi="Times New Roman" w:cs="Times New Roman"/>
          <w:color w:val="auto"/>
        </w:rPr>
      </w:pPr>
      <w:bookmarkStart w:id="644" w:name="_Toc4434"/>
      <w:r>
        <w:rPr>
          <w:rFonts w:hint="default" w:ascii="Times New Roman" w:hAnsi="Times New Roman" w:cs="Times New Roman"/>
          <w:color w:val="auto"/>
        </w:rPr>
        <w:t>F3.1.7特别管控危险化学品的辨识结果</w:t>
      </w:r>
      <w:bookmarkEnd w:id="644"/>
    </w:p>
    <w:p w14:paraId="616AB515">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根据《特别管控危险化学品目录（第一版）》（应急管理部2020年第3号）规定，对该加油站经营储存的汽油进行辨识可知，该加油站经营储存的汽油属于特别管控危险化学品，</w:t>
      </w:r>
      <w:r>
        <w:rPr>
          <w:rFonts w:hint="default" w:ascii="Times New Roman" w:hAnsi="Times New Roman" w:cs="Times New Roman"/>
          <w:color w:val="auto"/>
          <w:szCs w:val="28"/>
        </w:rPr>
        <w:t>需要按照规定进行特别管控。</w:t>
      </w:r>
    </w:p>
    <w:p w14:paraId="080264AE">
      <w:pPr>
        <w:pStyle w:val="5"/>
        <w:spacing w:line="360" w:lineRule="auto"/>
        <w:ind w:left="0" w:leftChars="0" w:firstLine="0" w:firstLineChars="0"/>
        <w:rPr>
          <w:rFonts w:hint="default" w:ascii="Times New Roman" w:hAnsi="Times New Roman" w:cs="Times New Roman"/>
          <w:color w:val="auto"/>
        </w:rPr>
      </w:pPr>
      <w:bookmarkStart w:id="645" w:name="_Toc3932"/>
      <w:bookmarkStart w:id="646" w:name="_Toc20372"/>
      <w:r>
        <w:rPr>
          <w:rFonts w:hint="default" w:ascii="Times New Roman" w:hAnsi="Times New Roman" w:cs="Times New Roman"/>
          <w:color w:val="auto"/>
        </w:rPr>
        <w:t>F3.1.8重点监管的危险化学品辨识</w:t>
      </w:r>
      <w:bookmarkEnd w:id="645"/>
      <w:bookmarkEnd w:id="646"/>
    </w:p>
    <w:p w14:paraId="0BBA20F2">
      <w:pPr>
        <w:spacing w:line="360" w:lineRule="auto"/>
        <w:ind w:firstLine="560"/>
        <w:jc w:val="left"/>
        <w:rPr>
          <w:rFonts w:ascii="宋体" w:hAnsi="宋体"/>
          <w:color w:val="auto"/>
        </w:rPr>
      </w:pPr>
      <w:r>
        <w:rPr>
          <w:rFonts w:ascii="宋体" w:hAnsi="宋体"/>
          <w:color w:val="auto"/>
        </w:rPr>
        <w:t>按照《重点监管的危险化学品名录（</w:t>
      </w:r>
      <w:r>
        <w:rPr>
          <w:rFonts w:ascii="Times New Roman" w:hAnsi="Times New Roman" w:eastAsia="Times New Roman"/>
          <w:color w:val="auto"/>
        </w:rPr>
        <w:t>2013</w:t>
      </w:r>
      <w:r>
        <w:rPr>
          <w:rFonts w:ascii="宋体" w:hAnsi="宋体"/>
          <w:color w:val="auto"/>
        </w:rPr>
        <w:t>年完整版）》进行辨识，</w:t>
      </w:r>
      <w:r>
        <w:rPr>
          <w:rFonts w:hint="eastAsia" w:ascii="宋体" w:hAnsi="宋体"/>
          <w:color w:val="auto"/>
        </w:rPr>
        <w:t>该加油站经营</w:t>
      </w:r>
      <w:r>
        <w:rPr>
          <w:rFonts w:ascii="宋体" w:hAnsi="宋体"/>
          <w:color w:val="auto"/>
        </w:rPr>
        <w:t>的汽油属于重点监管的危险化学品。</w:t>
      </w:r>
    </w:p>
    <w:p w14:paraId="28116857">
      <w:pPr>
        <w:spacing w:line="360" w:lineRule="auto"/>
        <w:ind w:firstLine="560"/>
        <w:rPr>
          <w:color w:val="auto"/>
        </w:rPr>
      </w:pPr>
      <w:r>
        <w:rPr>
          <w:color w:val="auto"/>
        </w:rPr>
        <w:t>对照《重点监管的危险化学品名录（</w:t>
      </w:r>
      <w:r>
        <w:rPr>
          <w:rFonts w:ascii="Times New Roman" w:hAnsi="Times New Roman"/>
          <w:color w:val="auto"/>
        </w:rPr>
        <w:t>2013</w:t>
      </w:r>
      <w:r>
        <w:rPr>
          <w:color w:val="auto"/>
        </w:rPr>
        <w:t>年完整版）》、《国家安全监管总局办公厅关于印发首批重点监管的危险化学品安全措施和应急处置原则的通知》（</w:t>
      </w:r>
      <w:r>
        <w:rPr>
          <w:rFonts w:hint="eastAsia"/>
          <w:color w:val="auto"/>
          <w:lang w:eastAsia="zh-CN"/>
        </w:rPr>
        <w:t>安</w:t>
      </w:r>
      <w:r>
        <w:rPr>
          <w:color w:val="auto"/>
        </w:rPr>
        <w:t>监总厅管三〔</w:t>
      </w:r>
      <w:r>
        <w:rPr>
          <w:rFonts w:ascii="Times New Roman" w:hAnsi="Times New Roman"/>
          <w:color w:val="auto"/>
        </w:rPr>
        <w:t>2011</w:t>
      </w:r>
      <w:r>
        <w:rPr>
          <w:color w:val="auto"/>
        </w:rPr>
        <w:t>〕</w:t>
      </w:r>
      <w:r>
        <w:rPr>
          <w:rFonts w:ascii="Times New Roman" w:hAnsi="Times New Roman"/>
          <w:color w:val="auto"/>
        </w:rPr>
        <w:t>142</w:t>
      </w:r>
      <w:r>
        <w:rPr>
          <w:color w:val="auto"/>
        </w:rPr>
        <w:t>号）的要求，储存、经营重点监管危险化学品的企业，要切实落实安全生产主体责任，对照《措施和原则》，全面排查危险化学品安全管理的漏洞和薄弱环节，及时消除安全隐患，提高安全管理水平。要完善安全监控措施、健全安全生产规章制度和各项操作规程、采用先进技术、加强培训教育，细化并落实《措施和原则》提出的各项安全措施，提高防范危险化学品事故的能力。要按照《措施和原则》提出的应急处置原则，完善本单位危险化学品事故应急预案，配备必要的应急器材，开展应急处置演练和伤员急救培训，提升危险化学品应急处置能力。</w:t>
      </w:r>
    </w:p>
    <w:p w14:paraId="217DD370">
      <w:pPr>
        <w:spacing w:line="360" w:lineRule="auto"/>
        <w:ind w:firstLine="560"/>
        <w:rPr>
          <w:color w:val="auto"/>
        </w:rPr>
      </w:pPr>
      <w:r>
        <w:rPr>
          <w:rFonts w:hint="eastAsia"/>
          <w:color w:val="auto"/>
        </w:rPr>
        <w:t>该加油站汽油监管措施落实情况如下：</w:t>
      </w:r>
    </w:p>
    <w:tbl>
      <w:tblPr>
        <w:tblStyle w:val="48"/>
        <w:tblW w:w="94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8"/>
        <w:gridCol w:w="4978"/>
        <w:gridCol w:w="3280"/>
        <w:gridCol w:w="709"/>
      </w:tblGrid>
      <w:tr w14:paraId="04BFA0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458" w:type="dxa"/>
            <w:vMerge w:val="restart"/>
            <w:tcMar>
              <w:top w:w="57" w:type="dxa"/>
              <w:left w:w="28" w:type="dxa"/>
              <w:bottom w:w="57" w:type="dxa"/>
              <w:right w:w="28" w:type="dxa"/>
            </w:tcMar>
            <w:vAlign w:val="center"/>
          </w:tcPr>
          <w:p w14:paraId="03FDA8EB">
            <w:pPr>
              <w:pStyle w:val="22"/>
              <w:keepNext w:val="0"/>
              <w:keepLines w:val="0"/>
              <w:widowControl/>
              <w:suppressLineNumbers w:val="0"/>
              <w:spacing w:before="0" w:beforeAutospacing="0" w:after="0" w:afterAutospacing="0"/>
              <w:ind w:left="0" w:right="0"/>
              <w:rPr>
                <w:rFonts w:hint="default"/>
                <w:b/>
                <w:bCs/>
                <w:color w:val="auto"/>
              </w:rPr>
            </w:pPr>
            <w:r>
              <w:rPr>
                <w:rFonts w:hint="eastAsia"/>
                <w:b/>
                <w:bCs/>
                <w:color w:val="auto"/>
              </w:rPr>
              <w:t>安全措施</w:t>
            </w:r>
          </w:p>
        </w:tc>
        <w:tc>
          <w:tcPr>
            <w:tcW w:w="4978" w:type="dxa"/>
            <w:tcMar>
              <w:top w:w="57" w:type="dxa"/>
              <w:left w:w="28" w:type="dxa"/>
              <w:bottom w:w="57" w:type="dxa"/>
              <w:right w:w="28" w:type="dxa"/>
            </w:tcMar>
            <w:vAlign w:val="center"/>
          </w:tcPr>
          <w:p w14:paraId="69F60F8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default"/>
                <w:b/>
                <w:bCs/>
                <w:color w:val="auto"/>
              </w:rPr>
              <w:t>应采取的安全措施</w:t>
            </w:r>
          </w:p>
        </w:tc>
        <w:tc>
          <w:tcPr>
            <w:tcW w:w="3280" w:type="dxa"/>
            <w:vAlign w:val="center"/>
          </w:tcPr>
          <w:p w14:paraId="5A38B87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default"/>
                <w:b/>
                <w:bCs/>
                <w:color w:val="auto"/>
              </w:rPr>
              <w:t>实际采取的安全措施</w:t>
            </w:r>
          </w:p>
        </w:tc>
        <w:tc>
          <w:tcPr>
            <w:tcW w:w="709" w:type="dxa"/>
            <w:vAlign w:val="center"/>
          </w:tcPr>
          <w:p w14:paraId="6CD55AC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eastAsia"/>
                <w:b/>
                <w:bCs/>
                <w:color w:val="auto"/>
              </w:rPr>
              <w:t>结论</w:t>
            </w:r>
          </w:p>
        </w:tc>
      </w:tr>
      <w:tr w14:paraId="1C04E3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458" w:type="dxa"/>
            <w:vMerge w:val="continue"/>
            <w:tcMar>
              <w:top w:w="57" w:type="dxa"/>
              <w:left w:w="28" w:type="dxa"/>
              <w:bottom w:w="57" w:type="dxa"/>
              <w:right w:w="28" w:type="dxa"/>
            </w:tcMar>
            <w:vAlign w:val="center"/>
          </w:tcPr>
          <w:p w14:paraId="73E06487">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3826F97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【一般要求】</w:t>
            </w:r>
          </w:p>
        </w:tc>
      </w:tr>
      <w:tr w14:paraId="03AF0C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458" w:type="dxa"/>
            <w:vMerge w:val="continue"/>
            <w:tcMar>
              <w:top w:w="57" w:type="dxa"/>
              <w:left w:w="28" w:type="dxa"/>
              <w:bottom w:w="57" w:type="dxa"/>
              <w:right w:w="28" w:type="dxa"/>
            </w:tcMar>
            <w:vAlign w:val="center"/>
          </w:tcPr>
          <w:p w14:paraId="47588EED">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3E5D21D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操作人员必须经过专门培训，严格遵守操作规程，熟练掌握操作技能，具备应急处置知识。</w:t>
            </w:r>
          </w:p>
        </w:tc>
        <w:tc>
          <w:tcPr>
            <w:tcW w:w="3280" w:type="dxa"/>
            <w:vAlign w:val="center"/>
          </w:tcPr>
          <w:p w14:paraId="7D61A51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操作人员经过了内部的专门培训，操作熟练，具备应急处置知识，未发现违反操作规程。</w:t>
            </w:r>
            <w:r>
              <w:rPr>
                <w:rFonts w:hint="eastAsia"/>
                <w:color w:val="auto"/>
              </w:rPr>
              <w:t>具备相应应急处置知识。</w:t>
            </w:r>
          </w:p>
        </w:tc>
        <w:tc>
          <w:tcPr>
            <w:tcW w:w="709" w:type="dxa"/>
            <w:vAlign w:val="center"/>
          </w:tcPr>
          <w:p w14:paraId="584837D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2C19C2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458" w:type="dxa"/>
            <w:vMerge w:val="continue"/>
            <w:tcMar>
              <w:top w:w="57" w:type="dxa"/>
              <w:left w:w="28" w:type="dxa"/>
              <w:bottom w:w="57" w:type="dxa"/>
              <w:right w:w="28" w:type="dxa"/>
            </w:tcMar>
            <w:vAlign w:val="center"/>
          </w:tcPr>
          <w:p w14:paraId="512E77F4">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634F707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密闭操作，防止泄漏，工作场所全面通风。远离火种、热源，工作场所严禁吸烟。配备易燃气体泄漏监测报警仪，使用防爆型通风系统和设备，配备两套以上重型防护服。操作人员穿防静电工作服，戴耐油橡胶手套。</w:t>
            </w:r>
          </w:p>
        </w:tc>
        <w:tc>
          <w:tcPr>
            <w:tcW w:w="3280" w:type="dxa"/>
            <w:vAlign w:val="center"/>
          </w:tcPr>
          <w:p w14:paraId="37EA309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该加油站卸油采取密闭操作；</w:t>
            </w:r>
            <w:r>
              <w:rPr>
                <w:rFonts w:hint="eastAsia"/>
                <w:color w:val="auto"/>
                <w:lang w:val="en-US" w:eastAsia="zh-CN"/>
              </w:rPr>
              <w:t>加</w:t>
            </w:r>
            <w:r>
              <w:rPr>
                <w:rFonts w:hint="eastAsia"/>
                <w:color w:val="auto"/>
              </w:rPr>
              <w:t>油站</w:t>
            </w:r>
            <w:r>
              <w:rPr>
                <w:rFonts w:hint="eastAsia"/>
                <w:color w:val="auto"/>
                <w:lang w:eastAsia="zh-CN"/>
              </w:rPr>
              <w:t>附近</w:t>
            </w:r>
            <w:r>
              <w:rPr>
                <w:rFonts w:hint="eastAsia"/>
                <w:color w:val="auto"/>
              </w:rPr>
              <w:t>没有火种。</w:t>
            </w:r>
          </w:p>
        </w:tc>
        <w:tc>
          <w:tcPr>
            <w:tcW w:w="709" w:type="dxa"/>
            <w:vAlign w:val="center"/>
          </w:tcPr>
          <w:p w14:paraId="32C6992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5A0A77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458" w:type="dxa"/>
            <w:vMerge w:val="continue"/>
            <w:tcMar>
              <w:top w:w="57" w:type="dxa"/>
              <w:left w:w="28" w:type="dxa"/>
              <w:bottom w:w="57" w:type="dxa"/>
              <w:right w:w="28" w:type="dxa"/>
            </w:tcMar>
            <w:vAlign w:val="center"/>
          </w:tcPr>
          <w:p w14:paraId="66818E38">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0B34D71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储罐等容器和设备应设置液位计、温度计，并应装有带液位、温度远传记录和报警功能的安全装置。</w:t>
            </w:r>
          </w:p>
        </w:tc>
        <w:tc>
          <w:tcPr>
            <w:tcW w:w="3280" w:type="dxa"/>
            <w:vAlign w:val="center"/>
          </w:tcPr>
          <w:p w14:paraId="28068A6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该加油站储罐设有液位仪并有高液位报警装置。</w:t>
            </w:r>
          </w:p>
        </w:tc>
        <w:tc>
          <w:tcPr>
            <w:tcW w:w="709" w:type="dxa"/>
            <w:vAlign w:val="center"/>
          </w:tcPr>
          <w:p w14:paraId="248DE47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1CFBF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8" w:type="dxa"/>
            <w:vMerge w:val="continue"/>
            <w:tcMar>
              <w:top w:w="57" w:type="dxa"/>
              <w:left w:w="28" w:type="dxa"/>
              <w:bottom w:w="57" w:type="dxa"/>
              <w:right w:w="28" w:type="dxa"/>
            </w:tcMar>
            <w:vAlign w:val="center"/>
          </w:tcPr>
          <w:p w14:paraId="0FF263BF">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21125B8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避免与氧化剂接触。</w:t>
            </w:r>
          </w:p>
        </w:tc>
        <w:tc>
          <w:tcPr>
            <w:tcW w:w="3280" w:type="dxa"/>
            <w:vAlign w:val="center"/>
          </w:tcPr>
          <w:p w14:paraId="2AEEBB7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eastAsia="宋体"/>
                <w:color w:val="auto"/>
                <w:lang w:val="en-US" w:eastAsia="zh-CN"/>
              </w:rPr>
            </w:pPr>
            <w:r>
              <w:rPr>
                <w:rFonts w:hint="eastAsia"/>
                <w:color w:val="auto"/>
                <w:lang w:val="en-US" w:eastAsia="zh-CN"/>
              </w:rPr>
              <w:t>不涉及氧化剂</w:t>
            </w:r>
          </w:p>
        </w:tc>
        <w:tc>
          <w:tcPr>
            <w:tcW w:w="709" w:type="dxa"/>
            <w:vAlign w:val="center"/>
          </w:tcPr>
          <w:p w14:paraId="59CCB37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eastAsia="宋体"/>
                <w:color w:val="auto"/>
                <w:lang w:eastAsia="zh-CN"/>
              </w:rPr>
            </w:pPr>
            <w:r>
              <w:rPr>
                <w:rFonts w:hint="eastAsia"/>
                <w:color w:val="auto"/>
                <w:lang w:val="en-US" w:eastAsia="zh-CN"/>
              </w:rPr>
              <w:t>不涉及</w:t>
            </w:r>
          </w:p>
        </w:tc>
      </w:tr>
      <w:tr w14:paraId="769D5C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458" w:type="dxa"/>
            <w:vMerge w:val="continue"/>
            <w:tcMar>
              <w:top w:w="57" w:type="dxa"/>
              <w:left w:w="28" w:type="dxa"/>
              <w:bottom w:w="57" w:type="dxa"/>
              <w:right w:w="28" w:type="dxa"/>
            </w:tcMar>
            <w:vAlign w:val="center"/>
          </w:tcPr>
          <w:p w14:paraId="06265120">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036BC86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生产、储存区域应设置安全警示标志。</w:t>
            </w:r>
            <w:r>
              <w:rPr>
                <w:rFonts w:hint="eastAsia"/>
                <w:color w:val="auto"/>
                <w:lang w:eastAsia="zh-CN"/>
              </w:rPr>
              <w:t>灌装</w:t>
            </w:r>
            <w:r>
              <w:rPr>
                <w:rFonts w:hint="default"/>
                <w:color w:val="auto"/>
              </w:rPr>
              <w:t>时应控制流速，且有接地装置，防止静电积聚。搬运时要轻装轻卸，防止包装及容器损坏。配备相应品种和数量的消防器材及泄漏应急处理设备。</w:t>
            </w:r>
          </w:p>
        </w:tc>
        <w:tc>
          <w:tcPr>
            <w:tcW w:w="3280" w:type="dxa"/>
            <w:vAlign w:val="center"/>
          </w:tcPr>
          <w:p w14:paraId="7B9E406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该加油站站区储罐区、加油区均设有相应的安全警示标志。并配备了相应品种和数量的消防器材。</w:t>
            </w:r>
          </w:p>
        </w:tc>
        <w:tc>
          <w:tcPr>
            <w:tcW w:w="709" w:type="dxa"/>
            <w:vAlign w:val="center"/>
          </w:tcPr>
          <w:p w14:paraId="2FCBCDB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560578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3C4923DB">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27AA79A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【特殊要求】</w:t>
            </w:r>
          </w:p>
        </w:tc>
      </w:tr>
      <w:tr w14:paraId="7A8607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458" w:type="dxa"/>
            <w:vMerge w:val="continue"/>
            <w:tcMar>
              <w:top w:w="57" w:type="dxa"/>
              <w:left w:w="28" w:type="dxa"/>
              <w:bottom w:w="57" w:type="dxa"/>
              <w:right w:w="28" w:type="dxa"/>
            </w:tcMar>
            <w:vAlign w:val="center"/>
          </w:tcPr>
          <w:p w14:paraId="4CA3E328">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779F61F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【操作安全】</w:t>
            </w:r>
          </w:p>
        </w:tc>
      </w:tr>
      <w:tr w14:paraId="3DE47A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8" w:type="dxa"/>
            <w:vMerge w:val="continue"/>
            <w:tcMar>
              <w:top w:w="57" w:type="dxa"/>
              <w:left w:w="28" w:type="dxa"/>
              <w:bottom w:w="57" w:type="dxa"/>
              <w:right w:w="28" w:type="dxa"/>
            </w:tcMar>
            <w:vAlign w:val="center"/>
          </w:tcPr>
          <w:p w14:paraId="162A3DC8">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407AF52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1</w:t>
            </w:r>
            <w:r>
              <w:rPr>
                <w:rFonts w:hint="default"/>
                <w:color w:val="auto"/>
              </w:rPr>
              <w:t>）油罐及贮存桶装汽油附近要严禁烟火。禁止将汽油与其他易燃物放在一起。</w:t>
            </w:r>
          </w:p>
        </w:tc>
        <w:tc>
          <w:tcPr>
            <w:tcW w:w="3280" w:type="dxa"/>
            <w:vAlign w:val="center"/>
          </w:tcPr>
          <w:p w14:paraId="66E6AB5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该加油站罐区附近严禁烟火，汽油均单品单罐储存于油罐中。</w:t>
            </w:r>
          </w:p>
        </w:tc>
        <w:tc>
          <w:tcPr>
            <w:tcW w:w="709" w:type="dxa"/>
            <w:vAlign w:val="center"/>
          </w:tcPr>
          <w:p w14:paraId="6FE7F08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66A4A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458" w:type="dxa"/>
            <w:vMerge w:val="continue"/>
            <w:tcMar>
              <w:top w:w="57" w:type="dxa"/>
              <w:left w:w="28" w:type="dxa"/>
              <w:bottom w:w="57" w:type="dxa"/>
              <w:right w:w="28" w:type="dxa"/>
            </w:tcMar>
            <w:vAlign w:val="center"/>
          </w:tcPr>
          <w:p w14:paraId="4CE13A21">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30EE85A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2</w:t>
            </w:r>
            <w:r>
              <w:rPr>
                <w:rFonts w:hint="default"/>
                <w:color w:val="auto"/>
              </w:rPr>
              <w:t>）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tc>
        <w:tc>
          <w:tcPr>
            <w:tcW w:w="3280" w:type="dxa"/>
            <w:vAlign w:val="center"/>
          </w:tcPr>
          <w:p w14:paraId="1D6C69E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往油</w:t>
            </w:r>
            <w:r>
              <w:rPr>
                <w:rFonts w:hint="eastAsia"/>
                <w:color w:val="auto"/>
              </w:rPr>
              <w:t>罐</w:t>
            </w:r>
            <w:r>
              <w:rPr>
                <w:rFonts w:hint="default"/>
                <w:color w:val="auto"/>
              </w:rPr>
              <w:t>装油时，输油管</w:t>
            </w:r>
            <w:r>
              <w:rPr>
                <w:rFonts w:hint="eastAsia"/>
                <w:color w:val="auto"/>
              </w:rPr>
              <w:t>均</w:t>
            </w:r>
            <w:r>
              <w:rPr>
                <w:rFonts w:hint="default"/>
                <w:color w:val="auto"/>
              </w:rPr>
              <w:t>插入油面以下或接近罐的底部</w:t>
            </w:r>
            <w:r>
              <w:rPr>
                <w:rFonts w:hint="eastAsia"/>
                <w:color w:val="auto"/>
              </w:rPr>
              <w:t>。</w:t>
            </w:r>
          </w:p>
          <w:p w14:paraId="180C82F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罐区内没有存放油手套等。</w:t>
            </w:r>
          </w:p>
        </w:tc>
        <w:tc>
          <w:tcPr>
            <w:tcW w:w="709" w:type="dxa"/>
            <w:vAlign w:val="center"/>
          </w:tcPr>
          <w:p w14:paraId="58A1F71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638335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58" w:type="dxa"/>
            <w:vMerge w:val="continue"/>
            <w:tcMar>
              <w:top w:w="57" w:type="dxa"/>
              <w:left w:w="28" w:type="dxa"/>
              <w:bottom w:w="57" w:type="dxa"/>
              <w:right w:w="28" w:type="dxa"/>
            </w:tcMar>
            <w:vAlign w:val="center"/>
          </w:tcPr>
          <w:p w14:paraId="574F74C0">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052BE17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3</w:t>
            </w:r>
            <w:r>
              <w:rPr>
                <w:rFonts w:hint="default"/>
                <w:color w:val="auto"/>
              </w:rPr>
              <w:t>）当进行</w:t>
            </w:r>
            <w:r>
              <w:rPr>
                <w:rFonts w:hint="eastAsia"/>
                <w:color w:val="auto"/>
              </w:rPr>
              <w:t>罐</w:t>
            </w:r>
            <w:r>
              <w:rPr>
                <w:rFonts w:hint="default"/>
                <w:color w:val="auto"/>
              </w:rPr>
              <w:t>装汽油时，邻近的汽车、拖拉机的排气管要戴上防火帽后才能发动，存汽油地点附近严禁检修车辆。</w:t>
            </w:r>
          </w:p>
        </w:tc>
        <w:tc>
          <w:tcPr>
            <w:tcW w:w="3280" w:type="dxa"/>
            <w:vAlign w:val="center"/>
          </w:tcPr>
          <w:p w14:paraId="0CA5318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进行罐装汽油时汽车不发动。</w:t>
            </w:r>
          </w:p>
          <w:p w14:paraId="36E6FA0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卸油完毕罐车静置</w:t>
            </w:r>
            <w:r>
              <w:rPr>
                <w:rFonts w:hint="default" w:ascii="Times New Roman" w:hAnsi="Times New Roman"/>
                <w:color w:val="auto"/>
              </w:rPr>
              <w:t>5min</w:t>
            </w:r>
            <w:r>
              <w:rPr>
                <w:rFonts w:hint="eastAsia"/>
                <w:color w:val="auto"/>
              </w:rPr>
              <w:t>后，卸油员引导油罐车启车、离站。</w:t>
            </w:r>
          </w:p>
        </w:tc>
        <w:tc>
          <w:tcPr>
            <w:tcW w:w="709" w:type="dxa"/>
            <w:vAlign w:val="center"/>
          </w:tcPr>
          <w:p w14:paraId="22D97BB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43DBE5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7B24FC9C">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374A835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4</w:t>
            </w:r>
            <w:r>
              <w:rPr>
                <w:rFonts w:hint="default"/>
                <w:color w:val="auto"/>
              </w:rPr>
              <w:t>）汽油油罐和贮存汽油区的上空，不应有电线通过。油罐、库房与电线的距离要为电杆长度的</w:t>
            </w:r>
            <w:r>
              <w:rPr>
                <w:rFonts w:hint="default" w:ascii="Times New Roman" w:hAnsi="Times New Roman"/>
                <w:color w:val="auto"/>
              </w:rPr>
              <w:t>1</w:t>
            </w:r>
            <w:r>
              <w:rPr>
                <w:rFonts w:hint="default"/>
                <w:color w:val="auto"/>
              </w:rPr>
              <w:t>.</w:t>
            </w:r>
            <w:r>
              <w:rPr>
                <w:rFonts w:hint="default" w:ascii="Times New Roman" w:hAnsi="Times New Roman"/>
                <w:color w:val="auto"/>
              </w:rPr>
              <w:t>5</w:t>
            </w:r>
            <w:r>
              <w:rPr>
                <w:rFonts w:hint="default"/>
                <w:color w:val="auto"/>
              </w:rPr>
              <w:t>倍以上。</w:t>
            </w:r>
          </w:p>
        </w:tc>
        <w:tc>
          <w:tcPr>
            <w:tcW w:w="3280" w:type="dxa"/>
            <w:vAlign w:val="center"/>
          </w:tcPr>
          <w:p w14:paraId="779FD6E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该加油站周边电杆距离加油作业区符合规范要求。</w:t>
            </w:r>
          </w:p>
        </w:tc>
        <w:tc>
          <w:tcPr>
            <w:tcW w:w="709" w:type="dxa"/>
            <w:vAlign w:val="center"/>
          </w:tcPr>
          <w:p w14:paraId="6C97471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49555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3EA7507B">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465912D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5</w:t>
            </w:r>
            <w:r>
              <w:rPr>
                <w:rFonts w:hint="default"/>
                <w:color w:val="auto"/>
              </w:rPr>
              <w:t>）注意仓库及操作场所的通风，使油蒸气容易逸散。</w:t>
            </w:r>
          </w:p>
        </w:tc>
        <w:tc>
          <w:tcPr>
            <w:tcW w:w="3280" w:type="dxa"/>
            <w:vAlign w:val="center"/>
          </w:tcPr>
          <w:p w14:paraId="5A028B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该加油站为室外设备，不存在仓库。</w:t>
            </w:r>
          </w:p>
        </w:tc>
        <w:tc>
          <w:tcPr>
            <w:tcW w:w="709" w:type="dxa"/>
            <w:vAlign w:val="center"/>
          </w:tcPr>
          <w:p w14:paraId="76778DC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eastAsia="宋体"/>
                <w:color w:val="auto"/>
                <w:lang w:eastAsia="zh-CN"/>
              </w:rPr>
            </w:pPr>
            <w:r>
              <w:rPr>
                <w:rFonts w:hint="eastAsia"/>
                <w:color w:val="auto"/>
                <w:lang w:val="en-US" w:eastAsia="zh-CN"/>
              </w:rPr>
              <w:t>不涉及</w:t>
            </w:r>
          </w:p>
        </w:tc>
      </w:tr>
      <w:tr w14:paraId="2E28E0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458" w:type="dxa"/>
            <w:vMerge w:val="continue"/>
            <w:tcMar>
              <w:top w:w="57" w:type="dxa"/>
              <w:left w:w="28" w:type="dxa"/>
              <w:bottom w:w="57" w:type="dxa"/>
              <w:right w:w="28" w:type="dxa"/>
            </w:tcMar>
            <w:textDirection w:val="tbRlV"/>
            <w:vAlign w:val="center"/>
          </w:tcPr>
          <w:p w14:paraId="4F50F6C7">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5D256FF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【储存安全】</w:t>
            </w:r>
          </w:p>
        </w:tc>
      </w:tr>
      <w:tr w14:paraId="72EA6A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458" w:type="dxa"/>
            <w:vMerge w:val="continue"/>
            <w:tcMar>
              <w:top w:w="57" w:type="dxa"/>
              <w:left w:w="28" w:type="dxa"/>
              <w:bottom w:w="57" w:type="dxa"/>
              <w:right w:w="28" w:type="dxa"/>
            </w:tcMar>
            <w:vAlign w:val="center"/>
          </w:tcPr>
          <w:p w14:paraId="7716FA0F">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333F961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1</w:t>
            </w:r>
            <w:r>
              <w:rPr>
                <w:rFonts w:hint="default"/>
                <w:color w:val="auto"/>
              </w:rPr>
              <w:t>）储存于阴凉、通风的库房。远离火种、热源。库房温度不宜超过</w:t>
            </w:r>
            <w:r>
              <w:rPr>
                <w:rFonts w:hint="default" w:ascii="Times New Roman" w:hAnsi="Times New Roman"/>
                <w:color w:val="auto"/>
              </w:rPr>
              <w:t>30</w:t>
            </w:r>
            <w:r>
              <w:rPr>
                <w:rFonts w:hint="default"/>
                <w:color w:val="auto"/>
              </w:rPr>
              <w:t>℃。炎热季节应采取喷淋、通风等降温措施。</w:t>
            </w:r>
          </w:p>
        </w:tc>
        <w:tc>
          <w:tcPr>
            <w:tcW w:w="3280" w:type="dxa"/>
            <w:vAlign w:val="center"/>
          </w:tcPr>
          <w:p w14:paraId="4FDEDD8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该加油站汽油储存地下卧式储罐内。远离火种、热源。</w:t>
            </w:r>
          </w:p>
        </w:tc>
        <w:tc>
          <w:tcPr>
            <w:tcW w:w="709" w:type="dxa"/>
            <w:vAlign w:val="center"/>
          </w:tcPr>
          <w:p w14:paraId="218DD82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eastAsia="宋体"/>
                <w:color w:val="auto"/>
                <w:lang w:eastAsia="zh-CN"/>
              </w:rPr>
            </w:pPr>
            <w:r>
              <w:rPr>
                <w:rFonts w:hint="eastAsia"/>
                <w:color w:val="auto"/>
                <w:lang w:val="en-US" w:eastAsia="zh-CN"/>
              </w:rPr>
              <w:t>符合</w:t>
            </w:r>
          </w:p>
        </w:tc>
      </w:tr>
      <w:tr w14:paraId="389F11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6133DE93">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15ADD69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2</w:t>
            </w:r>
            <w:r>
              <w:rPr>
                <w:rFonts w:hint="default"/>
                <w:color w:val="auto"/>
              </w:rPr>
              <w:t>）应与氧化剂分开存放，切忌混储。用储罐、铁桶等容器盛装，不要用塑料桶来存放汽油。盛装时，切不可充满，要留出必要的安全空间。</w:t>
            </w:r>
          </w:p>
        </w:tc>
        <w:tc>
          <w:tcPr>
            <w:tcW w:w="3280" w:type="dxa"/>
            <w:vAlign w:val="center"/>
          </w:tcPr>
          <w:p w14:paraId="4637C5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both"/>
              <w:textAlignment w:val="auto"/>
              <w:rPr>
                <w:rFonts w:hint="default"/>
                <w:color w:val="auto"/>
              </w:rPr>
            </w:pPr>
            <w:r>
              <w:rPr>
                <w:rFonts w:hint="eastAsia"/>
                <w:color w:val="auto"/>
                <w:lang w:val="en-US" w:eastAsia="zh-CN"/>
              </w:rPr>
              <w:t>不涉及氧化剂</w:t>
            </w:r>
          </w:p>
        </w:tc>
        <w:tc>
          <w:tcPr>
            <w:tcW w:w="709" w:type="dxa"/>
            <w:vAlign w:val="center"/>
          </w:tcPr>
          <w:p w14:paraId="39423BD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textAlignment w:val="auto"/>
              <w:rPr>
                <w:rFonts w:hint="default"/>
                <w:color w:val="auto"/>
              </w:rPr>
            </w:pPr>
            <w:r>
              <w:rPr>
                <w:rFonts w:hint="eastAsia"/>
                <w:color w:val="auto"/>
                <w:lang w:val="en-US" w:eastAsia="zh-CN"/>
              </w:rPr>
              <w:t>不涉及</w:t>
            </w:r>
          </w:p>
        </w:tc>
      </w:tr>
      <w:tr w14:paraId="6F6D1F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458" w:type="dxa"/>
            <w:vMerge w:val="continue"/>
            <w:tcMar>
              <w:top w:w="57" w:type="dxa"/>
              <w:left w:w="28" w:type="dxa"/>
              <w:bottom w:w="57" w:type="dxa"/>
              <w:right w:w="28" w:type="dxa"/>
            </w:tcMar>
            <w:vAlign w:val="center"/>
          </w:tcPr>
          <w:p w14:paraId="5EC6F103">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7E4A034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default"/>
                <w:color w:val="auto"/>
              </w:rPr>
              <w:t>（</w:t>
            </w:r>
            <w:r>
              <w:rPr>
                <w:rFonts w:hint="default" w:ascii="Times New Roman" w:hAnsi="Times New Roman"/>
                <w:color w:val="auto"/>
              </w:rPr>
              <w:t>3</w:t>
            </w:r>
            <w:r>
              <w:rPr>
                <w:rFonts w:hint="default"/>
                <w:color w:val="auto"/>
              </w:rPr>
              <w:t>）采用防爆型照明、通风设施。禁止使用易产生火花的机械设备和工具。储存区应备有泄漏应急处理设备和合适的收容材料。罐储时要有防火防爆技术措施。对于</w:t>
            </w:r>
            <w:r>
              <w:rPr>
                <w:rFonts w:hint="default" w:ascii="Times New Roman" w:hAnsi="Times New Roman"/>
                <w:color w:val="auto"/>
              </w:rPr>
              <w:t>1000m</w:t>
            </w:r>
            <w:r>
              <w:rPr>
                <w:rFonts w:hint="default" w:ascii="Times New Roman" w:hAnsi="Times New Roman"/>
                <w:color w:val="auto"/>
                <w:vertAlign w:val="superscript"/>
              </w:rPr>
              <w:t>3</w:t>
            </w:r>
            <w:r>
              <w:rPr>
                <w:rFonts w:hint="default"/>
                <w:color w:val="auto"/>
              </w:rPr>
              <w:t>及以上的储罐顶部应有泡沫灭火设施等</w:t>
            </w:r>
            <w:r>
              <w:rPr>
                <w:rFonts w:hint="eastAsia"/>
                <w:color w:val="auto"/>
              </w:rPr>
              <w:t>。</w:t>
            </w:r>
          </w:p>
        </w:tc>
        <w:tc>
          <w:tcPr>
            <w:tcW w:w="3280" w:type="dxa"/>
            <w:vAlign w:val="center"/>
          </w:tcPr>
          <w:p w14:paraId="72D1C6D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该加油站内</w:t>
            </w:r>
            <w:r>
              <w:rPr>
                <w:rFonts w:hint="default"/>
                <w:color w:val="auto"/>
              </w:rPr>
              <w:t>爆炸危险区域的电器设备</w:t>
            </w:r>
            <w:r>
              <w:rPr>
                <w:rFonts w:hint="eastAsia"/>
                <w:color w:val="auto"/>
              </w:rPr>
              <w:t>采用防爆型设备。</w:t>
            </w:r>
          </w:p>
          <w:p w14:paraId="3214D01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储罐容量没有超过</w:t>
            </w:r>
            <w:r>
              <w:rPr>
                <w:rFonts w:hint="eastAsia" w:ascii="Times New Roman" w:hAnsi="Times New Roman"/>
                <w:color w:val="auto"/>
              </w:rPr>
              <w:t>1000m</w:t>
            </w:r>
            <w:r>
              <w:rPr>
                <w:rFonts w:hint="eastAsia" w:ascii="Times New Roman" w:hAnsi="Times New Roman"/>
                <w:color w:val="auto"/>
                <w:vertAlign w:val="superscript"/>
              </w:rPr>
              <w:t>3</w:t>
            </w:r>
            <w:r>
              <w:rPr>
                <w:rFonts w:hint="eastAsia"/>
                <w:color w:val="auto"/>
              </w:rPr>
              <w:t>。</w:t>
            </w:r>
          </w:p>
        </w:tc>
        <w:tc>
          <w:tcPr>
            <w:tcW w:w="709" w:type="dxa"/>
            <w:vAlign w:val="center"/>
          </w:tcPr>
          <w:p w14:paraId="43494B1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03D022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458" w:type="dxa"/>
            <w:vMerge w:val="continue"/>
            <w:tcMar>
              <w:top w:w="57" w:type="dxa"/>
              <w:left w:w="28" w:type="dxa"/>
              <w:bottom w:w="57" w:type="dxa"/>
              <w:right w:w="28" w:type="dxa"/>
            </w:tcMar>
            <w:vAlign w:val="center"/>
          </w:tcPr>
          <w:p w14:paraId="0847029D">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44010E7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【运输安全】</w:t>
            </w:r>
          </w:p>
        </w:tc>
      </w:tr>
      <w:tr w14:paraId="2DFAE9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25B48FE6">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15105E9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default"/>
                <w:color w:val="auto"/>
              </w:rPr>
              <w:t>（</w:t>
            </w:r>
            <w:r>
              <w:rPr>
                <w:rFonts w:hint="default" w:ascii="Times New Roman" w:hAnsi="Times New Roman"/>
                <w:color w:val="auto"/>
              </w:rPr>
              <w:t>1</w:t>
            </w:r>
            <w:r>
              <w:rPr>
                <w:rFonts w:hint="default"/>
                <w:color w:val="auto"/>
              </w:rPr>
              <w:t>）运输车辆应有危险货物运输标志、安装具有行驶记录功能的卫星定位装置。未经公安机关批准，运输车辆不得进入危险化学品运输车辆限制通行的区域</w:t>
            </w:r>
            <w:r>
              <w:rPr>
                <w:rFonts w:hint="eastAsia"/>
                <w:color w:val="auto"/>
              </w:rPr>
              <w:t>。</w:t>
            </w:r>
          </w:p>
        </w:tc>
        <w:tc>
          <w:tcPr>
            <w:tcW w:w="3280" w:type="dxa"/>
            <w:vAlign w:val="center"/>
          </w:tcPr>
          <w:p w14:paraId="3CA1599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该加油站不承担汽油的运输，均由其他具备相应资质的危险货物运输公司承担。</w:t>
            </w:r>
          </w:p>
        </w:tc>
        <w:tc>
          <w:tcPr>
            <w:tcW w:w="709" w:type="dxa"/>
            <w:vAlign w:val="center"/>
          </w:tcPr>
          <w:p w14:paraId="5B62614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eastAsia="宋体"/>
                <w:color w:val="auto"/>
                <w:lang w:eastAsia="zh-CN"/>
              </w:rPr>
            </w:pPr>
            <w:r>
              <w:rPr>
                <w:rFonts w:hint="eastAsia"/>
                <w:color w:val="auto"/>
                <w:lang w:val="en-US" w:eastAsia="zh-CN"/>
              </w:rPr>
              <w:t>不涉及</w:t>
            </w:r>
          </w:p>
        </w:tc>
      </w:tr>
      <w:tr w14:paraId="5A1434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58" w:type="dxa"/>
            <w:vMerge w:val="continue"/>
            <w:tcMar>
              <w:top w:w="57" w:type="dxa"/>
              <w:left w:w="28" w:type="dxa"/>
              <w:bottom w:w="57" w:type="dxa"/>
              <w:right w:w="28" w:type="dxa"/>
            </w:tcMar>
            <w:vAlign w:val="center"/>
          </w:tcPr>
          <w:p w14:paraId="25228B81">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611DC20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2</w:t>
            </w:r>
            <w:r>
              <w:rPr>
                <w:rFonts w:hint="default"/>
                <w:color w:val="auto"/>
              </w:rPr>
              <w:t>）汽油装于专用的槽车</w:t>
            </w:r>
            <w:r>
              <w:rPr>
                <w:rFonts w:hint="eastAsia"/>
                <w:color w:val="auto"/>
              </w:rPr>
              <w:t>（</w:t>
            </w:r>
            <w:r>
              <w:rPr>
                <w:rFonts w:hint="default"/>
                <w:color w:val="auto"/>
              </w:rPr>
              <w:t>船</w:t>
            </w:r>
            <w:r>
              <w:rPr>
                <w:rFonts w:hint="eastAsia"/>
                <w:color w:val="auto"/>
              </w:rPr>
              <w:t>）</w:t>
            </w:r>
            <w:r>
              <w:rPr>
                <w:rFonts w:hint="default"/>
                <w:color w:val="auto"/>
              </w:rPr>
              <w:t>内运输，槽车</w:t>
            </w:r>
            <w:r>
              <w:rPr>
                <w:rFonts w:hint="eastAsia"/>
                <w:color w:val="auto"/>
              </w:rPr>
              <w:t>（</w:t>
            </w:r>
            <w:r>
              <w:rPr>
                <w:rFonts w:hint="default"/>
                <w:color w:val="auto"/>
              </w:rPr>
              <w:t>船</w:t>
            </w:r>
            <w:r>
              <w:rPr>
                <w:rFonts w:hint="eastAsia"/>
                <w:color w:val="auto"/>
              </w:rPr>
              <w:t>）</w:t>
            </w:r>
            <w:r>
              <w:rPr>
                <w:rFonts w:hint="default"/>
                <w:color w:val="auto"/>
              </w:rPr>
              <w:t>应定期清理；用其他包装容器运输时，容器须用盖密封。运送汽油的油罐汽车，必须有导静电拖线。对有每分钟</w:t>
            </w:r>
            <w:r>
              <w:rPr>
                <w:rFonts w:hint="default" w:ascii="Times New Roman" w:hAnsi="Times New Roman"/>
                <w:color w:val="auto"/>
              </w:rPr>
              <w:t>0</w:t>
            </w:r>
            <w:r>
              <w:rPr>
                <w:rFonts w:hint="default"/>
                <w:color w:val="auto"/>
              </w:rPr>
              <w:t>.</w:t>
            </w:r>
            <w:r>
              <w:rPr>
                <w:rFonts w:hint="default" w:ascii="Times New Roman" w:hAnsi="Times New Roman"/>
                <w:color w:val="auto"/>
              </w:rPr>
              <w:t>5m</w:t>
            </w:r>
            <w:r>
              <w:rPr>
                <w:rFonts w:hint="default" w:ascii="Times New Roman" w:hAnsi="Times New Roman"/>
                <w:color w:val="auto"/>
                <w:vertAlign w:val="superscript"/>
              </w:rPr>
              <w:t>3</w:t>
            </w:r>
            <w:r>
              <w:rPr>
                <w:rFonts w:hint="default"/>
                <w:color w:val="auto"/>
              </w:rPr>
              <w:t>以上的快速装卸油设备的油罐汽车，在装卸油时，除了保证铁链接地外，更要将车上油罐的接地线插入地下并不得浅于</w:t>
            </w:r>
            <w:r>
              <w:rPr>
                <w:rFonts w:hint="default" w:ascii="Times New Roman" w:hAnsi="Times New Roman"/>
                <w:color w:val="auto"/>
              </w:rPr>
              <w:t>100mm</w:t>
            </w:r>
            <w:r>
              <w:rPr>
                <w:rFonts w:hint="default"/>
                <w:color w:val="auto"/>
              </w:rPr>
              <w:t>。运输时运输车辆应配备相应品种和数量的消防器材。装运该物品的车辆排气管必须配备阻火装置，禁止使用易产生火花的机械设备和工具装卸。汽车槽罐内可设孔隔板以减少震荡产生静电。</w:t>
            </w:r>
          </w:p>
        </w:tc>
        <w:tc>
          <w:tcPr>
            <w:tcW w:w="3280" w:type="dxa"/>
            <w:vAlign w:val="center"/>
          </w:tcPr>
          <w:p w14:paraId="2E722CA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该加油站不承担汽油的运输环节；由其他具备相应资质的危险货物运输公司承担。</w:t>
            </w:r>
          </w:p>
        </w:tc>
        <w:tc>
          <w:tcPr>
            <w:tcW w:w="709" w:type="dxa"/>
            <w:vAlign w:val="center"/>
          </w:tcPr>
          <w:p w14:paraId="3C640FE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lang w:val="en-US" w:eastAsia="zh-CN"/>
              </w:rPr>
              <w:t>不涉及</w:t>
            </w:r>
          </w:p>
        </w:tc>
      </w:tr>
      <w:tr w14:paraId="644B9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458" w:type="dxa"/>
            <w:vMerge w:val="continue"/>
            <w:tcMar>
              <w:top w:w="57" w:type="dxa"/>
              <w:left w:w="28" w:type="dxa"/>
              <w:bottom w:w="57" w:type="dxa"/>
              <w:right w:w="28" w:type="dxa"/>
            </w:tcMar>
            <w:vAlign w:val="center"/>
          </w:tcPr>
          <w:p w14:paraId="58B5D217">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0DA0945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3</w:t>
            </w:r>
            <w:r>
              <w:rPr>
                <w:rFonts w:hint="default"/>
                <w:color w:val="auto"/>
              </w:rPr>
              <w:t>）严禁与氧化剂等混装混运。夏季最好早晚运输，运输途中应防</w:t>
            </w:r>
            <w:r>
              <w:rPr>
                <w:rFonts w:hint="eastAsia"/>
                <w:color w:val="auto"/>
                <w:lang w:eastAsia="zh-CN"/>
              </w:rPr>
              <w:t>暴晒</w:t>
            </w:r>
            <w:r>
              <w:rPr>
                <w:rFonts w:hint="default"/>
                <w:color w:val="auto"/>
              </w:rPr>
              <w:t>、防雨淋、防高温。中途停留时应远离火种、热源、高温区及人口密集地段。</w:t>
            </w:r>
          </w:p>
        </w:tc>
        <w:tc>
          <w:tcPr>
            <w:tcW w:w="3280" w:type="dxa"/>
            <w:vAlign w:val="center"/>
          </w:tcPr>
          <w:p w14:paraId="004BD47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该加油站不承担汽油的运输，均由其他具备相应资质的危险货物运输公司承担。</w:t>
            </w:r>
          </w:p>
        </w:tc>
        <w:tc>
          <w:tcPr>
            <w:tcW w:w="709" w:type="dxa"/>
            <w:vAlign w:val="center"/>
          </w:tcPr>
          <w:p w14:paraId="1A0BA3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lang w:val="en-US" w:eastAsia="zh-CN"/>
              </w:rPr>
              <w:t>不涉及</w:t>
            </w:r>
          </w:p>
        </w:tc>
      </w:tr>
      <w:tr w14:paraId="4D4F46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458" w:type="dxa"/>
            <w:vMerge w:val="continue"/>
            <w:tcMar>
              <w:top w:w="57" w:type="dxa"/>
              <w:left w:w="28" w:type="dxa"/>
              <w:bottom w:w="57" w:type="dxa"/>
              <w:right w:w="28" w:type="dxa"/>
            </w:tcMar>
            <w:vAlign w:val="center"/>
          </w:tcPr>
          <w:p w14:paraId="1C95B9E4">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6E65F41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4</w:t>
            </w:r>
            <w:r>
              <w:rPr>
                <w:rFonts w:hint="default"/>
                <w:color w:val="auto"/>
              </w:rPr>
              <w:t>）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w:t>
            </w:r>
            <w:r>
              <w:rPr>
                <w:rFonts w:hint="default" w:ascii="Times New Roman" w:hAnsi="Times New Roman"/>
                <w:color w:val="auto"/>
              </w:rPr>
              <w:t>GB7231</w:t>
            </w:r>
            <w:r>
              <w:rPr>
                <w:rFonts w:hint="default"/>
                <w:color w:val="auto"/>
              </w:rPr>
              <w:t>）的规定。</w:t>
            </w:r>
          </w:p>
        </w:tc>
        <w:tc>
          <w:tcPr>
            <w:tcW w:w="3280" w:type="dxa"/>
            <w:vAlign w:val="center"/>
          </w:tcPr>
          <w:p w14:paraId="171B70B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该加油站输送汽油的管道均埋地敷设。</w:t>
            </w:r>
          </w:p>
        </w:tc>
        <w:tc>
          <w:tcPr>
            <w:tcW w:w="709" w:type="dxa"/>
            <w:vAlign w:val="center"/>
          </w:tcPr>
          <w:p w14:paraId="1061153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lang w:val="en-US" w:eastAsia="zh-CN"/>
              </w:rPr>
              <w:t>不涉及</w:t>
            </w:r>
          </w:p>
        </w:tc>
      </w:tr>
      <w:tr w14:paraId="2C0184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458" w:type="dxa"/>
            <w:vMerge w:val="continue"/>
            <w:tcMar>
              <w:top w:w="57" w:type="dxa"/>
              <w:left w:w="28" w:type="dxa"/>
              <w:bottom w:w="57" w:type="dxa"/>
              <w:right w:w="28" w:type="dxa"/>
            </w:tcMar>
            <w:vAlign w:val="center"/>
          </w:tcPr>
          <w:p w14:paraId="13616744">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1CB482E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w:t>
            </w:r>
            <w:r>
              <w:rPr>
                <w:rFonts w:hint="default" w:ascii="Times New Roman" w:hAnsi="Times New Roman"/>
                <w:color w:val="auto"/>
              </w:rPr>
              <w:t>5</w:t>
            </w:r>
            <w:r>
              <w:rPr>
                <w:rFonts w:hint="default"/>
                <w:color w:val="auto"/>
              </w:rPr>
              <w:t>）输油管道地下铺设时，沿线应设置里程桩、转角桩、标志桩和测试桩，并设警示标志。运行应符合有关法律法规规定。</w:t>
            </w:r>
          </w:p>
        </w:tc>
        <w:tc>
          <w:tcPr>
            <w:tcW w:w="3280" w:type="dxa"/>
            <w:vAlign w:val="center"/>
          </w:tcPr>
          <w:p w14:paraId="28D7448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eastAsia" w:eastAsia="宋体"/>
                <w:color w:val="auto"/>
                <w:lang w:eastAsia="zh-CN"/>
              </w:rPr>
            </w:pPr>
            <w:r>
              <w:rPr>
                <w:rFonts w:hint="eastAsia"/>
                <w:color w:val="auto"/>
                <w:lang w:val="en-US" w:eastAsia="zh-CN"/>
              </w:rPr>
              <w:t>不涉及</w:t>
            </w:r>
          </w:p>
        </w:tc>
        <w:tc>
          <w:tcPr>
            <w:tcW w:w="709" w:type="dxa"/>
            <w:vAlign w:val="center"/>
          </w:tcPr>
          <w:p w14:paraId="1F35842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eastAsia" w:eastAsia="宋体"/>
                <w:color w:val="auto"/>
                <w:lang w:eastAsia="zh-CN"/>
              </w:rPr>
            </w:pPr>
            <w:r>
              <w:rPr>
                <w:rFonts w:hint="eastAsia"/>
                <w:color w:val="auto"/>
                <w:lang w:val="en-US" w:eastAsia="zh-CN"/>
              </w:rPr>
              <w:t>不涉及</w:t>
            </w:r>
          </w:p>
        </w:tc>
      </w:tr>
      <w:tr w14:paraId="47B35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458" w:type="dxa"/>
            <w:vMerge w:val="continue"/>
            <w:tcMar>
              <w:top w:w="57" w:type="dxa"/>
              <w:left w:w="28" w:type="dxa"/>
              <w:bottom w:w="57" w:type="dxa"/>
              <w:right w:w="28" w:type="dxa"/>
            </w:tcMar>
            <w:vAlign w:val="center"/>
          </w:tcPr>
          <w:p w14:paraId="00422E54">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55990B2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【急救措施】</w:t>
            </w:r>
          </w:p>
        </w:tc>
      </w:tr>
      <w:tr w14:paraId="72FDAB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458" w:type="dxa"/>
            <w:vMerge w:val="continue"/>
            <w:tcMar>
              <w:top w:w="57" w:type="dxa"/>
              <w:left w:w="28" w:type="dxa"/>
              <w:bottom w:w="57" w:type="dxa"/>
              <w:right w:w="28" w:type="dxa"/>
            </w:tcMar>
            <w:vAlign w:val="center"/>
          </w:tcPr>
          <w:p w14:paraId="4EA4A47E">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523E8F7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吸入：迅速脱离现场至空气新鲜处。保持呼吸道通畅。如呼吸困难，给氧。如呼吸停止，立即进行人工呼吸。就医。</w:t>
            </w:r>
          </w:p>
          <w:p w14:paraId="0434FE8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食入：给饮牛奶或用植物油洗胃和</w:t>
            </w:r>
            <w:r>
              <w:rPr>
                <w:rFonts w:hint="eastAsia"/>
                <w:color w:val="auto"/>
              </w:rPr>
              <w:t>灌肠</w:t>
            </w:r>
            <w:r>
              <w:rPr>
                <w:rFonts w:hint="default"/>
                <w:color w:val="auto"/>
              </w:rPr>
              <w:t>。就医。</w:t>
            </w:r>
          </w:p>
          <w:p w14:paraId="1A3DBC2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皮肤接触：立即脱去污染的衣着，用肥皂水和清水彻底冲洗皮肤。就医。</w:t>
            </w:r>
          </w:p>
          <w:p w14:paraId="6011403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眼睛接触：立即提起眼睑，用大量流动清水或生理盐水彻底冲洗至少</w:t>
            </w:r>
            <w:r>
              <w:rPr>
                <w:rFonts w:hint="default" w:ascii="Times New Roman" w:hAnsi="Times New Roman"/>
                <w:color w:val="auto"/>
              </w:rPr>
              <w:t>15</w:t>
            </w:r>
            <w:r>
              <w:rPr>
                <w:rFonts w:hint="default"/>
                <w:color w:val="auto"/>
              </w:rPr>
              <w:t>分钟。就医。</w:t>
            </w:r>
          </w:p>
        </w:tc>
        <w:tc>
          <w:tcPr>
            <w:tcW w:w="3280" w:type="dxa"/>
            <w:vAlign w:val="center"/>
          </w:tcPr>
          <w:p w14:paraId="3F3537C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w:t>
            </w:r>
            <w:r>
              <w:rPr>
                <w:rFonts w:hint="default"/>
                <w:color w:val="auto"/>
              </w:rPr>
              <w:t>生产安全事故应急预案中包含了危险化学品吸入、食入、皮肤接触、眼睛接触等急救措施。</w:t>
            </w:r>
          </w:p>
        </w:tc>
        <w:tc>
          <w:tcPr>
            <w:tcW w:w="709" w:type="dxa"/>
            <w:vAlign w:val="center"/>
          </w:tcPr>
          <w:p w14:paraId="6117102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1A87FE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 w:hRule="atLeast"/>
          <w:jc w:val="center"/>
        </w:trPr>
        <w:tc>
          <w:tcPr>
            <w:tcW w:w="458" w:type="dxa"/>
            <w:vMerge w:val="continue"/>
            <w:tcMar>
              <w:top w:w="57" w:type="dxa"/>
              <w:left w:w="28" w:type="dxa"/>
              <w:bottom w:w="57" w:type="dxa"/>
              <w:right w:w="28" w:type="dxa"/>
            </w:tcMar>
            <w:vAlign w:val="center"/>
          </w:tcPr>
          <w:p w14:paraId="00EBD04D">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05FB6E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b/>
                <w:bCs/>
                <w:color w:val="auto"/>
              </w:rPr>
            </w:pPr>
            <w:r>
              <w:rPr>
                <w:rFonts w:hint="default"/>
                <w:b/>
                <w:bCs/>
                <w:color w:val="auto"/>
              </w:rPr>
              <w:t>【灭火方法】</w:t>
            </w:r>
          </w:p>
        </w:tc>
      </w:tr>
      <w:tr w14:paraId="7A815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458" w:type="dxa"/>
            <w:vMerge w:val="continue"/>
            <w:tcMar>
              <w:top w:w="57" w:type="dxa"/>
              <w:left w:w="28" w:type="dxa"/>
              <w:bottom w:w="57" w:type="dxa"/>
              <w:right w:w="28" w:type="dxa"/>
            </w:tcMar>
            <w:vAlign w:val="center"/>
          </w:tcPr>
          <w:p w14:paraId="40D4C9AD">
            <w:pPr>
              <w:pStyle w:val="22"/>
              <w:keepNext w:val="0"/>
              <w:keepLines w:val="0"/>
              <w:widowControl/>
              <w:suppressLineNumbers w:val="0"/>
              <w:spacing w:before="0" w:beforeAutospacing="0" w:after="0" w:afterAutospacing="0"/>
              <w:ind w:left="0" w:right="0"/>
              <w:rPr>
                <w:rFonts w:hint="default"/>
                <w:b/>
                <w:bCs/>
                <w:color w:val="auto"/>
              </w:rPr>
            </w:pPr>
          </w:p>
        </w:tc>
        <w:tc>
          <w:tcPr>
            <w:tcW w:w="4978" w:type="dxa"/>
            <w:tcMar>
              <w:top w:w="57" w:type="dxa"/>
              <w:left w:w="28" w:type="dxa"/>
              <w:bottom w:w="57" w:type="dxa"/>
              <w:right w:w="28" w:type="dxa"/>
            </w:tcMar>
            <w:vAlign w:val="center"/>
          </w:tcPr>
          <w:p w14:paraId="17FE9B9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喷水冷却容器，尽可能将容器从火场移至空旷处。</w:t>
            </w:r>
          </w:p>
          <w:p w14:paraId="3B7C9A1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灭火剂：泡沫、干粉、二氧化碳。用水灭火无效。</w:t>
            </w:r>
          </w:p>
        </w:tc>
        <w:tc>
          <w:tcPr>
            <w:tcW w:w="3280" w:type="dxa"/>
            <w:vAlign w:val="center"/>
          </w:tcPr>
          <w:p w14:paraId="0B456D7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w:t>
            </w:r>
            <w:r>
              <w:rPr>
                <w:rFonts w:hint="default"/>
                <w:color w:val="auto"/>
              </w:rPr>
              <w:t>生产安全事故应急预案中包含了危险化学品火灾、爆炸事故的灭火方法及其灭火剂。</w:t>
            </w:r>
          </w:p>
        </w:tc>
        <w:tc>
          <w:tcPr>
            <w:tcW w:w="709" w:type="dxa"/>
            <w:vAlign w:val="center"/>
          </w:tcPr>
          <w:p w14:paraId="5A5F76A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56B34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458" w:type="dxa"/>
            <w:vMerge w:val="continue"/>
            <w:tcMar>
              <w:top w:w="57" w:type="dxa"/>
              <w:left w:w="28" w:type="dxa"/>
              <w:bottom w:w="57" w:type="dxa"/>
              <w:right w:w="28" w:type="dxa"/>
            </w:tcMar>
            <w:vAlign w:val="center"/>
          </w:tcPr>
          <w:p w14:paraId="1353A3AF">
            <w:pPr>
              <w:pStyle w:val="22"/>
              <w:keepNext w:val="0"/>
              <w:keepLines w:val="0"/>
              <w:widowControl/>
              <w:suppressLineNumbers w:val="0"/>
              <w:spacing w:before="0" w:beforeAutospacing="0" w:after="0" w:afterAutospacing="0"/>
              <w:ind w:left="0" w:right="0"/>
              <w:rPr>
                <w:rFonts w:hint="default"/>
                <w:b/>
                <w:bCs/>
                <w:color w:val="auto"/>
              </w:rPr>
            </w:pPr>
          </w:p>
        </w:tc>
        <w:tc>
          <w:tcPr>
            <w:tcW w:w="8967" w:type="dxa"/>
            <w:gridSpan w:val="3"/>
            <w:tcMar>
              <w:top w:w="57" w:type="dxa"/>
              <w:left w:w="28" w:type="dxa"/>
              <w:bottom w:w="57" w:type="dxa"/>
              <w:right w:w="28" w:type="dxa"/>
            </w:tcMar>
            <w:vAlign w:val="center"/>
          </w:tcPr>
          <w:p w14:paraId="2F763F9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rPr>
                <w:rFonts w:hint="eastAsia"/>
                <w:color w:val="auto"/>
              </w:rPr>
            </w:pPr>
            <w:r>
              <w:rPr>
                <w:rFonts w:hint="default"/>
                <w:b/>
                <w:bCs/>
                <w:color w:val="auto"/>
              </w:rPr>
              <w:t>【泄漏应急处置】</w:t>
            </w:r>
          </w:p>
        </w:tc>
      </w:tr>
      <w:tr w14:paraId="75DEC2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458" w:type="dxa"/>
            <w:vMerge w:val="continue"/>
            <w:tcMar>
              <w:top w:w="57" w:type="dxa"/>
              <w:left w:w="28" w:type="dxa"/>
              <w:bottom w:w="57" w:type="dxa"/>
              <w:right w:w="28" w:type="dxa"/>
            </w:tcMar>
            <w:vAlign w:val="center"/>
          </w:tcPr>
          <w:p w14:paraId="45BFD39B">
            <w:pPr>
              <w:pStyle w:val="22"/>
              <w:keepNext w:val="0"/>
              <w:keepLines w:val="0"/>
              <w:widowControl/>
              <w:suppressLineNumbers w:val="0"/>
              <w:spacing w:before="0" w:beforeAutospacing="0" w:after="0" w:afterAutospacing="0"/>
              <w:ind w:left="0" w:right="0"/>
              <w:rPr>
                <w:rFonts w:hint="default"/>
                <w:b/>
                <w:bCs/>
                <w:color w:val="auto"/>
              </w:rPr>
            </w:pPr>
          </w:p>
        </w:tc>
        <w:tc>
          <w:tcPr>
            <w:tcW w:w="4978" w:type="dxa"/>
            <w:shd w:val="clear" w:color="auto" w:fill="auto"/>
            <w:tcMar>
              <w:top w:w="57" w:type="dxa"/>
              <w:left w:w="28" w:type="dxa"/>
              <w:bottom w:w="57" w:type="dxa"/>
              <w:right w:w="28" w:type="dxa"/>
            </w:tcMar>
            <w:vAlign w:val="center"/>
          </w:tcPr>
          <w:p w14:paraId="31FE51A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color w:val="auto"/>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w:t>
            </w:r>
          </w:p>
          <w:p w14:paraId="1475179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both"/>
              <w:textAlignment w:val="auto"/>
              <w:rPr>
                <w:rFonts w:hint="default" w:ascii="Times New Roman" w:hAnsi="Times New Roman" w:eastAsia="宋体" w:cs="Times New Roman"/>
                <w:color w:val="auto"/>
                <w:kern w:val="2"/>
                <w:sz w:val="21"/>
                <w:szCs w:val="24"/>
                <w:lang w:val="en-US" w:eastAsia="zh-CN" w:bidi="ar-SA"/>
              </w:rPr>
            </w:pPr>
            <w:r>
              <w:rPr>
                <w:rFonts w:hint="default"/>
                <w:color w:val="auto"/>
              </w:rPr>
              <w:t>作为一项紧急预防措施，泄漏隔离距离至少为</w:t>
            </w:r>
            <w:r>
              <w:rPr>
                <w:rFonts w:hint="default" w:ascii="Times New Roman" w:hAnsi="Times New Roman"/>
                <w:color w:val="auto"/>
              </w:rPr>
              <w:t>50m</w:t>
            </w:r>
            <w:r>
              <w:rPr>
                <w:rFonts w:hint="default"/>
                <w:color w:val="auto"/>
              </w:rPr>
              <w:t>。如果为大量泄漏，下风向的初始疏散距离应至少为</w:t>
            </w:r>
            <w:r>
              <w:rPr>
                <w:rFonts w:hint="default" w:ascii="Times New Roman" w:hAnsi="Times New Roman"/>
                <w:color w:val="auto"/>
              </w:rPr>
              <w:t>300m</w:t>
            </w:r>
            <w:r>
              <w:rPr>
                <w:rFonts w:hint="default"/>
                <w:color w:val="auto"/>
              </w:rPr>
              <w:t>。</w:t>
            </w:r>
          </w:p>
        </w:tc>
        <w:tc>
          <w:tcPr>
            <w:tcW w:w="3280" w:type="dxa"/>
            <w:shd w:val="clear" w:color="auto" w:fill="auto"/>
            <w:vAlign w:val="center"/>
          </w:tcPr>
          <w:p w14:paraId="3010D35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both"/>
              <w:textAlignment w:val="auto"/>
              <w:rPr>
                <w:rFonts w:hint="eastAsia" w:ascii="Times New Roman" w:hAnsi="Times New Roman" w:eastAsia="宋体" w:cs="Times New Roman"/>
                <w:color w:val="auto"/>
                <w:kern w:val="2"/>
                <w:sz w:val="21"/>
                <w:szCs w:val="24"/>
                <w:lang w:val="en-US" w:eastAsia="zh-CN" w:bidi="ar-SA"/>
              </w:rPr>
            </w:pPr>
            <w:r>
              <w:rPr>
                <w:rFonts w:hint="eastAsia"/>
                <w:color w:val="auto"/>
              </w:rPr>
              <w:t>该加油站</w:t>
            </w:r>
            <w:r>
              <w:rPr>
                <w:rFonts w:hint="default"/>
                <w:color w:val="auto"/>
              </w:rPr>
              <w:t>生产安全事故应急预案中包含了危险化学品泄漏应急处置措施。</w:t>
            </w:r>
          </w:p>
        </w:tc>
        <w:tc>
          <w:tcPr>
            <w:tcW w:w="709" w:type="dxa"/>
            <w:shd w:val="clear" w:color="auto" w:fill="auto"/>
            <w:vAlign w:val="center"/>
          </w:tcPr>
          <w:p w14:paraId="5D65E34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textAlignment w:val="auto"/>
              <w:rPr>
                <w:rFonts w:hint="eastAsia" w:ascii="Times New Roman" w:hAnsi="Times New Roman" w:eastAsia="宋体" w:cs="Times New Roman"/>
                <w:color w:val="auto"/>
                <w:kern w:val="2"/>
                <w:sz w:val="21"/>
                <w:szCs w:val="24"/>
                <w:lang w:val="en-US" w:eastAsia="zh-CN" w:bidi="ar-SA"/>
              </w:rPr>
            </w:pPr>
            <w:r>
              <w:rPr>
                <w:rFonts w:hint="eastAsia"/>
                <w:color w:val="auto"/>
              </w:rPr>
              <w:t>符合</w:t>
            </w:r>
          </w:p>
        </w:tc>
      </w:tr>
    </w:tbl>
    <w:p w14:paraId="0B4FF92E">
      <w:pPr>
        <w:pStyle w:val="5"/>
        <w:spacing w:line="360" w:lineRule="auto"/>
        <w:ind w:left="0" w:leftChars="0" w:firstLine="0" w:firstLineChars="0"/>
        <w:rPr>
          <w:rFonts w:hint="default" w:ascii="Times New Roman" w:hAnsi="Times New Roman" w:cs="Times New Roman"/>
          <w:color w:val="auto"/>
        </w:rPr>
      </w:pPr>
      <w:bookmarkStart w:id="647" w:name="_Toc18459"/>
      <w:r>
        <w:rPr>
          <w:rFonts w:hint="default" w:ascii="Times New Roman" w:hAnsi="Times New Roman" w:cs="Times New Roman"/>
          <w:color w:val="auto"/>
        </w:rPr>
        <w:t>F3.1.9淘汰落后安全技术工艺、设备辨识</w:t>
      </w:r>
      <w:bookmarkEnd w:id="647"/>
    </w:p>
    <w:p w14:paraId="5C89DC91">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根据《国家安全监管总局关于印发淘汰落后安全技术装备目录（2015 年第一批）的通知》（安监总科技〔2015〕75号）、《国家安全监管总局关于印发淘汰落后安全技术工艺、设备目录（2016年第一批）的通知》（安监总科技〔2016〕137号）、《淘汰落后危险化学品安全生产工艺技术设备目录（第一批）的通知》（应急厅〔2020〕38号）、《淘汰落后危险化学品安全生产工艺技术设备目录（第二批）的通知》（应急厅〔2024〕86号），该加油站采用的安全技术设备未列入淘汰落后安全技术装备目录。</w:t>
      </w:r>
    </w:p>
    <w:p w14:paraId="6E1C7B74">
      <w:pPr>
        <w:pStyle w:val="5"/>
        <w:spacing w:line="360" w:lineRule="auto"/>
        <w:ind w:left="0" w:leftChars="0" w:firstLine="0" w:firstLineChars="0"/>
        <w:rPr>
          <w:rFonts w:hint="default" w:ascii="Times New Roman" w:hAnsi="Times New Roman" w:cs="Times New Roman"/>
          <w:color w:val="auto"/>
        </w:rPr>
      </w:pPr>
      <w:bookmarkStart w:id="648" w:name="_Toc25872"/>
      <w:r>
        <w:rPr>
          <w:rFonts w:hint="default" w:ascii="Times New Roman" w:hAnsi="Times New Roman" w:cs="Times New Roman"/>
          <w:color w:val="auto"/>
        </w:rPr>
        <w:t>F3.1.1</w:t>
      </w:r>
      <w:r>
        <w:rPr>
          <w:rFonts w:hint="default" w:ascii="Times New Roman" w:hAnsi="Times New Roman" w:cs="Times New Roman"/>
          <w:color w:val="auto"/>
          <w:lang w:val="en-US" w:eastAsia="zh-CN"/>
        </w:rPr>
        <w:t>0</w:t>
      </w:r>
      <w:r>
        <w:rPr>
          <w:rFonts w:hint="default" w:ascii="Times New Roman" w:hAnsi="Times New Roman" w:cs="Times New Roman"/>
          <w:color w:val="auto"/>
        </w:rPr>
        <w:t>有限空间辨识</w:t>
      </w:r>
      <w:bookmarkEnd w:id="648"/>
    </w:p>
    <w:p w14:paraId="2E31F3C3">
      <w:pPr>
        <w:pStyle w:val="134"/>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根据《应急管理部办公厅关于印发&lt;有限空间作业安全指导手册&gt;和4个专题系列折页的通知》（应急厅函〔2020〕299号）进行辨识，该加油站埋地油罐内部、人孔操作井、</w:t>
      </w:r>
      <w:r>
        <w:rPr>
          <w:rFonts w:hint="eastAsia" w:ascii="Times New Roman" w:hAnsi="Times New Roman" w:cs="Times New Roman"/>
          <w:color w:val="auto"/>
          <w:lang w:val="en-US" w:eastAsia="zh-CN"/>
        </w:rPr>
        <w:t>油水池</w:t>
      </w:r>
      <w:r>
        <w:rPr>
          <w:rFonts w:hint="default" w:ascii="Times New Roman" w:hAnsi="Times New Roman" w:cs="Times New Roman"/>
          <w:color w:val="auto"/>
        </w:rPr>
        <w:t>等，属于有限空间。</w:t>
      </w:r>
    </w:p>
    <w:p w14:paraId="4AD069DF">
      <w:pPr>
        <w:pStyle w:val="4"/>
        <w:spacing w:line="360" w:lineRule="auto"/>
        <w:jc w:val="both"/>
        <w:rPr>
          <w:rFonts w:hint="default" w:ascii="Times New Roman" w:hAnsi="Times New Roman" w:cs="Times New Roman"/>
          <w:color w:val="auto"/>
        </w:rPr>
      </w:pPr>
      <w:bookmarkStart w:id="649" w:name="_Toc22857"/>
      <w:bookmarkStart w:id="650" w:name="_Toc14262"/>
      <w:bookmarkStart w:id="651" w:name="_Toc9980"/>
      <w:r>
        <w:rPr>
          <w:rFonts w:hint="default" w:ascii="Times New Roman" w:hAnsi="Times New Roman" w:cs="Times New Roman"/>
          <w:color w:val="auto"/>
        </w:rPr>
        <w:t>F3.2</w:t>
      </w:r>
      <w:r>
        <w:rPr>
          <w:rFonts w:hint="default" w:ascii="Times New Roman" w:hAnsi="Times New Roman" w:cs="Times New Roman"/>
          <w:color w:val="auto"/>
          <w:lang w:val="en-US" w:eastAsia="zh-CN"/>
        </w:rPr>
        <w:t>生产</w:t>
      </w:r>
      <w:r>
        <w:rPr>
          <w:rFonts w:hint="default" w:ascii="Times New Roman" w:hAnsi="Times New Roman" w:cs="Times New Roman"/>
          <w:color w:val="auto"/>
        </w:rPr>
        <w:t>经营储存过程危险有害因素的辨识与分析</w:t>
      </w:r>
      <w:bookmarkEnd w:id="649"/>
      <w:bookmarkEnd w:id="650"/>
      <w:bookmarkEnd w:id="651"/>
    </w:p>
    <w:p w14:paraId="7ABA3538">
      <w:pPr>
        <w:pStyle w:val="5"/>
        <w:spacing w:line="360" w:lineRule="auto"/>
        <w:ind w:left="0" w:leftChars="0" w:firstLine="0" w:firstLineChars="0"/>
        <w:jc w:val="both"/>
        <w:rPr>
          <w:rFonts w:hint="default" w:ascii="Times New Roman" w:hAnsi="Times New Roman" w:cs="Times New Roman"/>
          <w:color w:val="auto"/>
        </w:rPr>
      </w:pPr>
      <w:bookmarkStart w:id="652" w:name="_Toc16197"/>
      <w:r>
        <w:rPr>
          <w:rFonts w:hint="default" w:ascii="Times New Roman" w:hAnsi="Times New Roman" w:cs="Times New Roman"/>
          <w:color w:val="auto"/>
        </w:rPr>
        <w:t>F3.2.1危险有害因素辨识</w:t>
      </w:r>
      <w:bookmarkEnd w:id="652"/>
    </w:p>
    <w:p w14:paraId="37F86879">
      <w:pPr>
        <w:spacing w:line="360" w:lineRule="auto"/>
        <w:ind w:firstLine="560"/>
        <w:rPr>
          <w:rFonts w:hint="default" w:ascii="Times New Roman" w:hAnsi="Times New Roman" w:cs="Times New Roman"/>
          <w:color w:val="auto"/>
          <w:lang w:val="en-US"/>
        </w:rPr>
      </w:pPr>
      <w:r>
        <w:rPr>
          <w:rFonts w:hint="default" w:ascii="Times New Roman" w:hAnsi="Times New Roman" w:cs="Times New Roman"/>
          <w:color w:val="auto"/>
        </w:rPr>
        <w:t>该加油站经营、储存的成品油为：汽油为易燃液体。汽油的燃爆危险特性为：极度易燃。汽油火灾危险</w:t>
      </w:r>
      <w:r>
        <w:rPr>
          <w:rFonts w:hint="default" w:ascii="Times New Roman" w:hAnsi="Times New Roman" w:cs="Times New Roman"/>
          <w:color w:val="auto"/>
          <w:lang w:val="en-US" w:eastAsia="zh-CN"/>
        </w:rPr>
        <w:t>类别为</w:t>
      </w:r>
      <w:r>
        <w:rPr>
          <w:rFonts w:hint="eastAsia" w:ascii="Times New Roman" w:hAnsi="Times New Roman" w:cs="Times New Roman"/>
          <w:color w:val="auto"/>
          <w:lang w:val="en-US" w:eastAsia="zh-CN"/>
        </w:rPr>
        <w:t>甲类。</w:t>
      </w:r>
    </w:p>
    <w:p w14:paraId="2379D593">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依据《企业职工伤亡事故分类》</w:t>
      </w:r>
      <w:r>
        <w:rPr>
          <w:rFonts w:hint="default" w:ascii="Times New Roman" w:hAnsi="Times New Roman" w:cs="Times New Roman"/>
          <w:color w:val="auto"/>
          <w:lang w:eastAsia="zh-CN"/>
        </w:rPr>
        <w:t>GB/T 6441-1986</w:t>
      </w:r>
      <w:r>
        <w:rPr>
          <w:rFonts w:hint="default" w:ascii="Times New Roman" w:hAnsi="Times New Roman" w:cs="Times New Roman"/>
          <w:color w:val="auto"/>
        </w:rPr>
        <w:t>，按同类型加油站的设施设备，现场操作等方面进行类比，加油站经营过程中可能存在的危险、有害因素有：1）火灾、爆炸；2）中毒和窒息；3）车辆伤害；4）触电；5）高处坠落；6）物体打击；7）有限空间；8）其它伤害。</w:t>
      </w:r>
    </w:p>
    <w:p w14:paraId="3E2BC140">
      <w:pPr>
        <w:pStyle w:val="5"/>
        <w:spacing w:line="360" w:lineRule="auto"/>
        <w:ind w:left="0" w:leftChars="0" w:firstLine="0" w:firstLineChars="0"/>
        <w:jc w:val="both"/>
        <w:rPr>
          <w:rFonts w:hint="default" w:ascii="Times New Roman" w:hAnsi="Times New Roman" w:cs="Times New Roman"/>
          <w:color w:val="auto"/>
        </w:rPr>
      </w:pPr>
      <w:bookmarkStart w:id="653" w:name="_Toc6539"/>
      <w:r>
        <w:rPr>
          <w:rFonts w:hint="default" w:ascii="Times New Roman" w:hAnsi="Times New Roman" w:cs="Times New Roman"/>
          <w:color w:val="auto"/>
        </w:rPr>
        <w:t>F3.2.2危险有害因素分析</w:t>
      </w:r>
      <w:bookmarkEnd w:id="653"/>
    </w:p>
    <w:p w14:paraId="624E8D60">
      <w:pPr>
        <w:spacing w:line="360" w:lineRule="auto"/>
        <w:ind w:left="0" w:leftChars="0" w:firstLine="0" w:firstLineChars="0"/>
        <w:rPr>
          <w:rFonts w:hint="default" w:ascii="Times New Roman" w:hAnsi="Times New Roman" w:cs="Times New Roman"/>
          <w:b/>
          <w:bCs/>
          <w:color w:val="auto"/>
        </w:rPr>
      </w:pPr>
      <w:r>
        <w:rPr>
          <w:rFonts w:hint="default" w:ascii="Times New Roman" w:hAnsi="Times New Roman" w:cs="Times New Roman"/>
          <w:b/>
          <w:bCs/>
          <w:color w:val="auto"/>
        </w:rPr>
        <w:t>F3.2.2.1火灾、爆炸危险性分析</w:t>
      </w:r>
    </w:p>
    <w:p w14:paraId="61173D8A">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（1）项目涉及的汽油蒸气与空气形成爆炸性混合物，遇明火、高热极易燃烧爆炸。与氧化剂能发生强烈反应。其蒸气比空气重，能在较低处扩散到相当远的地方，遇明火会引着回燃，引发火灾、爆炸事故。</w:t>
      </w:r>
    </w:p>
    <w:p w14:paraId="4AB487AC">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2</w:t>
      </w:r>
      <w:r>
        <w:rPr>
          <w:rFonts w:hint="default" w:ascii="Times New Roman" w:hAnsi="Times New Roman" w:cs="Times New Roman"/>
          <w:color w:val="auto"/>
          <w:kern w:val="28"/>
          <w:szCs w:val="28"/>
        </w:rPr>
        <w:t>）汽油在装卸、输送过程中流速过快，或者贮罐、管道等无导静电措施，可能产生静电积聚，由静电火花而引起火灾、爆炸事故。</w:t>
      </w:r>
    </w:p>
    <w:p w14:paraId="7B6B511B">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3</w:t>
      </w:r>
      <w:r>
        <w:rPr>
          <w:rFonts w:hint="default" w:ascii="Times New Roman" w:hAnsi="Times New Roman" w:cs="Times New Roman"/>
          <w:color w:val="auto"/>
          <w:kern w:val="28"/>
          <w:szCs w:val="28"/>
        </w:rPr>
        <w:t>）汽油贮罐无高液位控制措施，卸油时造成满溢泄漏，遇火源，可引发发生火灾、爆炸事故。</w:t>
      </w:r>
    </w:p>
    <w:p w14:paraId="5993E015">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4</w:t>
      </w:r>
      <w:r>
        <w:rPr>
          <w:rFonts w:hint="default" w:ascii="Times New Roman" w:hAnsi="Times New Roman" w:cs="Times New Roman"/>
          <w:color w:val="auto"/>
          <w:kern w:val="28"/>
          <w:szCs w:val="28"/>
        </w:rPr>
        <w:t>）汽油贮罐设置为地下式贮罐，埋地贮罐未设置相应的防腐措施，或焊接质量不合格，长年使用，发生罐体腐蚀引发油品泄漏，若遇点火源，可引发火灾、爆炸事故。</w:t>
      </w:r>
    </w:p>
    <w:p w14:paraId="3DF72800">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5</w:t>
      </w:r>
      <w:r>
        <w:rPr>
          <w:rFonts w:hint="default" w:ascii="Times New Roman" w:hAnsi="Times New Roman" w:cs="Times New Roman"/>
          <w:color w:val="auto"/>
          <w:kern w:val="28"/>
          <w:szCs w:val="28"/>
        </w:rPr>
        <w:t>）地下输油管道未设置相应的防腐措施，或焊接质量不合格，使用时间过长易造成管道腐蚀穿孔，导致油品泄漏，若遇点火源，可引发火灾、爆炸事故。</w:t>
      </w:r>
    </w:p>
    <w:p w14:paraId="01169354">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6</w:t>
      </w:r>
      <w:r>
        <w:rPr>
          <w:rFonts w:hint="default" w:ascii="Times New Roman" w:hAnsi="Times New Roman" w:cs="Times New Roman"/>
          <w:color w:val="auto"/>
          <w:kern w:val="28"/>
          <w:szCs w:val="28"/>
        </w:rPr>
        <w:t>）地下输油管线的地沟未用沙填实，油气积聚达到爆炸极限浓度，可引发火灾、爆炸事故。</w:t>
      </w:r>
    </w:p>
    <w:p w14:paraId="7E871B40">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7</w:t>
      </w:r>
      <w:r>
        <w:rPr>
          <w:rFonts w:hint="default" w:ascii="Times New Roman" w:hAnsi="Times New Roman" w:cs="Times New Roman"/>
          <w:color w:val="auto"/>
          <w:kern w:val="28"/>
          <w:szCs w:val="28"/>
        </w:rPr>
        <w:t>）油罐通气管、呼吸阀维护不当等原因，不能正常关闭，易导致油品大量挥发，当浓度到达爆炸极限，若遇点火源，可引发火灾、爆炸事故。</w:t>
      </w:r>
    </w:p>
    <w:p w14:paraId="596115E4">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8</w:t>
      </w:r>
      <w:r>
        <w:rPr>
          <w:rFonts w:hint="default" w:ascii="Times New Roman" w:hAnsi="Times New Roman" w:cs="Times New Roman"/>
          <w:color w:val="auto"/>
          <w:kern w:val="28"/>
          <w:szCs w:val="28"/>
        </w:rPr>
        <w:t>）卸完油如果立即启动油罐车，油罐车周围的油气未消散，可能会引起油气燃烧、爆炸。</w:t>
      </w:r>
    </w:p>
    <w:p w14:paraId="488B8F4A">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w:t>
      </w:r>
      <w:r>
        <w:rPr>
          <w:rFonts w:hint="eastAsia" w:cs="Times New Roman"/>
          <w:color w:val="auto"/>
          <w:kern w:val="28"/>
          <w:szCs w:val="28"/>
          <w:lang w:val="en-US" w:eastAsia="zh-CN"/>
        </w:rPr>
        <w:t>9</w:t>
      </w:r>
      <w:r>
        <w:rPr>
          <w:rFonts w:hint="default" w:ascii="Times New Roman" w:hAnsi="Times New Roman" w:cs="Times New Roman"/>
          <w:color w:val="auto"/>
          <w:kern w:val="28"/>
          <w:szCs w:val="28"/>
        </w:rPr>
        <w:t>）在加油过程中，进站加油车辆未熄火</w:t>
      </w:r>
      <w:r>
        <w:rPr>
          <w:rFonts w:hint="eastAsia" w:cs="Times New Roman"/>
          <w:color w:val="auto"/>
          <w:kern w:val="28"/>
          <w:szCs w:val="28"/>
          <w:lang w:eastAsia="zh-CN"/>
        </w:rPr>
        <w:t>，</w:t>
      </w:r>
      <w:r>
        <w:rPr>
          <w:rFonts w:hint="default" w:ascii="Times New Roman" w:hAnsi="Times New Roman" w:cs="Times New Roman"/>
          <w:color w:val="auto"/>
          <w:kern w:val="28"/>
          <w:szCs w:val="28"/>
        </w:rPr>
        <w:t>或者有人员在加油作业区违章用火，可能使挥发的油气与火源接触后闪燃，引发火灾事故。</w:t>
      </w:r>
    </w:p>
    <w:p w14:paraId="1C0CDF4A">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0</w:t>
      </w:r>
      <w:r>
        <w:rPr>
          <w:rFonts w:hint="default" w:ascii="Times New Roman" w:hAnsi="Times New Roman" w:cs="Times New Roman"/>
          <w:color w:val="auto"/>
          <w:kern w:val="28"/>
          <w:szCs w:val="28"/>
        </w:rPr>
        <w:t>）加油员若违反规程向塑料容器加注油品，易造成静电积聚放电，会引起油品或油气燃烧，发生火灾。</w:t>
      </w:r>
    </w:p>
    <w:p w14:paraId="2C64642B">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1</w:t>
      </w:r>
      <w:r>
        <w:rPr>
          <w:rFonts w:hint="default" w:ascii="Times New Roman" w:hAnsi="Times New Roman" w:cs="Times New Roman"/>
          <w:color w:val="auto"/>
          <w:kern w:val="28"/>
          <w:szCs w:val="28"/>
        </w:rPr>
        <w:t>）加油过程，洒在地上的汽油不及时处理或处理不当，会引起地面汽油燃烧，发生火灾危险。</w:t>
      </w:r>
    </w:p>
    <w:p w14:paraId="742620BC">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2</w:t>
      </w:r>
      <w:r>
        <w:rPr>
          <w:rFonts w:hint="default" w:ascii="Times New Roman" w:hAnsi="Times New Roman" w:cs="Times New Roman"/>
          <w:color w:val="auto"/>
          <w:kern w:val="28"/>
          <w:szCs w:val="28"/>
        </w:rPr>
        <w:t>）站区内建构筑物未设置防雷设施、防雷设施失效，可能因雷电造成火灾、爆炸事故。</w:t>
      </w:r>
    </w:p>
    <w:p w14:paraId="1DEC97AE">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3</w:t>
      </w:r>
      <w:r>
        <w:rPr>
          <w:rFonts w:hint="default" w:ascii="Times New Roman" w:hAnsi="Times New Roman" w:cs="Times New Roman"/>
          <w:color w:val="auto"/>
          <w:kern w:val="28"/>
          <w:szCs w:val="28"/>
        </w:rPr>
        <w:t>）项目设有一定量的电力电缆，这些电缆分别连接着各个电气设备。电缆自身故障产生的电弧、附近发生着火、短路或超负荷等可引起电力电缆火灾。线路因绝缘下降导致短路，存在着火灾、爆炸的危险。</w:t>
      </w:r>
    </w:p>
    <w:p w14:paraId="5ECDAE3F">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4</w:t>
      </w:r>
      <w:r>
        <w:rPr>
          <w:rFonts w:hint="default" w:ascii="Times New Roman" w:hAnsi="Times New Roman" w:cs="Times New Roman"/>
          <w:color w:val="auto"/>
          <w:kern w:val="28"/>
          <w:szCs w:val="28"/>
        </w:rPr>
        <w:t>）加油区、油罐区等爆炸危险区域的电气设备若未按防爆要求设置，易产生电火花，引起火灾、爆炸事故。</w:t>
      </w:r>
    </w:p>
    <w:p w14:paraId="10DD9DA1">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5</w:t>
      </w:r>
      <w:r>
        <w:rPr>
          <w:rFonts w:hint="default" w:ascii="Times New Roman" w:hAnsi="Times New Roman" w:cs="Times New Roman"/>
          <w:color w:val="auto"/>
          <w:kern w:val="28"/>
          <w:szCs w:val="28"/>
        </w:rPr>
        <w:t>）加油区、油罐区、站房等建构筑物、设备、管道未设置静电接地或静电接地设施失效，可能导致火灾、爆炸事故。</w:t>
      </w:r>
    </w:p>
    <w:p w14:paraId="1CB52ECE">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6</w:t>
      </w:r>
      <w:r>
        <w:rPr>
          <w:rFonts w:hint="default" w:ascii="Times New Roman" w:hAnsi="Times New Roman" w:cs="Times New Roman"/>
          <w:color w:val="auto"/>
          <w:kern w:val="28"/>
          <w:szCs w:val="28"/>
        </w:rPr>
        <w:t>）在对油罐区、加油区等爆炸危险区域的汽油贮罐、输油管线、加油机等进行检修时，如设备、管道未置换或未完全置换，导致空气进入与汽油蒸气爆炸性混合物，遇明火、高热能等，可引起火灾、爆炸事故。</w:t>
      </w:r>
    </w:p>
    <w:p w14:paraId="6E396EF1">
      <w:pPr>
        <w:widowControl w:val="0"/>
        <w:suppressAutoHyphens/>
        <w:adjustRightInd w:val="0"/>
        <w:snapToGrid w:val="0"/>
        <w:spacing w:line="360" w:lineRule="auto"/>
        <w:ind w:firstLine="560"/>
        <w:textAlignment w:val="center"/>
        <w:rPr>
          <w:rFonts w:hint="default" w:ascii="Times New Roman" w:hAnsi="Times New Roman" w:cs="Times New Roman"/>
          <w:color w:val="auto"/>
          <w:kern w:val="28"/>
          <w:szCs w:val="28"/>
        </w:rPr>
      </w:pPr>
      <w:r>
        <w:rPr>
          <w:rFonts w:hint="default" w:ascii="Times New Roman" w:hAnsi="Times New Roman" w:cs="Times New Roman"/>
          <w:color w:val="auto"/>
          <w:kern w:val="28"/>
          <w:szCs w:val="28"/>
        </w:rPr>
        <w:t>（1</w:t>
      </w:r>
      <w:r>
        <w:rPr>
          <w:rFonts w:hint="eastAsia" w:cs="Times New Roman"/>
          <w:color w:val="auto"/>
          <w:kern w:val="28"/>
          <w:szCs w:val="28"/>
          <w:lang w:val="en-US" w:eastAsia="zh-CN"/>
        </w:rPr>
        <w:t>7</w:t>
      </w:r>
      <w:r>
        <w:rPr>
          <w:rFonts w:hint="default" w:ascii="Times New Roman" w:hAnsi="Times New Roman" w:cs="Times New Roman"/>
          <w:color w:val="auto"/>
          <w:kern w:val="28"/>
          <w:szCs w:val="28"/>
        </w:rPr>
        <w:t>）卸油车卸油时未做好静电接地，可能引起火灾爆炸事故。</w:t>
      </w:r>
    </w:p>
    <w:p w14:paraId="4B1BB728">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（1</w:t>
      </w:r>
      <w:r>
        <w:rPr>
          <w:rFonts w:hint="eastAsia" w:cs="Times New Roman"/>
          <w:color w:val="auto"/>
          <w:szCs w:val="28"/>
          <w:lang w:val="en-US" w:eastAsia="zh-CN"/>
        </w:rPr>
        <w:t>8</w:t>
      </w:r>
      <w:r>
        <w:rPr>
          <w:rFonts w:hint="default" w:ascii="Times New Roman" w:hAnsi="Times New Roman" w:cs="Times New Roman"/>
          <w:color w:val="auto"/>
          <w:szCs w:val="28"/>
        </w:rPr>
        <w:t>）进油管伸至罐内距罐底深度不够，可能在罐内产生油品喷溅，引发静电火灾事故。</w:t>
      </w:r>
    </w:p>
    <w:p w14:paraId="004E63AC">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eastAsia" w:cs="Times New Roman"/>
          <w:color w:val="auto"/>
          <w:szCs w:val="28"/>
          <w:lang w:val="en-US" w:eastAsia="zh-CN"/>
        </w:rPr>
        <w:t>19</w:t>
      </w:r>
      <w:r>
        <w:rPr>
          <w:rFonts w:hint="default" w:ascii="Times New Roman" w:hAnsi="Times New Roman" w:cs="Times New Roman"/>
          <w:color w:val="auto"/>
          <w:szCs w:val="28"/>
        </w:rPr>
        <w:t>）汽车加油作业时，加油枪未拔开车，导致加油机倒下砸到作业人员、起火后发生火灾爆炸等危险。</w:t>
      </w:r>
    </w:p>
    <w:p w14:paraId="5F37C4E6">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（2</w:t>
      </w:r>
      <w:r>
        <w:rPr>
          <w:rFonts w:hint="eastAsia" w:cs="Times New Roman"/>
          <w:color w:val="auto"/>
          <w:szCs w:val="28"/>
          <w:lang w:val="en-US" w:eastAsia="zh-CN"/>
        </w:rPr>
        <w:t>0</w:t>
      </w:r>
      <w:r>
        <w:rPr>
          <w:rFonts w:hint="default" w:ascii="Times New Roman" w:hAnsi="Times New Roman" w:cs="Times New Roman"/>
          <w:color w:val="auto"/>
          <w:szCs w:val="28"/>
        </w:rPr>
        <w:t>）在给汽车加油过程中或者汽车碰撞加油机导致的油品泄漏，若遇到明火，则极有可能产生爆炸。</w:t>
      </w:r>
    </w:p>
    <w:p w14:paraId="4B9D984A">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（2</w:t>
      </w:r>
      <w:r>
        <w:rPr>
          <w:rFonts w:hint="eastAsia" w:cs="Times New Roman"/>
          <w:color w:val="auto"/>
          <w:szCs w:val="28"/>
          <w:lang w:val="en-US" w:eastAsia="zh-CN"/>
        </w:rPr>
        <w:t>1</w:t>
      </w:r>
      <w:r>
        <w:rPr>
          <w:rFonts w:hint="default" w:ascii="Times New Roman" w:hAnsi="Times New Roman" w:cs="Times New Roman"/>
          <w:color w:val="auto"/>
          <w:szCs w:val="28"/>
        </w:rPr>
        <w:t>）外来车辆故障，导致车辆自燃，导致与加油作业逸出的油蒸气产生火灾爆炸。</w:t>
      </w:r>
    </w:p>
    <w:p w14:paraId="1515AB9E">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（2</w:t>
      </w:r>
      <w:r>
        <w:rPr>
          <w:rFonts w:hint="eastAsia" w:cs="Times New Roman"/>
          <w:color w:val="auto"/>
          <w:szCs w:val="28"/>
          <w:lang w:val="en-US" w:eastAsia="zh-CN"/>
        </w:rPr>
        <w:t>2</w:t>
      </w:r>
      <w:r>
        <w:rPr>
          <w:rFonts w:hint="default" w:ascii="Times New Roman" w:hAnsi="Times New Roman" w:cs="Times New Roman"/>
          <w:color w:val="auto"/>
          <w:szCs w:val="28"/>
        </w:rPr>
        <w:t>）检修油储罐、加油机、工艺管线时，没有使用防爆型照明设备，或在检修时由于铁器之间碰撞、摩擦产生火花，都有可能引发火灾爆炸事故。</w:t>
      </w:r>
    </w:p>
    <w:p w14:paraId="4CE2B57B">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（2</w:t>
      </w:r>
      <w:r>
        <w:rPr>
          <w:rFonts w:hint="eastAsia" w:cs="Times New Roman"/>
          <w:color w:val="auto"/>
          <w:szCs w:val="28"/>
          <w:lang w:val="en-US" w:eastAsia="zh-CN"/>
        </w:rPr>
        <w:t>3</w:t>
      </w:r>
      <w:r>
        <w:rPr>
          <w:rFonts w:hint="default" w:ascii="Times New Roman" w:hAnsi="Times New Roman" w:cs="Times New Roman"/>
          <w:color w:val="auto"/>
          <w:szCs w:val="28"/>
        </w:rPr>
        <w:t>）汽油通常是C</w:t>
      </w:r>
      <w:r>
        <w:rPr>
          <w:rFonts w:hint="default" w:ascii="Times New Roman" w:hAnsi="Times New Roman" w:cs="Times New Roman"/>
          <w:color w:val="auto"/>
          <w:szCs w:val="28"/>
          <w:vertAlign w:val="subscript"/>
        </w:rPr>
        <w:t>4</w:t>
      </w:r>
      <w:r>
        <w:rPr>
          <w:rFonts w:hint="default" w:ascii="Times New Roman" w:hAnsi="Times New Roman" w:cs="Times New Roman"/>
          <w:color w:val="auto"/>
          <w:szCs w:val="28"/>
        </w:rPr>
        <w:t>以上烷烃、烯烃、环烷烃、芳香烃等。有机物的相对分子量越小，</w:t>
      </w:r>
      <w:r>
        <w:rPr>
          <w:rFonts w:hint="eastAsia" w:cs="Times New Roman"/>
          <w:color w:val="auto"/>
          <w:szCs w:val="28"/>
          <w:lang w:eastAsia="zh-CN"/>
        </w:rPr>
        <w:t>沸点</w:t>
      </w:r>
      <w:r>
        <w:rPr>
          <w:rFonts w:hint="default" w:ascii="Times New Roman" w:hAnsi="Times New Roman" w:cs="Times New Roman"/>
          <w:color w:val="auto"/>
          <w:szCs w:val="28"/>
        </w:rPr>
        <w:t>就越低，越容易挥发。这些介质的共性有毒有害、易挥发、易扩散。清洗油罐时，未按清罐安全要求进行，储罐内介质气体未完全置换或清理不净，人员进罐动火检修，都有可能引发火灾爆炸事故。</w:t>
      </w:r>
    </w:p>
    <w:p w14:paraId="6DBCD0F8">
      <w:pPr>
        <w:widowControl w:val="0"/>
        <w:spacing w:line="360" w:lineRule="auto"/>
        <w:ind w:firstLine="560"/>
        <w:rPr>
          <w:rFonts w:hint="default" w:ascii="Times New Roman" w:hAnsi="Times New Roman" w:cs="Times New Roman"/>
          <w:color w:val="auto"/>
          <w:szCs w:val="28"/>
        </w:rPr>
      </w:pPr>
      <w:r>
        <w:rPr>
          <w:rFonts w:hint="default" w:ascii="Times New Roman" w:hAnsi="Times New Roman" w:cs="Times New Roman"/>
          <w:color w:val="auto"/>
          <w:szCs w:val="28"/>
        </w:rPr>
        <w:t>（</w:t>
      </w:r>
      <w:r>
        <w:rPr>
          <w:rFonts w:hint="default" w:ascii="Times New Roman" w:hAnsi="Times New Roman" w:cs="Times New Roman"/>
          <w:color w:val="auto"/>
          <w:szCs w:val="28"/>
          <w:lang w:val="en-US" w:eastAsia="zh-CN"/>
        </w:rPr>
        <w:t>2</w:t>
      </w:r>
      <w:r>
        <w:rPr>
          <w:rFonts w:hint="eastAsia" w:cs="Times New Roman"/>
          <w:color w:val="auto"/>
          <w:szCs w:val="28"/>
          <w:lang w:val="en-US" w:eastAsia="zh-CN"/>
        </w:rPr>
        <w:t>4</w:t>
      </w:r>
      <w:r>
        <w:rPr>
          <w:rFonts w:hint="default" w:ascii="Times New Roman" w:hAnsi="Times New Roman" w:cs="Times New Roman"/>
          <w:color w:val="auto"/>
          <w:szCs w:val="28"/>
        </w:rPr>
        <w:t>）雷雨天气时，雷电放电过程产生强大的电流，形成丰富的电磁辐射和强光辐射，下雨时对流云内对流运动和水滴的不断碰撞分裂，使积雨云通过起电机制积累大量空间电荷，在云内形成不同部位的正、负电荷中心，造成极高的场强，当云与云、云与地间的电位差增大到一定数值就可产生火花放电。雷电危害方式有：产生的高电压、大电流产生的电效应、热效应和机械力造成许多危害。</w:t>
      </w:r>
    </w:p>
    <w:p w14:paraId="7F689E17">
      <w:pPr>
        <w:spacing w:line="360" w:lineRule="auto"/>
        <w:ind w:left="0" w:leftChars="0" w:firstLine="0" w:firstLineChars="0"/>
        <w:rPr>
          <w:rFonts w:hint="default" w:ascii="Times New Roman" w:hAnsi="Times New Roman" w:cs="Times New Roman"/>
          <w:b/>
          <w:bCs/>
          <w:color w:val="auto"/>
        </w:rPr>
      </w:pPr>
      <w:r>
        <w:rPr>
          <w:rFonts w:hint="default" w:ascii="Times New Roman" w:hAnsi="Times New Roman" w:cs="Times New Roman"/>
          <w:b/>
          <w:bCs/>
          <w:color w:val="auto"/>
        </w:rPr>
        <w:t>F3.2.2.2中毒和窒息危险性分析</w:t>
      </w:r>
    </w:p>
    <w:p w14:paraId="171DF5F4">
      <w:pPr>
        <w:widowControl w:val="0"/>
        <w:spacing w:line="360" w:lineRule="auto"/>
        <w:ind w:firstLine="560"/>
        <w:rPr>
          <w:rFonts w:hint="default" w:ascii="Times New Roman" w:hAnsi="Times New Roman" w:cs="Times New Roman"/>
          <w:color w:val="auto"/>
          <w:szCs w:val="20"/>
        </w:rPr>
      </w:pPr>
      <w:r>
        <w:rPr>
          <w:rFonts w:hint="default" w:ascii="Times New Roman" w:hAnsi="Times New Roman" w:cs="Times New Roman"/>
          <w:color w:val="auto"/>
          <w:szCs w:val="20"/>
        </w:rPr>
        <w:t>汽油、对人体有一定的危害性，人体接触或吸入可引发中毒事故，具体危害如下。</w:t>
      </w:r>
    </w:p>
    <w:p w14:paraId="7903572A">
      <w:pPr>
        <w:widowControl w:val="0"/>
        <w:spacing w:line="360" w:lineRule="auto"/>
        <w:ind w:firstLine="560"/>
        <w:rPr>
          <w:color w:val="auto"/>
          <w:szCs w:val="20"/>
        </w:rPr>
      </w:pPr>
      <w:r>
        <w:rPr>
          <w:color w:val="auto"/>
          <w:szCs w:val="20"/>
        </w:rPr>
        <w:t>（</w:t>
      </w:r>
      <w:r>
        <w:rPr>
          <w:rFonts w:ascii="Times New Roman" w:hAnsi="Times New Roman"/>
          <w:color w:val="auto"/>
          <w:szCs w:val="20"/>
        </w:rPr>
        <w:t>1</w:t>
      </w:r>
      <w:r>
        <w:rPr>
          <w:color w:val="auto"/>
          <w:szCs w:val="20"/>
        </w:rPr>
        <w:t>）汽油是一种有机溶剂，对神经系统具有较高的亲和力和毒害作用，人体经呼吸道长期吸入一定浓度的汽油后，可引起慢性中毒。</w:t>
      </w:r>
    </w:p>
    <w:p w14:paraId="29389D55">
      <w:pPr>
        <w:widowControl w:val="0"/>
        <w:spacing w:line="360" w:lineRule="auto"/>
        <w:ind w:firstLine="560"/>
        <w:rPr>
          <w:color w:val="auto"/>
          <w:szCs w:val="20"/>
        </w:rPr>
      </w:pPr>
      <w:r>
        <w:rPr>
          <w:color w:val="auto"/>
          <w:szCs w:val="20"/>
        </w:rPr>
        <w:t>（</w:t>
      </w:r>
      <w:r>
        <w:rPr>
          <w:rFonts w:ascii="Times New Roman" w:hAnsi="Times New Roman"/>
          <w:color w:val="auto"/>
          <w:szCs w:val="20"/>
        </w:rPr>
        <w:t>2</w:t>
      </w:r>
      <w:r>
        <w:rPr>
          <w:color w:val="auto"/>
          <w:szCs w:val="20"/>
        </w:rPr>
        <w:t>）汽油急性中毒对中枢神经系统有麻醉作用，出现意识丧失，反射性呼吸停止；中毒性脑病、化学性肺炎等；慢性中毒则出现神经衰弱、</w:t>
      </w:r>
      <w:r>
        <w:rPr>
          <w:rFonts w:hint="eastAsia"/>
          <w:color w:val="auto"/>
          <w:szCs w:val="20"/>
          <w:lang w:eastAsia="zh-CN"/>
        </w:rPr>
        <w:t>自主神经</w:t>
      </w:r>
      <w:r>
        <w:rPr>
          <w:color w:val="auto"/>
          <w:szCs w:val="20"/>
        </w:rPr>
        <w:t>功能紊乱等。溅入眼内可致角膜损害，甚至失明。皮肤接触致接触性皮炎或灼伤。吞咽引起急性胃肠炎，重者出现类似急性吸入中毒症状，并可引起肝、肾损害。</w:t>
      </w:r>
    </w:p>
    <w:p w14:paraId="5567420E">
      <w:pPr>
        <w:widowControl w:val="0"/>
        <w:spacing w:line="360" w:lineRule="auto"/>
        <w:ind w:firstLine="560"/>
        <w:rPr>
          <w:color w:val="auto"/>
          <w:szCs w:val="20"/>
        </w:rPr>
      </w:pPr>
      <w:r>
        <w:rPr>
          <w:color w:val="auto"/>
          <w:szCs w:val="20"/>
        </w:rPr>
        <w:t>（</w:t>
      </w:r>
      <w:r>
        <w:rPr>
          <w:rFonts w:hint="eastAsia"/>
          <w:color w:val="auto"/>
          <w:szCs w:val="20"/>
          <w:lang w:val="en-US" w:eastAsia="zh-CN"/>
        </w:rPr>
        <w:t>3</w:t>
      </w:r>
      <w:r>
        <w:rPr>
          <w:color w:val="auto"/>
          <w:szCs w:val="20"/>
        </w:rPr>
        <w:t>）进入贮罐内检修时，因设备内未置换合格或未采取有效的隔绝措施，进入设备前或作业期间未按规定取样分析合格，可能造成人员中毒或窒息。</w:t>
      </w:r>
    </w:p>
    <w:p w14:paraId="43910794">
      <w:pPr>
        <w:widowControl w:val="0"/>
        <w:spacing w:line="360" w:lineRule="auto"/>
        <w:ind w:firstLine="560"/>
        <w:rPr>
          <w:color w:val="auto"/>
          <w:szCs w:val="20"/>
        </w:rPr>
      </w:pPr>
      <w:r>
        <w:rPr>
          <w:color w:val="auto"/>
          <w:szCs w:val="20"/>
        </w:rPr>
        <w:t>（</w:t>
      </w:r>
      <w:r>
        <w:rPr>
          <w:rFonts w:hint="eastAsia"/>
          <w:color w:val="auto"/>
          <w:szCs w:val="20"/>
          <w:lang w:val="en-US" w:eastAsia="zh-CN"/>
        </w:rPr>
        <w:t>4</w:t>
      </w:r>
      <w:r>
        <w:rPr>
          <w:color w:val="auto"/>
          <w:szCs w:val="20"/>
        </w:rPr>
        <w:t>）汽油发生火灾燃烧后会产生一氧化碳和二氧化碳等有毒有害气体，会造成人员的中毒窒息。</w:t>
      </w:r>
    </w:p>
    <w:p w14:paraId="6CE58C3D">
      <w:pPr>
        <w:widowControl w:val="0"/>
        <w:spacing w:line="360" w:lineRule="auto"/>
        <w:ind w:firstLine="560"/>
        <w:rPr>
          <w:color w:val="auto"/>
          <w:szCs w:val="20"/>
        </w:rPr>
      </w:pPr>
      <w:r>
        <w:rPr>
          <w:color w:val="auto"/>
          <w:szCs w:val="20"/>
        </w:rPr>
        <w:t>（</w:t>
      </w:r>
      <w:r>
        <w:rPr>
          <w:rFonts w:hint="eastAsia"/>
          <w:color w:val="auto"/>
          <w:szCs w:val="20"/>
          <w:lang w:val="en-US" w:eastAsia="zh-CN"/>
        </w:rPr>
        <w:t>5</w:t>
      </w:r>
      <w:r>
        <w:rPr>
          <w:color w:val="auto"/>
          <w:szCs w:val="20"/>
        </w:rPr>
        <w:t>）在加油区，加油过程中，油气泄漏，可能引发窒息，甚至中毒的危险。</w:t>
      </w:r>
    </w:p>
    <w:p w14:paraId="1DA08823">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0"/>
        </w:rPr>
      </w:pPr>
      <w:r>
        <w:rPr>
          <w:color w:val="auto"/>
          <w:szCs w:val="20"/>
        </w:rPr>
        <w:t>（</w:t>
      </w:r>
      <w:r>
        <w:rPr>
          <w:rFonts w:hint="eastAsia"/>
          <w:color w:val="auto"/>
          <w:szCs w:val="20"/>
          <w:lang w:val="en-US" w:eastAsia="zh-CN"/>
        </w:rPr>
        <w:t>6</w:t>
      </w:r>
      <w:r>
        <w:rPr>
          <w:color w:val="auto"/>
          <w:szCs w:val="20"/>
        </w:rPr>
        <w:t>）经营过程中可能造成人员中毒的原因如下：</w:t>
      </w:r>
    </w:p>
    <w:p w14:paraId="19AE5155">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0"/>
        </w:rPr>
      </w:pPr>
      <w:r>
        <w:rPr>
          <w:color w:val="auto"/>
          <w:szCs w:val="20"/>
        </w:rPr>
        <w:t>①油品泄漏的大量蒸发气体的有毒性；</w:t>
      </w:r>
    </w:p>
    <w:p w14:paraId="73944DDD">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0"/>
        </w:rPr>
      </w:pPr>
      <w:r>
        <w:rPr>
          <w:color w:val="auto"/>
          <w:szCs w:val="20"/>
        </w:rPr>
        <w:t>②入罐作业，罐内油气浓度超标或缺氧可导致作业人员发生中毒窒息事故；</w:t>
      </w:r>
    </w:p>
    <w:p w14:paraId="0322AE55">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0"/>
        </w:rPr>
      </w:pPr>
      <w:r>
        <w:rPr>
          <w:color w:val="auto"/>
          <w:szCs w:val="20"/>
        </w:rPr>
        <w:t>③作业场所</w:t>
      </w:r>
      <w:r>
        <w:rPr>
          <w:rFonts w:hint="eastAsia"/>
          <w:color w:val="auto"/>
          <w:szCs w:val="20"/>
          <w:lang w:val="en-US" w:eastAsia="zh-CN"/>
        </w:rPr>
        <w:t>汽油</w:t>
      </w:r>
      <w:r>
        <w:rPr>
          <w:color w:val="auto"/>
          <w:szCs w:val="20"/>
        </w:rPr>
        <w:t>浓度超标，作业人员长期吸入高浓度</w:t>
      </w:r>
      <w:r>
        <w:rPr>
          <w:rFonts w:hint="eastAsia"/>
          <w:color w:val="auto"/>
          <w:szCs w:val="20"/>
          <w:lang w:val="en-US" w:eastAsia="zh-CN"/>
        </w:rPr>
        <w:t>汽油</w:t>
      </w:r>
      <w:r>
        <w:rPr>
          <w:color w:val="auto"/>
          <w:szCs w:val="20"/>
        </w:rPr>
        <w:t>，作业环境通风不良、无个体防护。</w:t>
      </w:r>
    </w:p>
    <w:p w14:paraId="366360F1">
      <w:pPr>
        <w:spacing w:line="360" w:lineRule="auto"/>
        <w:ind w:left="0" w:leftChars="0" w:firstLine="0" w:firstLineChars="0"/>
        <w:rPr>
          <w:rFonts w:hint="default" w:ascii="Times New Roman" w:hAnsi="Times New Roman" w:cs="Times New Roman"/>
          <w:b/>
          <w:bCs/>
          <w:color w:val="auto"/>
        </w:rPr>
      </w:pPr>
      <w:r>
        <w:rPr>
          <w:rFonts w:hint="default" w:ascii="Times New Roman" w:hAnsi="Times New Roman" w:cs="Times New Roman"/>
          <w:b/>
          <w:bCs/>
          <w:color w:val="auto"/>
        </w:rPr>
        <w:t>F3.2.2.3车辆伤害危险性分析</w:t>
      </w:r>
    </w:p>
    <w:p w14:paraId="0CAADBBC">
      <w:pPr>
        <w:pStyle w:val="147"/>
        <w:spacing w:line="360" w:lineRule="auto"/>
        <w:rPr>
          <w:color w:val="auto"/>
          <w:szCs w:val="28"/>
        </w:rPr>
      </w:pPr>
      <w:r>
        <w:rPr>
          <w:rFonts w:hint="default" w:ascii="Times New Roman" w:hAnsi="Times New Roman" w:cs="Times New Roman"/>
          <w:color w:val="auto"/>
          <w:szCs w:val="28"/>
        </w:rPr>
        <w:t>车辆伤害是指企业机动车辆在行驶中引起的人体坠落和物体倒塌、下落、挤压伤亡事故。通常可因道路不良、视线不良、缺少行车安全警示标志、限速标志和道路指示以及车辆或驾驶员的管理等方面的缺陷均可能引发车</w:t>
      </w:r>
      <w:r>
        <w:rPr>
          <w:rFonts w:hint="eastAsia"/>
          <w:color w:val="auto"/>
          <w:szCs w:val="28"/>
        </w:rPr>
        <w:t>辆伤害事故。</w:t>
      </w:r>
    </w:p>
    <w:p w14:paraId="1E8FE9CB">
      <w:pPr>
        <w:pStyle w:val="147"/>
        <w:spacing w:line="360" w:lineRule="auto"/>
        <w:rPr>
          <w:color w:val="auto"/>
          <w:szCs w:val="28"/>
        </w:rPr>
      </w:pPr>
      <w:r>
        <w:rPr>
          <w:rFonts w:hint="eastAsia"/>
          <w:color w:val="auto"/>
          <w:szCs w:val="28"/>
        </w:rPr>
        <w:t>该站成品油的运进、运出均使用汽车作为运输工具。</w:t>
      </w:r>
      <w:r>
        <w:rPr>
          <w:color w:val="auto"/>
          <w:szCs w:val="28"/>
        </w:rPr>
        <w:t>卸油作业时，若站内道路狭窄，道路弯道曲线半径、照明等不符合安全要求</w:t>
      </w:r>
      <w:r>
        <w:rPr>
          <w:rFonts w:hint="eastAsia"/>
          <w:color w:val="auto"/>
          <w:szCs w:val="28"/>
        </w:rPr>
        <w:t>，或者</w:t>
      </w:r>
      <w:r>
        <w:rPr>
          <w:color w:val="auto"/>
          <w:szCs w:val="28"/>
        </w:rPr>
        <w:t>汽车速度较快、制动失灵、司机疏忽大意等时，可能发生车辆伤害的危险性。</w:t>
      </w:r>
    </w:p>
    <w:p w14:paraId="2289A2E6">
      <w:pPr>
        <w:pStyle w:val="147"/>
        <w:snapToGrid w:val="0"/>
        <w:spacing w:line="360" w:lineRule="auto"/>
        <w:rPr>
          <w:rFonts w:hint="eastAsia"/>
          <w:color w:val="auto"/>
          <w:szCs w:val="28"/>
        </w:rPr>
      </w:pPr>
      <w:r>
        <w:rPr>
          <w:rFonts w:hint="eastAsia"/>
          <w:color w:val="auto"/>
          <w:szCs w:val="28"/>
        </w:rPr>
        <w:t>进站加油的各种运输车辆特别是超高超重超长的运输车可能发生碰撞、伤人、伤物事故。</w:t>
      </w:r>
    </w:p>
    <w:p w14:paraId="77E2AC9E">
      <w:pPr>
        <w:spacing w:line="360" w:lineRule="auto"/>
        <w:ind w:left="0" w:leftChars="0" w:firstLine="0" w:firstLineChars="0"/>
        <w:rPr>
          <w:rFonts w:hint="default" w:ascii="Times New Roman" w:hAnsi="Times New Roman" w:cs="Times New Roman"/>
          <w:b/>
          <w:bCs/>
          <w:color w:val="auto"/>
        </w:rPr>
      </w:pPr>
      <w:r>
        <w:rPr>
          <w:rFonts w:hint="default" w:ascii="Times New Roman" w:hAnsi="Times New Roman" w:cs="Times New Roman"/>
          <w:b/>
          <w:bCs/>
          <w:color w:val="auto"/>
        </w:rPr>
        <w:t>F3.2.2.4电气事故危险性分析</w:t>
      </w:r>
    </w:p>
    <w:p w14:paraId="216C4712">
      <w:pPr>
        <w:spacing w:line="360" w:lineRule="auto"/>
        <w:ind w:firstLine="562"/>
        <w:rPr>
          <w:rFonts w:hint="default" w:ascii="Times New Roman" w:hAnsi="Times New Roman" w:cs="Times New Roman"/>
          <w:b/>
          <w:bCs/>
          <w:color w:val="auto"/>
        </w:rPr>
      </w:pPr>
      <w:r>
        <w:rPr>
          <w:rFonts w:hint="default" w:ascii="Times New Roman" w:hAnsi="Times New Roman" w:cs="Times New Roman"/>
          <w:b/>
          <w:bCs/>
          <w:color w:val="auto"/>
        </w:rPr>
        <w:t>1）触电危险</w:t>
      </w:r>
    </w:p>
    <w:p w14:paraId="39567803">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触电事故的伤害是由电流的能量造成。触电可分为电击和电伤两种情况。</w:t>
      </w:r>
    </w:p>
    <w:p w14:paraId="4AD3356F">
      <w:pPr>
        <w:spacing w:line="360" w:lineRule="auto"/>
        <w:ind w:firstLine="560"/>
        <w:rPr>
          <w:color w:val="auto"/>
        </w:rPr>
      </w:pPr>
      <w:r>
        <w:rPr>
          <w:rFonts w:hint="eastAsia"/>
          <w:color w:val="auto"/>
        </w:rPr>
        <w:t>（</w:t>
      </w:r>
      <w:r>
        <w:rPr>
          <w:rFonts w:hint="eastAsia" w:ascii="Times New Roman" w:hAnsi="Times New Roman"/>
          <w:color w:val="auto"/>
        </w:rPr>
        <w:t>1</w:t>
      </w:r>
      <w:r>
        <w:rPr>
          <w:rFonts w:hint="eastAsia"/>
          <w:color w:val="auto"/>
        </w:rPr>
        <w:t>）</w:t>
      </w:r>
      <w:r>
        <w:rPr>
          <w:color w:val="auto"/>
        </w:rPr>
        <w:t>电击</w:t>
      </w:r>
    </w:p>
    <w:p w14:paraId="1261AA1C">
      <w:pPr>
        <w:spacing w:line="360" w:lineRule="auto"/>
        <w:ind w:firstLine="560"/>
        <w:rPr>
          <w:color w:val="auto"/>
        </w:rPr>
      </w:pPr>
      <w:r>
        <w:rPr>
          <w:rFonts w:hint="eastAsia"/>
          <w:color w:val="auto"/>
        </w:rPr>
        <w:t>①</w:t>
      </w:r>
      <w:r>
        <w:rPr>
          <w:color w:val="auto"/>
        </w:rPr>
        <w:t>分布：配电线路以及在作业过程中使用的各种电气拖动设备、移动电气设备、照明线路及照明、生活电器（电视、电扇、空调）等，上述环节均存在直接接触电击及间接接触电击的可能。</w:t>
      </w:r>
    </w:p>
    <w:p w14:paraId="27A3BE3A">
      <w:pPr>
        <w:spacing w:line="360" w:lineRule="auto"/>
        <w:ind w:firstLine="560"/>
        <w:rPr>
          <w:color w:val="auto"/>
        </w:rPr>
      </w:pPr>
      <w:r>
        <w:rPr>
          <w:rFonts w:hint="eastAsia"/>
          <w:color w:val="auto"/>
        </w:rPr>
        <w:t>②</w:t>
      </w:r>
      <w:r>
        <w:rPr>
          <w:color w:val="auto"/>
        </w:rPr>
        <w:t>伤害的方式和途径</w:t>
      </w:r>
    </w:p>
    <w:p w14:paraId="6F0AF172">
      <w:pPr>
        <w:spacing w:line="360" w:lineRule="auto"/>
        <w:ind w:firstLine="560"/>
        <w:rPr>
          <w:color w:val="auto"/>
        </w:rPr>
      </w:pPr>
      <w:r>
        <w:rPr>
          <w:color w:val="auto"/>
        </w:rPr>
        <w:t>伤害的方式：电击是电流通过人体内部引起可感知的物理效应。电击对人体伤害程度与通过人体电流强度、种类、持续时间、通过途径及人体状况等多种因素有关。当伤害电流通过人体时，人体受到局部电能作用，使人体内细胞的正常工作遭到不同程度的破坏，产生生物学效应、热效应、化学效应和机械效应，会引起压迫感、打击感、痉挛、疼痛、呼吸困难、血压异常、昏迷、</w:t>
      </w:r>
      <w:r>
        <w:rPr>
          <w:rFonts w:hint="eastAsia"/>
          <w:color w:val="auto"/>
        </w:rPr>
        <w:t>心律不齐</w:t>
      </w:r>
      <w:r>
        <w:rPr>
          <w:color w:val="auto"/>
        </w:rPr>
        <w:t>等、严重时会引起窒息、心室颤动而导致死亡。伤害的途径：人体触及设备和线路正常运行时的带电体发生电击：人体触及正常状态下不带电，而当设备或线路故障（如漏电）时意外带电的金属导体（如设备外壳）发生电击；人体进入地面带电区域时，两脚之间承受到跨步电压造成电击。</w:t>
      </w:r>
    </w:p>
    <w:p w14:paraId="7E6361F9">
      <w:pPr>
        <w:spacing w:line="360" w:lineRule="auto"/>
        <w:ind w:firstLine="560"/>
        <w:rPr>
          <w:color w:val="auto"/>
        </w:rPr>
      </w:pPr>
      <w:r>
        <w:rPr>
          <w:rFonts w:hint="eastAsia"/>
          <w:color w:val="auto"/>
        </w:rPr>
        <w:t>③</w:t>
      </w:r>
      <w:r>
        <w:rPr>
          <w:color w:val="auto"/>
        </w:rPr>
        <w:t>电击危险因素的产生原因：</w:t>
      </w:r>
    </w:p>
    <w:p w14:paraId="2414A089">
      <w:pPr>
        <w:spacing w:line="360" w:lineRule="auto"/>
        <w:ind w:firstLine="560"/>
        <w:rPr>
          <w:color w:val="auto"/>
        </w:rPr>
      </w:pPr>
      <w:r>
        <w:rPr>
          <w:color w:val="auto"/>
        </w:rPr>
        <w:t>---电气线路或电气设备在设计、安装上存在缺陷，或在运行中，缺乏必要的检修维护，使设备或线路存在漏电、过热、短路、接头松脱、断线碰壳、绝缘老化、绝缘击穿、绝缘损害、</w:t>
      </w:r>
      <w:r>
        <w:rPr>
          <w:rFonts w:ascii="Times New Roman" w:hAnsi="Times New Roman"/>
          <w:color w:val="auto"/>
        </w:rPr>
        <w:t>PE</w:t>
      </w:r>
      <w:r>
        <w:rPr>
          <w:color w:val="auto"/>
        </w:rPr>
        <w:t>线断线等隐患；</w:t>
      </w:r>
    </w:p>
    <w:p w14:paraId="20C39230">
      <w:pPr>
        <w:spacing w:line="360" w:lineRule="auto"/>
        <w:ind w:firstLine="560"/>
        <w:rPr>
          <w:color w:val="auto"/>
        </w:rPr>
      </w:pPr>
      <w:r>
        <w:rPr>
          <w:color w:val="auto"/>
        </w:rPr>
        <w:t>---没有设置必要的安全技术措施（如保护接零、漏电保护、安全电压、等电位联结等），使安全措施失效；</w:t>
      </w:r>
    </w:p>
    <w:p w14:paraId="538A16B4">
      <w:pPr>
        <w:spacing w:line="360" w:lineRule="auto"/>
        <w:ind w:firstLine="560"/>
        <w:rPr>
          <w:color w:val="auto"/>
        </w:rPr>
      </w:pPr>
      <w:r>
        <w:rPr>
          <w:color w:val="auto"/>
        </w:rPr>
        <w:t>---电气设备运行管理不当，安全管理制度不完善；没有安全措施；</w:t>
      </w:r>
    </w:p>
    <w:p w14:paraId="5C9393C9">
      <w:pPr>
        <w:spacing w:line="360" w:lineRule="auto"/>
        <w:ind w:firstLine="560"/>
        <w:rPr>
          <w:color w:val="auto"/>
        </w:rPr>
      </w:pPr>
      <w:r>
        <w:rPr>
          <w:color w:val="auto"/>
        </w:rPr>
        <w:t>---专业电工或机电设备操作人员的操作失误，或违章作业等。</w:t>
      </w:r>
    </w:p>
    <w:p w14:paraId="258A20CD">
      <w:pPr>
        <w:spacing w:line="360" w:lineRule="auto"/>
        <w:ind w:firstLine="560"/>
        <w:rPr>
          <w:color w:val="auto"/>
        </w:rPr>
      </w:pPr>
      <w:r>
        <w:rPr>
          <w:rFonts w:hint="eastAsia"/>
          <w:color w:val="auto"/>
        </w:rPr>
        <w:t>（</w:t>
      </w:r>
      <w:r>
        <w:rPr>
          <w:rFonts w:hint="eastAsia" w:ascii="Times New Roman" w:hAnsi="Times New Roman"/>
          <w:color w:val="auto"/>
        </w:rPr>
        <w:t>2</w:t>
      </w:r>
      <w:r>
        <w:rPr>
          <w:rFonts w:hint="eastAsia"/>
          <w:color w:val="auto"/>
        </w:rPr>
        <w:t>）</w:t>
      </w:r>
      <w:r>
        <w:rPr>
          <w:color w:val="auto"/>
        </w:rPr>
        <w:t>电伤</w:t>
      </w:r>
    </w:p>
    <w:p w14:paraId="65A0ADB2">
      <w:pPr>
        <w:spacing w:line="360" w:lineRule="auto"/>
        <w:ind w:firstLine="560"/>
        <w:rPr>
          <w:color w:val="auto"/>
        </w:rPr>
      </w:pPr>
      <w:r>
        <w:rPr>
          <w:rFonts w:hint="eastAsia"/>
          <w:color w:val="auto"/>
        </w:rPr>
        <w:t>①</w:t>
      </w:r>
      <w:r>
        <w:rPr>
          <w:color w:val="auto"/>
        </w:rPr>
        <w:t>分布：变配电所、配电线路、配电柜、开关等。</w:t>
      </w:r>
    </w:p>
    <w:p w14:paraId="532468AB">
      <w:pPr>
        <w:spacing w:line="360" w:lineRule="auto"/>
        <w:ind w:firstLine="560"/>
        <w:rPr>
          <w:color w:val="auto"/>
        </w:rPr>
      </w:pPr>
      <w:r>
        <w:rPr>
          <w:rFonts w:hint="eastAsia"/>
          <w:color w:val="auto"/>
        </w:rPr>
        <w:t>②</w:t>
      </w:r>
      <w:r>
        <w:rPr>
          <w:color w:val="auto"/>
        </w:rPr>
        <w:t>伤害的方式和途径：</w:t>
      </w:r>
    </w:p>
    <w:p w14:paraId="23BAF3AE">
      <w:pPr>
        <w:spacing w:line="360" w:lineRule="auto"/>
        <w:ind w:firstLine="560"/>
        <w:rPr>
          <w:color w:val="auto"/>
        </w:rPr>
      </w:pPr>
      <w:r>
        <w:rPr>
          <w:color w:val="auto"/>
        </w:rPr>
        <w:t>伤害的方式：由电流的热效应、化学效应、机械效应对人体造成局部伤害等。多见于机体外部，往往在机体表面留下伤痕，如电弧烧伤、电流灼伤、电烙印、皮肤金属化、电气机械性伤害等。</w:t>
      </w:r>
    </w:p>
    <w:p w14:paraId="20A5FB94">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伤害的途径：直接烧伤：当带电体与人体之间发生电弧时，有电流通过人体形成烧伤。直接电弧烧伤是与电击同时发生的。间接烧伤：当电弧发生在人体附近时，对人体产生烧伤，包括</w:t>
      </w:r>
      <w:r>
        <w:rPr>
          <w:rFonts w:hint="eastAsia"/>
          <w:color w:val="auto"/>
          <w:lang w:eastAsia="zh-CN"/>
        </w:rPr>
        <w:t>熔化</w:t>
      </w:r>
      <w:r>
        <w:rPr>
          <w:color w:val="auto"/>
        </w:rPr>
        <w:t>了的炽热金属溅出造成的烫伤。电流灼伤；人体与带电体接触，电流通过人体由电能转换为热能造成的伤害。</w:t>
      </w:r>
    </w:p>
    <w:p w14:paraId="07664A8B">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③</w:t>
      </w:r>
      <w:r>
        <w:rPr>
          <w:color w:val="auto"/>
        </w:rPr>
        <w:t>带电危险因素的产生原因：</w:t>
      </w:r>
    </w:p>
    <w:p w14:paraId="0E036BE3">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---带负荷（特别是感性负荷）拉开裸露的闸刀开关；</w:t>
      </w:r>
    </w:p>
    <w:p w14:paraId="1D23A12B">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---误操作引起短路；线路短路、开启式熔断器熔断时，炽热的金属微粒飞溅；</w:t>
      </w:r>
    </w:p>
    <w:p w14:paraId="73E4F7C6">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---人体过于接近带电体等。</w:t>
      </w:r>
    </w:p>
    <w:p w14:paraId="2A175725">
      <w:pPr>
        <w:keepNext w:val="0"/>
        <w:keepLines w:val="0"/>
        <w:pageBreakBefore w:val="0"/>
        <w:widowControl/>
        <w:kinsoku/>
        <w:wordWrap/>
        <w:overflowPunct/>
        <w:topLinePunct w:val="0"/>
        <w:autoSpaceDE/>
        <w:autoSpaceDN/>
        <w:bidi w:val="0"/>
        <w:adjustRightInd/>
        <w:snapToGrid w:val="0"/>
        <w:spacing w:line="360" w:lineRule="auto"/>
        <w:ind w:firstLine="562"/>
        <w:textAlignment w:val="auto"/>
        <w:rPr>
          <w:b/>
          <w:bCs/>
          <w:color w:val="auto"/>
        </w:rPr>
      </w:pPr>
      <w:r>
        <w:rPr>
          <w:rFonts w:hint="eastAsia" w:ascii="Times New Roman" w:hAnsi="Times New Roman"/>
          <w:b/>
          <w:bCs/>
          <w:color w:val="auto"/>
        </w:rPr>
        <w:t>2</w:t>
      </w:r>
      <w:r>
        <w:rPr>
          <w:rFonts w:hint="eastAsia"/>
          <w:b/>
          <w:bCs/>
          <w:color w:val="auto"/>
        </w:rPr>
        <w:t>）</w:t>
      </w:r>
      <w:r>
        <w:rPr>
          <w:b/>
          <w:bCs/>
          <w:color w:val="auto"/>
        </w:rPr>
        <w:t>雷电危险</w:t>
      </w:r>
    </w:p>
    <w:p w14:paraId="2747C495">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1</w:t>
      </w:r>
      <w:r>
        <w:rPr>
          <w:rFonts w:hint="eastAsia"/>
          <w:color w:val="auto"/>
        </w:rPr>
        <w:t>）</w:t>
      </w:r>
      <w:r>
        <w:rPr>
          <w:color w:val="auto"/>
        </w:rPr>
        <w:t>分布：储存成品油的设备和管道，如储存区、站房、加油</w:t>
      </w:r>
      <w:r>
        <w:rPr>
          <w:rFonts w:hint="eastAsia"/>
          <w:color w:val="auto"/>
          <w:lang w:val="en-US" w:eastAsia="zh-CN"/>
        </w:rPr>
        <w:t>罩棚</w:t>
      </w:r>
      <w:r>
        <w:rPr>
          <w:color w:val="auto"/>
        </w:rPr>
        <w:t>、较高的建筑物等均有雷电危险。</w:t>
      </w:r>
    </w:p>
    <w:p w14:paraId="1B68F906">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2</w:t>
      </w:r>
      <w:r>
        <w:rPr>
          <w:rFonts w:hint="eastAsia"/>
          <w:color w:val="auto"/>
        </w:rPr>
        <w:t>）</w:t>
      </w:r>
      <w:r>
        <w:rPr>
          <w:color w:val="auto"/>
        </w:rPr>
        <w:t>伤害的方式和伤害的途径</w:t>
      </w:r>
    </w:p>
    <w:p w14:paraId="263453C1">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伤害的方式：直接雷击放电、二次放电、雷电流的热量可能引起爆炸和火灾；雷电的直接击中、跨步电压的作用及火灾爆炸间接作用会造成人员伤亡；雷击可直接毁坏建构筑物，导致电气设备击穿或烧毁；发电机、变压器、电力线路等遭受雷击，可导致大规模停电事故。</w:t>
      </w:r>
    </w:p>
    <w:p w14:paraId="433E5C3D">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伤害的途径：由直击雷、雷电感应、雷电波的电性质、热性质、机械性质的破坏作用引起。</w:t>
      </w:r>
    </w:p>
    <w:p w14:paraId="297FD904">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3</w:t>
      </w:r>
      <w:r>
        <w:rPr>
          <w:rFonts w:hint="eastAsia"/>
          <w:color w:val="auto"/>
        </w:rPr>
        <w:t>）</w:t>
      </w:r>
      <w:r>
        <w:rPr>
          <w:color w:val="auto"/>
        </w:rPr>
        <w:t>雷电危险因素的产生原因</w:t>
      </w:r>
    </w:p>
    <w:p w14:paraId="6711EBC5">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从雷电防护的角度分析，雷电危险因素的产生原因主要有：</w:t>
      </w:r>
    </w:p>
    <w:p w14:paraId="40B866EE">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---防雷装置设计不合理；---防雷装置安装存在缺陷；</w:t>
      </w:r>
    </w:p>
    <w:p w14:paraId="02F24D80">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---防雷装置失效，防雷接地体接地电阻不符合要求；</w:t>
      </w:r>
    </w:p>
    <w:p w14:paraId="1847F333">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---缺乏必要的人身防雷安全知识等。</w:t>
      </w:r>
    </w:p>
    <w:p w14:paraId="6F03672D">
      <w:pPr>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cs="Times New Roman"/>
          <w:b/>
          <w:bCs/>
          <w:color w:val="auto"/>
        </w:rPr>
      </w:pPr>
      <w:r>
        <w:rPr>
          <w:rFonts w:hint="default" w:ascii="Times New Roman" w:hAnsi="Times New Roman" w:cs="Times New Roman"/>
          <w:b/>
          <w:bCs/>
          <w:color w:val="auto"/>
        </w:rPr>
        <w:t>F3.2.2.5高处坠落危险性分析</w:t>
      </w:r>
    </w:p>
    <w:p w14:paraId="06C0DFA9">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rPr>
        <w:t>在卸油过程中，作业人员在油罐车上，或油站检修时，作业人员在加油棚顶或建筑物顶部等超过地面2m以上的高处进行作业，如果未采取有效的防护措施或未按要求佩戴个人防护用品等违章作业时，就有可能发生高处坠落的危险，造成人员伤害。</w:t>
      </w:r>
    </w:p>
    <w:p w14:paraId="227BE27B">
      <w:pPr>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cs="Times New Roman"/>
          <w:b/>
          <w:bCs/>
          <w:color w:val="auto"/>
        </w:rPr>
      </w:pPr>
      <w:r>
        <w:rPr>
          <w:rFonts w:hint="default" w:ascii="Times New Roman" w:hAnsi="Times New Roman" w:cs="Times New Roman"/>
          <w:b/>
          <w:bCs/>
          <w:color w:val="auto"/>
        </w:rPr>
        <w:t>F3.2.2.6物体打击危险分析</w:t>
      </w:r>
    </w:p>
    <w:p w14:paraId="67C8FAB0">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检修时需要使用较多金属工具，如果工具使用或放置不当，可能从高处落下。设备受腐蚀严重，强度不够，其部件从高处落下也会造成物体打击。如果检修人员未戴好安全帽也容易遭受物体打击。</w:t>
      </w:r>
    </w:p>
    <w:p w14:paraId="46183652">
      <w:pPr>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b/>
          <w:bCs/>
          <w:color w:val="auto"/>
        </w:rPr>
      </w:pPr>
      <w:r>
        <w:rPr>
          <w:rFonts w:hint="eastAsia" w:ascii="Times New Roman" w:hAnsi="Times New Roman"/>
          <w:b/>
          <w:bCs/>
          <w:color w:val="auto"/>
        </w:rPr>
        <w:t>F3</w:t>
      </w:r>
      <w:r>
        <w:rPr>
          <w:rFonts w:hint="eastAsia"/>
          <w:b/>
          <w:bCs/>
          <w:color w:val="auto"/>
        </w:rPr>
        <w:t>.</w:t>
      </w:r>
      <w:r>
        <w:rPr>
          <w:rFonts w:hint="eastAsia" w:ascii="Times New Roman" w:hAnsi="Times New Roman"/>
          <w:b/>
          <w:bCs/>
          <w:color w:val="auto"/>
        </w:rPr>
        <w:t>2</w:t>
      </w:r>
      <w:r>
        <w:rPr>
          <w:rFonts w:hint="eastAsia"/>
          <w:b/>
          <w:bCs/>
          <w:color w:val="auto"/>
        </w:rPr>
        <w:t>.</w:t>
      </w:r>
      <w:r>
        <w:rPr>
          <w:rFonts w:hint="eastAsia" w:ascii="Times New Roman" w:hAnsi="Times New Roman"/>
          <w:b/>
          <w:bCs/>
          <w:color w:val="auto"/>
        </w:rPr>
        <w:t>2</w:t>
      </w:r>
      <w:r>
        <w:rPr>
          <w:rFonts w:hint="eastAsia"/>
          <w:b/>
          <w:bCs/>
          <w:color w:val="auto"/>
        </w:rPr>
        <w:t>.</w:t>
      </w:r>
      <w:r>
        <w:rPr>
          <w:rFonts w:hint="eastAsia" w:ascii="Times New Roman" w:hAnsi="Times New Roman"/>
          <w:b/>
          <w:bCs/>
          <w:color w:val="auto"/>
        </w:rPr>
        <w:t>7</w:t>
      </w:r>
      <w:r>
        <w:rPr>
          <w:rFonts w:hint="eastAsia"/>
          <w:b/>
          <w:bCs/>
          <w:color w:val="auto"/>
        </w:rPr>
        <w:t>坍塌危险分析</w:t>
      </w:r>
    </w:p>
    <w:p w14:paraId="78C4D19F">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该加油站设置钢网结构的轻质罩棚，如果安装质量不符合要求，或在设计时强度不够，可能会发生坍塌事故，</w:t>
      </w:r>
      <w:r>
        <w:rPr>
          <w:rFonts w:hint="eastAsia" w:ascii="Times New Roman" w:hAnsi="Times New Roman"/>
          <w:color w:val="auto"/>
        </w:rPr>
        <w:t>2008</w:t>
      </w:r>
      <w:r>
        <w:rPr>
          <w:rFonts w:hint="eastAsia"/>
          <w:color w:val="auto"/>
        </w:rPr>
        <w:t>年南方大雪，造成了许多加油站罩棚坍塌。罩棚在施工过程中，因为立柱或者</w:t>
      </w:r>
      <w:r>
        <w:rPr>
          <w:rFonts w:hint="eastAsia"/>
          <w:color w:val="auto"/>
          <w:lang w:eastAsia="zh-CN"/>
        </w:rPr>
        <w:t>罩棚</w:t>
      </w:r>
      <w:r>
        <w:rPr>
          <w:rFonts w:hint="eastAsia"/>
          <w:color w:val="auto"/>
        </w:rPr>
        <w:t>质量或者施工问题，有可能使罩棚坍塌，会破坏罩棚下加油机从而造成人身伤亡事故。该加油站埋地罐属承重罐，行车道若设计强度不满足承重要求，也可能会发生坍塌事故。</w:t>
      </w:r>
    </w:p>
    <w:p w14:paraId="228780BD">
      <w:pPr>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cs="Times New Roman"/>
          <w:b/>
          <w:color w:val="auto"/>
        </w:rPr>
      </w:pPr>
      <w:r>
        <w:rPr>
          <w:rFonts w:hint="default" w:ascii="Times New Roman" w:hAnsi="Times New Roman" w:cs="Times New Roman"/>
          <w:b/>
          <w:bCs/>
          <w:color w:val="auto"/>
        </w:rPr>
        <w:t>F3.2.2.8</w:t>
      </w:r>
      <w:r>
        <w:rPr>
          <w:rFonts w:hint="default" w:ascii="Times New Roman" w:hAnsi="Times New Roman" w:cs="Times New Roman"/>
          <w:b/>
          <w:color w:val="auto"/>
          <w:lang w:bidi="ar"/>
        </w:rPr>
        <w:t>有限空间危险、有害分析</w:t>
      </w:r>
    </w:p>
    <w:p w14:paraId="4086339C">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lang w:bidi="ar"/>
        </w:rPr>
        <w:t>油罐、隔油池检修前和进入有限空间作业，对情况估计不足或未制定详细的检修计划可能发生爆炸、中毒、窒息等事故。</w:t>
      </w:r>
    </w:p>
    <w:p w14:paraId="2F9F1F3C">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ascii="宋体" w:hAnsi="宋体" w:cs="宋体"/>
          <w:color w:val="auto"/>
        </w:rPr>
      </w:pPr>
      <w:r>
        <w:rPr>
          <w:rFonts w:hint="default" w:ascii="Times New Roman" w:hAnsi="Times New Roman" w:cs="Times New Roman"/>
          <w:color w:val="auto"/>
          <w:lang w:bidi="ar"/>
        </w:rPr>
        <w:t>油罐、隔油池检修和进入有限空间作业时若未严格执行动火作业、有限空间等危险作业票制度，未落实防范措施，易发生火灾、爆炸、中毒、窒息</w:t>
      </w:r>
      <w:r>
        <w:rPr>
          <w:rFonts w:hint="eastAsia" w:ascii="宋体" w:hAnsi="宋体" w:cs="宋体"/>
          <w:color w:val="auto"/>
          <w:lang w:bidi="ar"/>
        </w:rPr>
        <w:t>事故。</w:t>
      </w:r>
    </w:p>
    <w:p w14:paraId="03F049B8">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ascii="宋体" w:hAnsi="宋体" w:cs="宋体"/>
          <w:color w:val="auto"/>
        </w:rPr>
      </w:pPr>
      <w:r>
        <w:rPr>
          <w:rFonts w:hint="eastAsia" w:ascii="宋体" w:hAnsi="宋体" w:cs="宋体"/>
          <w:color w:val="auto"/>
          <w:lang w:bidi="ar"/>
        </w:rPr>
        <w:t>进入有限空间作业时，如油罐、隔油池内的可燃性混合物或有毒有害气体未进行置换或置换不彻底、待检修的设备与系统没有很好的隔离、进入容器检修前未进行氧气浓度分析或分析不合格进行检修容易引起爆炸、中毒等事故的发生。</w:t>
      </w:r>
    </w:p>
    <w:p w14:paraId="6EE38758">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ascii="宋体" w:hAnsi="宋体" w:cs="宋体"/>
          <w:color w:val="auto"/>
        </w:rPr>
      </w:pPr>
      <w:r>
        <w:rPr>
          <w:rFonts w:hint="eastAsia" w:ascii="宋体" w:hAnsi="宋体" w:cs="宋体"/>
          <w:color w:val="auto"/>
          <w:lang w:bidi="ar"/>
        </w:rPr>
        <w:t>进入有限空间的作业人员无证作业、防护不当或作业现场无人监护而贸然进行动火作业有可能引起燃烧爆炸事故。</w:t>
      </w:r>
    </w:p>
    <w:p w14:paraId="515BA545">
      <w:pPr>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textAlignment w:val="auto"/>
        <w:rPr>
          <w:rFonts w:hint="default" w:ascii="Times New Roman" w:hAnsi="Times New Roman" w:cs="Times New Roman"/>
          <w:b/>
          <w:bCs/>
          <w:color w:val="auto"/>
        </w:rPr>
      </w:pPr>
      <w:r>
        <w:rPr>
          <w:rFonts w:hint="default" w:ascii="Times New Roman" w:hAnsi="Times New Roman" w:cs="Times New Roman"/>
          <w:b/>
          <w:bCs/>
          <w:color w:val="auto"/>
        </w:rPr>
        <w:t>F3.2.2.8其它伤害危险分析</w:t>
      </w:r>
    </w:p>
    <w:p w14:paraId="393CC5D3">
      <w:pPr>
        <w:keepNext w:val="0"/>
        <w:keepLines w:val="0"/>
        <w:pageBreakBefore w:val="0"/>
        <w:widowControl/>
        <w:kinsoku/>
        <w:wordWrap/>
        <w:overflowPunct/>
        <w:topLinePunct w:val="0"/>
        <w:autoSpaceDE/>
        <w:autoSpaceDN/>
        <w:bidi w:val="0"/>
        <w:adjustRightInd/>
        <w:snapToGrid w:val="0"/>
        <w:spacing w:line="360" w:lineRule="auto"/>
        <w:ind w:firstLine="562"/>
        <w:textAlignment w:val="auto"/>
        <w:rPr>
          <w:rFonts w:hint="default" w:ascii="Times New Roman" w:hAnsi="Times New Roman" w:cs="Times New Roman"/>
          <w:b/>
          <w:bCs/>
          <w:color w:val="auto"/>
        </w:rPr>
      </w:pPr>
      <w:r>
        <w:rPr>
          <w:rFonts w:hint="default" w:ascii="Times New Roman" w:hAnsi="Times New Roman" w:cs="Times New Roman"/>
          <w:b/>
          <w:bCs/>
          <w:color w:val="auto"/>
        </w:rPr>
        <w:t>1）高温</w:t>
      </w:r>
    </w:p>
    <w:p w14:paraId="3C8BD8E1">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rPr>
      </w:pPr>
      <w:r>
        <w:rPr>
          <w:rFonts w:hint="default" w:ascii="Times New Roman" w:hAnsi="Times New Roman" w:cs="Times New Roman"/>
          <w:color w:val="auto"/>
        </w:rPr>
        <w:t>在高温季节，当环境温度高于体温时，使人散热发生困难，加剧了体温调节机能的紧张活动，使人感到不适，而且随着大量</w:t>
      </w:r>
      <w:r>
        <w:rPr>
          <w:rFonts w:hint="default" w:ascii="Times New Roman" w:hAnsi="Times New Roman" w:cs="Times New Roman"/>
          <w:color w:val="auto"/>
          <w:lang w:eastAsia="zh-CN"/>
        </w:rPr>
        <w:t>出汗</w:t>
      </w:r>
      <w:r>
        <w:rPr>
          <w:rFonts w:hint="default" w:ascii="Times New Roman" w:hAnsi="Times New Roman" w:cs="Times New Roman"/>
          <w:color w:val="auto"/>
        </w:rPr>
        <w:t>，造成人体水、盐排出增加而影响健康，甚至可能发生中暑。长期高温作业可出现高血压、心肌受损和消化功能障碍病症。高温作业人员受环境热负荷的影响，作业能力随温度的升高而明显下降。</w:t>
      </w:r>
    </w:p>
    <w:p w14:paraId="6AE97797">
      <w:pPr>
        <w:keepNext w:val="0"/>
        <w:keepLines w:val="0"/>
        <w:pageBreakBefore w:val="0"/>
        <w:widowControl/>
        <w:kinsoku/>
        <w:wordWrap/>
        <w:overflowPunct/>
        <w:topLinePunct w:val="0"/>
        <w:autoSpaceDE/>
        <w:autoSpaceDN/>
        <w:bidi w:val="0"/>
        <w:adjustRightInd/>
        <w:snapToGrid w:val="0"/>
        <w:spacing w:line="360" w:lineRule="auto"/>
        <w:ind w:firstLine="562"/>
        <w:textAlignment w:val="auto"/>
        <w:rPr>
          <w:rFonts w:hint="default" w:ascii="Times New Roman" w:hAnsi="Times New Roman" w:cs="Times New Roman"/>
          <w:b/>
          <w:bCs/>
          <w:color w:val="auto"/>
        </w:rPr>
      </w:pPr>
      <w:r>
        <w:rPr>
          <w:rFonts w:hint="default" w:ascii="Times New Roman" w:hAnsi="Times New Roman" w:cs="Times New Roman"/>
          <w:b/>
          <w:bCs/>
          <w:color w:val="auto"/>
        </w:rPr>
        <w:t>2）暴雨</w:t>
      </w:r>
    </w:p>
    <w:p w14:paraId="6FF71275">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b/>
          <w:bCs/>
          <w:color w:val="auto"/>
        </w:rPr>
      </w:pPr>
      <w:r>
        <w:rPr>
          <w:rFonts w:hint="eastAsia" w:ascii="宋体" w:hAnsi="宋体" w:cs="宋体"/>
          <w:color w:val="auto"/>
          <w:szCs w:val="28"/>
          <w:lang w:bidi="ar"/>
        </w:rPr>
        <w:t>该地区</w:t>
      </w:r>
      <w:r>
        <w:rPr>
          <w:rFonts w:hint="eastAsia" w:ascii="宋体" w:hAnsi="宋体" w:cs="宋体"/>
          <w:color w:val="auto"/>
          <w:szCs w:val="28"/>
          <w:lang w:eastAsia="zh-CN" w:bidi="ar"/>
        </w:rPr>
        <w:t>处于</w:t>
      </w:r>
      <w:r>
        <w:rPr>
          <w:rFonts w:hint="eastAsia" w:ascii="宋体" w:hAnsi="宋体" w:cs="宋体"/>
          <w:color w:val="auto"/>
          <w:szCs w:val="28"/>
          <w:lang w:bidi="ar"/>
        </w:rPr>
        <w:t>中亚热带季风湿润气候，雨量丰沛，夏季多暴雨，如下水道阻塞，水泄不及，可能造成内涝积水</w:t>
      </w:r>
      <w:r>
        <w:rPr>
          <w:rFonts w:hint="eastAsia" w:cs="宋体"/>
          <w:color w:val="auto"/>
          <w:szCs w:val="28"/>
          <w:lang w:bidi="ar"/>
        </w:rPr>
        <w:t>。</w:t>
      </w:r>
    </w:p>
    <w:p w14:paraId="1B6F4725">
      <w:pPr>
        <w:keepNext w:val="0"/>
        <w:keepLines w:val="0"/>
        <w:pageBreakBefore w:val="0"/>
        <w:widowControl w:val="0"/>
        <w:kinsoku/>
        <w:wordWrap/>
        <w:overflowPunct/>
        <w:topLinePunct w:val="0"/>
        <w:autoSpaceDE/>
        <w:autoSpaceDN/>
        <w:bidi w:val="0"/>
        <w:adjustRightInd/>
        <w:snapToGrid w:val="0"/>
        <w:spacing w:line="360" w:lineRule="auto"/>
        <w:ind w:firstLine="562"/>
        <w:textAlignment w:val="auto"/>
        <w:rPr>
          <w:b/>
          <w:bCs/>
          <w:color w:val="auto"/>
        </w:rPr>
      </w:pPr>
      <w:r>
        <w:rPr>
          <w:rFonts w:hint="eastAsia" w:ascii="Times New Roman" w:hAnsi="Times New Roman"/>
          <w:b/>
          <w:bCs/>
          <w:color w:val="auto"/>
        </w:rPr>
        <w:t>3</w:t>
      </w:r>
      <w:r>
        <w:rPr>
          <w:rFonts w:hint="eastAsia"/>
          <w:b/>
          <w:bCs/>
          <w:color w:val="auto"/>
        </w:rPr>
        <w:t>）</w:t>
      </w:r>
      <w:r>
        <w:rPr>
          <w:b/>
          <w:bCs/>
          <w:color w:val="auto"/>
        </w:rPr>
        <w:t>噪声</w:t>
      </w:r>
    </w:p>
    <w:p w14:paraId="0ACA46F7">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color w:val="auto"/>
        </w:rPr>
        <w:t>车辆等会产生一定的噪声，</w:t>
      </w:r>
      <w:r>
        <w:rPr>
          <w:rFonts w:hint="eastAsia"/>
          <w:color w:val="auto"/>
        </w:rPr>
        <w:t>噪声</w:t>
      </w:r>
      <w:r>
        <w:rPr>
          <w:color w:val="auto"/>
        </w:rPr>
        <w:t>超标或长时间在</w:t>
      </w:r>
      <w:r>
        <w:rPr>
          <w:rFonts w:hint="eastAsia"/>
          <w:color w:val="auto"/>
          <w:lang w:eastAsia="zh-CN"/>
        </w:rPr>
        <w:t>噪声</w:t>
      </w:r>
      <w:r>
        <w:rPr>
          <w:color w:val="auto"/>
        </w:rPr>
        <w:t>危害严重的场所作业，均会造成作业人员的听力损害和</w:t>
      </w:r>
      <w:r>
        <w:rPr>
          <w:rFonts w:hint="eastAsia"/>
          <w:color w:val="auto"/>
        </w:rPr>
        <w:t>精神恍惚</w:t>
      </w:r>
      <w:r>
        <w:rPr>
          <w:color w:val="auto"/>
        </w:rPr>
        <w:t>，发生职业病并进而影响作业人员的判断力、反应能力，造成误操作，引起其他生产事故</w:t>
      </w:r>
      <w:r>
        <w:rPr>
          <w:rFonts w:hint="eastAsia"/>
          <w:color w:val="auto"/>
        </w:rPr>
        <w:t>。</w:t>
      </w:r>
    </w:p>
    <w:p w14:paraId="383E4423">
      <w:pPr>
        <w:pStyle w:val="35"/>
        <w:keepNext w:val="0"/>
        <w:keepLines w:val="0"/>
        <w:pageBreakBefore w:val="0"/>
        <w:widowControl/>
        <w:kinsoku/>
        <w:wordWrap/>
        <w:overflowPunct/>
        <w:topLinePunct w:val="0"/>
        <w:autoSpaceDE/>
        <w:autoSpaceDN/>
        <w:bidi w:val="0"/>
        <w:adjustRightInd/>
        <w:snapToGrid w:val="0"/>
        <w:spacing w:line="360" w:lineRule="auto"/>
        <w:textAlignment w:val="auto"/>
        <w:rPr>
          <w:rFonts w:hint="default" w:ascii="Times New Roman" w:hAnsi="Times New Roman" w:cs="Times New Roman"/>
          <w:color w:val="auto"/>
        </w:rPr>
      </w:pPr>
      <w:r>
        <w:rPr>
          <w:rFonts w:ascii="宋体" w:hAnsi="宋体"/>
          <w:color w:val="auto"/>
        </w:rPr>
        <w:t>通过上述分</w:t>
      </w:r>
      <w:r>
        <w:rPr>
          <w:rFonts w:hint="default" w:ascii="Times New Roman" w:hAnsi="Times New Roman" w:cs="Times New Roman"/>
          <w:color w:val="auto"/>
        </w:rPr>
        <w:t>析，该加油站潜在的危险有害因素汇总如下表：</w:t>
      </w:r>
    </w:p>
    <w:p w14:paraId="7581456F">
      <w:pPr>
        <w:pStyle w:val="21"/>
        <w:spacing w:line="240" w:lineRule="auto"/>
        <w:rPr>
          <w:rFonts w:hint="default" w:ascii="Times New Roman" w:hAnsi="Times New Roman" w:eastAsia="黑体" w:cs="Times New Roman"/>
          <w:color w:val="auto"/>
          <w:szCs w:val="21"/>
          <w:lang w:val="en-US" w:eastAsia="zh-CN"/>
        </w:rPr>
      </w:pPr>
      <w:r>
        <w:rPr>
          <w:rFonts w:hint="default" w:ascii="Times New Roman" w:hAnsi="Times New Roman" w:cs="Times New Roman"/>
          <w:color w:val="auto"/>
          <w:szCs w:val="21"/>
        </w:rPr>
        <w:t>F表3.2-1 作业场所</w:t>
      </w:r>
      <w:r>
        <w:rPr>
          <w:rFonts w:hint="default" w:ascii="Times New Roman" w:hAnsi="Times New Roman" w:cs="Times New Roman"/>
          <w:color w:val="auto"/>
          <w:szCs w:val="21"/>
          <w:lang w:eastAsia="zh-CN"/>
        </w:rPr>
        <w:t>的</w:t>
      </w:r>
      <w:r>
        <w:rPr>
          <w:rFonts w:hint="default" w:ascii="Times New Roman" w:hAnsi="Times New Roman" w:cs="Times New Roman"/>
          <w:color w:val="auto"/>
          <w:szCs w:val="21"/>
        </w:rPr>
        <w:t>危险有害因素</w:t>
      </w:r>
      <w:r>
        <w:rPr>
          <w:rFonts w:hint="default" w:ascii="Times New Roman" w:hAnsi="Times New Roman" w:cs="Times New Roman"/>
          <w:color w:val="auto"/>
          <w:szCs w:val="21"/>
          <w:lang w:val="en-US" w:eastAsia="zh-CN"/>
        </w:rPr>
        <w:t>一览表</w:t>
      </w:r>
    </w:p>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tbl>
      <w:tblPr>
        <w:tblStyle w:val="48"/>
        <w:tblW w:w="92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686"/>
        <w:gridCol w:w="969"/>
        <w:gridCol w:w="801"/>
        <w:gridCol w:w="887"/>
        <w:gridCol w:w="886"/>
        <w:gridCol w:w="845"/>
        <w:gridCol w:w="914"/>
        <w:gridCol w:w="723"/>
        <w:gridCol w:w="774"/>
        <w:gridCol w:w="774"/>
      </w:tblGrid>
      <w:tr w14:paraId="02A1A7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jc w:val="center"/>
        </w:trPr>
        <w:tc>
          <w:tcPr>
            <w:tcW w:w="1686" w:type="dxa"/>
            <w:vMerge w:val="restart"/>
            <w:tcBorders>
              <w:tl2br w:val="nil"/>
              <w:tr2bl w:val="nil"/>
            </w:tcBorders>
            <w:shd w:val="clear" w:color="auto" w:fill="auto"/>
            <w:vAlign w:val="center"/>
          </w:tcPr>
          <w:p w14:paraId="2314E038">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bookmarkStart w:id="654" w:name="_Toc20055"/>
            <w:bookmarkStart w:id="655" w:name="_Toc10620"/>
            <w:bookmarkStart w:id="656" w:name="_Toc98063271"/>
            <w:bookmarkStart w:id="657" w:name="_Toc99150663"/>
            <w:bookmarkStart w:id="658" w:name="_Toc99151701"/>
            <w:bookmarkStart w:id="659" w:name="_Toc105249909"/>
            <w:bookmarkStart w:id="660" w:name="_Toc99151493"/>
            <w:bookmarkStart w:id="661" w:name="_Toc104793261"/>
            <w:bookmarkStart w:id="662" w:name="_Toc99152316"/>
            <w:bookmarkStart w:id="663" w:name="_Toc98013865"/>
            <w:bookmarkStart w:id="664" w:name="_Toc98049563"/>
            <w:bookmarkStart w:id="665" w:name="_Toc98048959"/>
            <w:bookmarkStart w:id="666" w:name="_Toc98014216"/>
            <w:bookmarkStart w:id="667" w:name="_Toc103754807"/>
            <w:bookmarkStart w:id="668" w:name="_Toc105248625"/>
            <w:bookmarkStart w:id="669" w:name="_Toc326513823"/>
            <w:bookmarkStart w:id="670" w:name="_Toc4914"/>
            <w:bookmarkStart w:id="671" w:name="_Toc11657"/>
            <w:bookmarkStart w:id="672" w:name="_Toc15536"/>
            <w:bookmarkStart w:id="673" w:name="_Toc11762"/>
            <w:r>
              <w:rPr>
                <w:rFonts w:hint="default" w:ascii="Times New Roman" w:hAnsi="Times New Roman" w:eastAsia="宋体" w:cs="Times New Roman"/>
                <w:b/>
                <w:bCs/>
                <w:color w:val="auto"/>
                <w:kern w:val="2"/>
                <w:sz w:val="21"/>
                <w:szCs w:val="21"/>
                <w:lang w:val="en-US" w:eastAsia="zh-CN" w:bidi="ar"/>
              </w:rPr>
              <w:t>危险场所</w:t>
            </w:r>
          </w:p>
        </w:tc>
        <w:tc>
          <w:tcPr>
            <w:tcW w:w="7573" w:type="dxa"/>
            <w:gridSpan w:val="9"/>
            <w:tcBorders>
              <w:tl2br w:val="nil"/>
              <w:tr2bl w:val="nil"/>
            </w:tcBorders>
            <w:shd w:val="clear" w:color="auto" w:fill="auto"/>
            <w:vAlign w:val="center"/>
          </w:tcPr>
          <w:p w14:paraId="2432F9E2">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危险有害因素</w:t>
            </w:r>
          </w:p>
        </w:tc>
      </w:tr>
      <w:tr w14:paraId="4D1922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6" w:hRule="atLeast"/>
          <w:jc w:val="center"/>
        </w:trPr>
        <w:tc>
          <w:tcPr>
            <w:tcW w:w="1686" w:type="dxa"/>
            <w:vMerge w:val="continue"/>
            <w:tcBorders>
              <w:tl2br w:val="nil"/>
              <w:tr2bl w:val="nil"/>
            </w:tcBorders>
            <w:shd w:val="clear" w:color="auto" w:fill="auto"/>
            <w:vAlign w:val="center"/>
          </w:tcPr>
          <w:p w14:paraId="42639806">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 w:val="20"/>
                <w:szCs w:val="20"/>
              </w:rPr>
            </w:pPr>
          </w:p>
        </w:tc>
        <w:tc>
          <w:tcPr>
            <w:tcW w:w="969" w:type="dxa"/>
            <w:tcBorders>
              <w:tl2br w:val="nil"/>
              <w:tr2bl w:val="nil"/>
            </w:tcBorders>
            <w:shd w:val="clear" w:color="auto" w:fill="auto"/>
            <w:vAlign w:val="center"/>
          </w:tcPr>
          <w:p w14:paraId="3123A14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火灾、爆炸</w:t>
            </w:r>
          </w:p>
        </w:tc>
        <w:tc>
          <w:tcPr>
            <w:tcW w:w="801" w:type="dxa"/>
            <w:tcBorders>
              <w:tl2br w:val="nil"/>
              <w:tr2bl w:val="nil"/>
            </w:tcBorders>
            <w:shd w:val="clear" w:color="auto" w:fill="auto"/>
            <w:vAlign w:val="center"/>
          </w:tcPr>
          <w:p w14:paraId="6D3CB9CC">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车辆</w:t>
            </w:r>
          </w:p>
          <w:p w14:paraId="2788F1AB">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伤害</w:t>
            </w:r>
          </w:p>
        </w:tc>
        <w:tc>
          <w:tcPr>
            <w:tcW w:w="887" w:type="dxa"/>
            <w:tcBorders>
              <w:tl2br w:val="nil"/>
              <w:tr2bl w:val="nil"/>
            </w:tcBorders>
            <w:shd w:val="clear" w:color="auto" w:fill="auto"/>
            <w:vAlign w:val="center"/>
          </w:tcPr>
          <w:p w14:paraId="58E38CE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触电</w:t>
            </w:r>
          </w:p>
        </w:tc>
        <w:tc>
          <w:tcPr>
            <w:tcW w:w="886" w:type="dxa"/>
            <w:tcBorders>
              <w:tl2br w:val="nil"/>
              <w:tr2bl w:val="nil"/>
            </w:tcBorders>
            <w:shd w:val="clear" w:color="auto" w:fill="auto"/>
            <w:vAlign w:val="center"/>
          </w:tcPr>
          <w:p w14:paraId="215D6742">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中毒和</w:t>
            </w:r>
          </w:p>
          <w:p w14:paraId="61163DA3">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窒息</w:t>
            </w:r>
          </w:p>
        </w:tc>
        <w:tc>
          <w:tcPr>
            <w:tcW w:w="845" w:type="dxa"/>
            <w:tcBorders>
              <w:tl2br w:val="nil"/>
              <w:tr2bl w:val="nil"/>
            </w:tcBorders>
            <w:shd w:val="clear" w:color="auto" w:fill="auto"/>
            <w:vAlign w:val="center"/>
          </w:tcPr>
          <w:p w14:paraId="70FE081B">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高处</w:t>
            </w:r>
          </w:p>
          <w:p w14:paraId="70951C6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坠落</w:t>
            </w:r>
          </w:p>
        </w:tc>
        <w:tc>
          <w:tcPr>
            <w:tcW w:w="914" w:type="dxa"/>
            <w:tcBorders>
              <w:tl2br w:val="nil"/>
              <w:tr2bl w:val="nil"/>
            </w:tcBorders>
            <w:shd w:val="clear" w:color="auto" w:fill="auto"/>
            <w:vAlign w:val="center"/>
          </w:tcPr>
          <w:p w14:paraId="3966BA8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物体</w:t>
            </w:r>
          </w:p>
          <w:p w14:paraId="0330AB19">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打击</w:t>
            </w:r>
          </w:p>
        </w:tc>
        <w:tc>
          <w:tcPr>
            <w:tcW w:w="723" w:type="dxa"/>
            <w:tcBorders>
              <w:tl2br w:val="nil"/>
              <w:tr2bl w:val="nil"/>
            </w:tcBorders>
            <w:shd w:val="clear" w:color="auto" w:fill="auto"/>
            <w:vAlign w:val="center"/>
          </w:tcPr>
          <w:p w14:paraId="7B2B595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cs="Times New Roman"/>
                <w:b/>
                <w:bCs/>
                <w:color w:val="auto"/>
                <w:kern w:val="2"/>
                <w:sz w:val="21"/>
                <w:szCs w:val="21"/>
                <w:lang w:val="en-US" w:eastAsia="zh-CN" w:bidi="ar"/>
              </w:rPr>
              <w:t>机械伤害</w:t>
            </w:r>
          </w:p>
        </w:tc>
        <w:tc>
          <w:tcPr>
            <w:tcW w:w="774" w:type="dxa"/>
            <w:tcBorders>
              <w:tl2br w:val="nil"/>
              <w:tr2bl w:val="nil"/>
            </w:tcBorders>
            <w:shd w:val="clear" w:color="auto" w:fill="auto"/>
            <w:vAlign w:val="center"/>
          </w:tcPr>
          <w:p w14:paraId="0397BD63">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cs="Times New Roman"/>
                <w:b/>
                <w:bCs/>
                <w:color w:val="auto"/>
                <w:kern w:val="2"/>
                <w:sz w:val="21"/>
                <w:szCs w:val="21"/>
                <w:lang w:val="en-US" w:eastAsia="zh-CN" w:bidi="ar"/>
              </w:rPr>
              <w:t>灼烫</w:t>
            </w:r>
          </w:p>
        </w:tc>
        <w:tc>
          <w:tcPr>
            <w:tcW w:w="774" w:type="dxa"/>
            <w:tcBorders>
              <w:tl2br w:val="nil"/>
              <w:tr2bl w:val="nil"/>
            </w:tcBorders>
            <w:shd w:val="clear" w:color="auto" w:fill="auto"/>
            <w:vAlign w:val="center"/>
          </w:tcPr>
          <w:p w14:paraId="1E6A09B9">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lang w:val="en-US" w:eastAsia="zh-CN" w:bidi="ar"/>
              </w:rPr>
              <w:t>其它</w:t>
            </w:r>
          </w:p>
          <w:p w14:paraId="0C3F7020">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21"/>
                <w:szCs w:val="21"/>
                <w:lang w:val="en-US" w:eastAsia="zh-CN" w:bidi="ar"/>
              </w:rPr>
            </w:pPr>
            <w:r>
              <w:rPr>
                <w:rFonts w:hint="default" w:ascii="Times New Roman" w:hAnsi="Times New Roman" w:eastAsia="宋体" w:cs="Times New Roman"/>
                <w:b/>
                <w:bCs/>
                <w:color w:val="auto"/>
                <w:kern w:val="2"/>
                <w:sz w:val="21"/>
                <w:szCs w:val="21"/>
                <w:lang w:val="en-US" w:eastAsia="zh-CN" w:bidi="ar"/>
              </w:rPr>
              <w:t>伤害</w:t>
            </w:r>
          </w:p>
        </w:tc>
      </w:tr>
      <w:tr w14:paraId="5BCE04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jc w:val="center"/>
        </w:trPr>
        <w:tc>
          <w:tcPr>
            <w:tcW w:w="1686" w:type="dxa"/>
            <w:tcBorders>
              <w:tl2br w:val="nil"/>
              <w:tr2bl w:val="nil"/>
            </w:tcBorders>
            <w:shd w:val="clear" w:color="auto" w:fill="auto"/>
            <w:vAlign w:val="center"/>
          </w:tcPr>
          <w:p w14:paraId="02DDAFAF">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储罐区</w:t>
            </w:r>
          </w:p>
        </w:tc>
        <w:tc>
          <w:tcPr>
            <w:tcW w:w="969" w:type="dxa"/>
            <w:tcBorders>
              <w:tl2br w:val="nil"/>
              <w:tr2bl w:val="nil"/>
            </w:tcBorders>
            <w:shd w:val="clear" w:color="auto" w:fill="auto"/>
            <w:vAlign w:val="center"/>
          </w:tcPr>
          <w:p w14:paraId="114E4E4F">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01" w:type="dxa"/>
            <w:tcBorders>
              <w:tl2br w:val="nil"/>
              <w:tr2bl w:val="nil"/>
            </w:tcBorders>
            <w:shd w:val="clear" w:color="auto" w:fill="auto"/>
            <w:vAlign w:val="center"/>
          </w:tcPr>
          <w:p w14:paraId="3D199E6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87" w:type="dxa"/>
            <w:tcBorders>
              <w:tl2br w:val="nil"/>
              <w:tr2bl w:val="nil"/>
            </w:tcBorders>
            <w:shd w:val="clear" w:color="auto" w:fill="auto"/>
            <w:vAlign w:val="center"/>
          </w:tcPr>
          <w:p w14:paraId="680B771A">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86" w:type="dxa"/>
            <w:tcBorders>
              <w:tl2br w:val="nil"/>
              <w:tr2bl w:val="nil"/>
            </w:tcBorders>
            <w:shd w:val="clear" w:color="auto" w:fill="auto"/>
            <w:vAlign w:val="center"/>
          </w:tcPr>
          <w:p w14:paraId="7C1D02FF">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45" w:type="dxa"/>
            <w:tcBorders>
              <w:tl2br w:val="nil"/>
              <w:tr2bl w:val="nil"/>
            </w:tcBorders>
            <w:shd w:val="clear" w:color="auto" w:fill="auto"/>
            <w:vAlign w:val="center"/>
          </w:tcPr>
          <w:p w14:paraId="1DEF1EFA">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914" w:type="dxa"/>
            <w:tcBorders>
              <w:tl2br w:val="nil"/>
              <w:tr2bl w:val="nil"/>
            </w:tcBorders>
            <w:shd w:val="clear" w:color="auto" w:fill="auto"/>
            <w:vAlign w:val="center"/>
          </w:tcPr>
          <w:p w14:paraId="4076583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723" w:type="dxa"/>
            <w:tcBorders>
              <w:tl2br w:val="nil"/>
              <w:tr2bl w:val="nil"/>
            </w:tcBorders>
            <w:shd w:val="clear" w:color="auto" w:fill="auto"/>
            <w:vAlign w:val="center"/>
          </w:tcPr>
          <w:p w14:paraId="5A2E781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
              </w:rPr>
            </w:pPr>
          </w:p>
        </w:tc>
        <w:tc>
          <w:tcPr>
            <w:tcW w:w="774" w:type="dxa"/>
            <w:tcBorders>
              <w:tl2br w:val="nil"/>
              <w:tr2bl w:val="nil"/>
            </w:tcBorders>
            <w:shd w:val="clear" w:color="auto" w:fill="auto"/>
            <w:vAlign w:val="center"/>
          </w:tcPr>
          <w:p w14:paraId="4C54199C">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774" w:type="dxa"/>
            <w:tcBorders>
              <w:tl2br w:val="nil"/>
              <w:tr2bl w:val="nil"/>
            </w:tcBorders>
            <w:shd w:val="clear" w:color="auto" w:fill="auto"/>
            <w:vAlign w:val="center"/>
          </w:tcPr>
          <w:p w14:paraId="3053CF45">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w:t>
            </w:r>
          </w:p>
        </w:tc>
      </w:tr>
      <w:tr w14:paraId="2FBE68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686" w:type="dxa"/>
            <w:tcBorders>
              <w:tl2br w:val="nil"/>
              <w:tr2bl w:val="nil"/>
            </w:tcBorders>
            <w:shd w:val="clear" w:color="auto" w:fill="auto"/>
            <w:vAlign w:val="center"/>
          </w:tcPr>
          <w:p w14:paraId="2D29A203">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加油区</w:t>
            </w:r>
          </w:p>
          <w:p w14:paraId="04D95EEF">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（罩棚）</w:t>
            </w:r>
          </w:p>
        </w:tc>
        <w:tc>
          <w:tcPr>
            <w:tcW w:w="969" w:type="dxa"/>
            <w:tcBorders>
              <w:tl2br w:val="nil"/>
              <w:tr2bl w:val="nil"/>
            </w:tcBorders>
            <w:shd w:val="clear" w:color="auto" w:fill="auto"/>
            <w:vAlign w:val="center"/>
          </w:tcPr>
          <w:p w14:paraId="6DCB3BF3">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01" w:type="dxa"/>
            <w:tcBorders>
              <w:tl2br w:val="nil"/>
              <w:tr2bl w:val="nil"/>
            </w:tcBorders>
            <w:shd w:val="clear" w:color="auto" w:fill="auto"/>
            <w:vAlign w:val="center"/>
          </w:tcPr>
          <w:p w14:paraId="7D8FB487">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87" w:type="dxa"/>
            <w:tcBorders>
              <w:tl2br w:val="nil"/>
              <w:tr2bl w:val="nil"/>
            </w:tcBorders>
            <w:shd w:val="clear" w:color="auto" w:fill="auto"/>
            <w:vAlign w:val="center"/>
          </w:tcPr>
          <w:p w14:paraId="21393B69">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86" w:type="dxa"/>
            <w:tcBorders>
              <w:tl2br w:val="nil"/>
              <w:tr2bl w:val="nil"/>
            </w:tcBorders>
            <w:shd w:val="clear" w:color="auto" w:fill="auto"/>
            <w:vAlign w:val="center"/>
          </w:tcPr>
          <w:p w14:paraId="4909A36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45" w:type="dxa"/>
            <w:tcBorders>
              <w:tl2br w:val="nil"/>
              <w:tr2bl w:val="nil"/>
            </w:tcBorders>
            <w:shd w:val="clear" w:color="auto" w:fill="auto"/>
            <w:vAlign w:val="center"/>
          </w:tcPr>
          <w:p w14:paraId="2A11543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914" w:type="dxa"/>
            <w:tcBorders>
              <w:tl2br w:val="nil"/>
              <w:tr2bl w:val="nil"/>
            </w:tcBorders>
            <w:shd w:val="clear" w:color="auto" w:fill="auto"/>
            <w:vAlign w:val="center"/>
          </w:tcPr>
          <w:p w14:paraId="060E175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w:t>
            </w:r>
          </w:p>
        </w:tc>
        <w:tc>
          <w:tcPr>
            <w:tcW w:w="723" w:type="dxa"/>
            <w:tcBorders>
              <w:tl2br w:val="nil"/>
              <w:tr2bl w:val="nil"/>
            </w:tcBorders>
            <w:shd w:val="clear" w:color="auto" w:fill="auto"/>
            <w:vAlign w:val="center"/>
          </w:tcPr>
          <w:p w14:paraId="41A9D26C">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
              </w:rPr>
            </w:pPr>
          </w:p>
        </w:tc>
        <w:tc>
          <w:tcPr>
            <w:tcW w:w="774" w:type="dxa"/>
            <w:tcBorders>
              <w:tl2br w:val="nil"/>
              <w:tr2bl w:val="nil"/>
            </w:tcBorders>
            <w:shd w:val="clear" w:color="auto" w:fill="auto"/>
            <w:vAlign w:val="center"/>
          </w:tcPr>
          <w:p w14:paraId="7FCFC9A2">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p>
        </w:tc>
        <w:tc>
          <w:tcPr>
            <w:tcW w:w="774" w:type="dxa"/>
            <w:tcBorders>
              <w:tl2br w:val="nil"/>
              <w:tr2bl w:val="nil"/>
            </w:tcBorders>
            <w:shd w:val="clear" w:color="auto" w:fill="auto"/>
            <w:vAlign w:val="center"/>
          </w:tcPr>
          <w:p w14:paraId="75231417">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w:t>
            </w:r>
          </w:p>
        </w:tc>
      </w:tr>
      <w:tr w14:paraId="3E9866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8" w:hRule="atLeast"/>
          <w:jc w:val="center"/>
        </w:trPr>
        <w:tc>
          <w:tcPr>
            <w:tcW w:w="1686" w:type="dxa"/>
            <w:tcBorders>
              <w:tl2br w:val="nil"/>
              <w:tr2bl w:val="nil"/>
            </w:tcBorders>
            <w:shd w:val="clear" w:color="auto" w:fill="auto"/>
            <w:vAlign w:val="center"/>
          </w:tcPr>
          <w:p w14:paraId="30A24EF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卸油</w:t>
            </w:r>
            <w:r>
              <w:rPr>
                <w:rFonts w:hint="eastAsia" w:cs="宋体"/>
                <w:b/>
                <w:bCs/>
                <w:color w:val="auto"/>
                <w:kern w:val="2"/>
                <w:sz w:val="21"/>
                <w:szCs w:val="21"/>
                <w:lang w:val="en-US" w:eastAsia="zh-CN" w:bidi="ar"/>
              </w:rPr>
              <w:t>区</w:t>
            </w:r>
          </w:p>
        </w:tc>
        <w:tc>
          <w:tcPr>
            <w:tcW w:w="969" w:type="dxa"/>
            <w:tcBorders>
              <w:tl2br w:val="nil"/>
              <w:tr2bl w:val="nil"/>
            </w:tcBorders>
            <w:shd w:val="clear" w:color="auto" w:fill="auto"/>
            <w:vAlign w:val="center"/>
          </w:tcPr>
          <w:p w14:paraId="7F363B38">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01" w:type="dxa"/>
            <w:tcBorders>
              <w:tl2br w:val="nil"/>
              <w:tr2bl w:val="nil"/>
            </w:tcBorders>
            <w:shd w:val="clear" w:color="auto" w:fill="auto"/>
            <w:vAlign w:val="center"/>
          </w:tcPr>
          <w:p w14:paraId="2DCDB5A4">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87" w:type="dxa"/>
            <w:tcBorders>
              <w:tl2br w:val="nil"/>
              <w:tr2bl w:val="nil"/>
            </w:tcBorders>
            <w:shd w:val="clear" w:color="auto" w:fill="auto"/>
            <w:vAlign w:val="center"/>
          </w:tcPr>
          <w:p w14:paraId="778E15D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86" w:type="dxa"/>
            <w:tcBorders>
              <w:tl2br w:val="nil"/>
              <w:tr2bl w:val="nil"/>
            </w:tcBorders>
            <w:shd w:val="clear" w:color="auto" w:fill="auto"/>
            <w:vAlign w:val="center"/>
          </w:tcPr>
          <w:p w14:paraId="1ADD9FDA">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45" w:type="dxa"/>
            <w:tcBorders>
              <w:tl2br w:val="nil"/>
              <w:tr2bl w:val="nil"/>
            </w:tcBorders>
            <w:shd w:val="clear" w:color="auto" w:fill="auto"/>
            <w:vAlign w:val="center"/>
          </w:tcPr>
          <w:p w14:paraId="77D44CF4">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914" w:type="dxa"/>
            <w:tcBorders>
              <w:tl2br w:val="nil"/>
              <w:tr2bl w:val="nil"/>
            </w:tcBorders>
            <w:shd w:val="clear" w:color="auto" w:fill="auto"/>
            <w:vAlign w:val="center"/>
          </w:tcPr>
          <w:p w14:paraId="3CADB5E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w:t>
            </w:r>
          </w:p>
        </w:tc>
        <w:tc>
          <w:tcPr>
            <w:tcW w:w="723" w:type="dxa"/>
            <w:tcBorders>
              <w:tl2br w:val="nil"/>
              <w:tr2bl w:val="nil"/>
            </w:tcBorders>
            <w:shd w:val="clear" w:color="auto" w:fill="auto"/>
            <w:vAlign w:val="center"/>
          </w:tcPr>
          <w:p w14:paraId="29EAACC5">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
              </w:rPr>
            </w:pPr>
          </w:p>
        </w:tc>
        <w:tc>
          <w:tcPr>
            <w:tcW w:w="774" w:type="dxa"/>
            <w:tcBorders>
              <w:tl2br w:val="nil"/>
              <w:tr2bl w:val="nil"/>
            </w:tcBorders>
            <w:shd w:val="clear" w:color="auto" w:fill="auto"/>
            <w:vAlign w:val="center"/>
          </w:tcPr>
          <w:p w14:paraId="126CE391">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p>
        </w:tc>
        <w:tc>
          <w:tcPr>
            <w:tcW w:w="774" w:type="dxa"/>
            <w:tcBorders>
              <w:tl2br w:val="nil"/>
              <w:tr2bl w:val="nil"/>
            </w:tcBorders>
            <w:shd w:val="clear" w:color="auto" w:fill="auto"/>
            <w:vAlign w:val="center"/>
          </w:tcPr>
          <w:p w14:paraId="2E28920E">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w:t>
            </w:r>
          </w:p>
        </w:tc>
      </w:tr>
      <w:tr w14:paraId="09BC7D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6" w:hRule="atLeast"/>
          <w:jc w:val="center"/>
        </w:trPr>
        <w:tc>
          <w:tcPr>
            <w:tcW w:w="1686" w:type="dxa"/>
            <w:tcBorders>
              <w:tl2br w:val="nil"/>
              <w:tr2bl w:val="nil"/>
            </w:tcBorders>
            <w:shd w:val="clear" w:color="auto" w:fill="auto"/>
            <w:vAlign w:val="center"/>
          </w:tcPr>
          <w:p w14:paraId="04BA324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站房</w:t>
            </w:r>
          </w:p>
        </w:tc>
        <w:tc>
          <w:tcPr>
            <w:tcW w:w="969" w:type="dxa"/>
            <w:tcBorders>
              <w:tl2br w:val="nil"/>
              <w:tr2bl w:val="nil"/>
            </w:tcBorders>
            <w:shd w:val="clear" w:color="auto" w:fill="auto"/>
            <w:vAlign w:val="center"/>
          </w:tcPr>
          <w:p w14:paraId="65806859">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01" w:type="dxa"/>
            <w:tcBorders>
              <w:tl2br w:val="nil"/>
              <w:tr2bl w:val="nil"/>
            </w:tcBorders>
            <w:shd w:val="clear" w:color="auto" w:fill="auto"/>
            <w:vAlign w:val="center"/>
          </w:tcPr>
          <w:p w14:paraId="371BA87C">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87" w:type="dxa"/>
            <w:tcBorders>
              <w:tl2br w:val="nil"/>
              <w:tr2bl w:val="nil"/>
            </w:tcBorders>
            <w:shd w:val="clear" w:color="auto" w:fill="auto"/>
            <w:vAlign w:val="center"/>
          </w:tcPr>
          <w:p w14:paraId="709F5A5B">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86" w:type="dxa"/>
            <w:tcBorders>
              <w:tl2br w:val="nil"/>
              <w:tr2bl w:val="nil"/>
            </w:tcBorders>
            <w:shd w:val="clear" w:color="auto" w:fill="auto"/>
            <w:vAlign w:val="center"/>
          </w:tcPr>
          <w:p w14:paraId="022EEFEB">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45" w:type="dxa"/>
            <w:tcBorders>
              <w:tl2br w:val="nil"/>
              <w:tr2bl w:val="nil"/>
            </w:tcBorders>
            <w:shd w:val="clear" w:color="auto" w:fill="auto"/>
            <w:vAlign w:val="center"/>
          </w:tcPr>
          <w:p w14:paraId="5309920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914" w:type="dxa"/>
            <w:tcBorders>
              <w:tl2br w:val="nil"/>
              <w:tr2bl w:val="nil"/>
            </w:tcBorders>
            <w:shd w:val="clear" w:color="auto" w:fill="auto"/>
            <w:vAlign w:val="center"/>
          </w:tcPr>
          <w:p w14:paraId="0EA23C33">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723" w:type="dxa"/>
            <w:tcBorders>
              <w:tl2br w:val="nil"/>
              <w:tr2bl w:val="nil"/>
            </w:tcBorders>
            <w:shd w:val="clear" w:color="auto" w:fill="auto"/>
            <w:vAlign w:val="center"/>
          </w:tcPr>
          <w:p w14:paraId="09851BC8">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
              </w:rPr>
            </w:pPr>
          </w:p>
        </w:tc>
        <w:tc>
          <w:tcPr>
            <w:tcW w:w="774" w:type="dxa"/>
            <w:tcBorders>
              <w:tl2br w:val="nil"/>
              <w:tr2bl w:val="nil"/>
            </w:tcBorders>
            <w:shd w:val="clear" w:color="auto" w:fill="auto"/>
            <w:vAlign w:val="center"/>
          </w:tcPr>
          <w:p w14:paraId="7E1FF6E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774" w:type="dxa"/>
            <w:tcBorders>
              <w:tl2br w:val="nil"/>
              <w:tr2bl w:val="nil"/>
            </w:tcBorders>
            <w:shd w:val="clear" w:color="auto" w:fill="auto"/>
            <w:vAlign w:val="center"/>
          </w:tcPr>
          <w:p w14:paraId="7B85A1F4">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bCs/>
                <w:color w:val="auto"/>
                <w:kern w:val="2"/>
                <w:sz w:val="21"/>
                <w:szCs w:val="21"/>
              </w:rPr>
            </w:pPr>
          </w:p>
        </w:tc>
      </w:tr>
      <w:tr w14:paraId="385484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9" w:hRule="atLeast"/>
          <w:jc w:val="center"/>
        </w:trPr>
        <w:tc>
          <w:tcPr>
            <w:tcW w:w="1686" w:type="dxa"/>
            <w:tcBorders>
              <w:tl2br w:val="nil"/>
              <w:tr2bl w:val="nil"/>
            </w:tcBorders>
            <w:shd w:val="clear" w:color="auto" w:fill="auto"/>
            <w:vAlign w:val="center"/>
          </w:tcPr>
          <w:p w14:paraId="66920FDD">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eastAsia" w:ascii="宋体" w:hAnsi="宋体" w:eastAsia="宋体" w:cs="宋体"/>
                <w:b/>
                <w:bCs/>
                <w:color w:val="auto"/>
                <w:kern w:val="2"/>
                <w:sz w:val="21"/>
                <w:szCs w:val="21"/>
                <w:lang w:val="en-US" w:eastAsia="zh-CN" w:bidi="ar"/>
              </w:rPr>
              <w:t>配电间</w:t>
            </w:r>
          </w:p>
        </w:tc>
        <w:tc>
          <w:tcPr>
            <w:tcW w:w="969" w:type="dxa"/>
            <w:tcBorders>
              <w:tl2br w:val="nil"/>
              <w:tr2bl w:val="nil"/>
            </w:tcBorders>
            <w:shd w:val="clear" w:color="auto" w:fill="auto"/>
            <w:vAlign w:val="center"/>
          </w:tcPr>
          <w:p w14:paraId="000DA976">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801" w:type="dxa"/>
            <w:tcBorders>
              <w:tl2br w:val="nil"/>
              <w:tr2bl w:val="nil"/>
            </w:tcBorders>
            <w:shd w:val="clear" w:color="auto" w:fill="auto"/>
            <w:vAlign w:val="center"/>
          </w:tcPr>
          <w:p w14:paraId="51A21179">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87" w:type="dxa"/>
            <w:tcBorders>
              <w:tl2br w:val="nil"/>
              <w:tr2bl w:val="nil"/>
            </w:tcBorders>
            <w:shd w:val="clear" w:color="auto" w:fill="auto"/>
            <w:vAlign w:val="center"/>
          </w:tcPr>
          <w:p w14:paraId="3E12091C">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val="en-US" w:eastAsia="zh-CN" w:bidi="ar"/>
              </w:rPr>
              <w:t>√</w:t>
            </w:r>
          </w:p>
        </w:tc>
        <w:tc>
          <w:tcPr>
            <w:tcW w:w="886" w:type="dxa"/>
            <w:tcBorders>
              <w:tl2br w:val="nil"/>
              <w:tr2bl w:val="nil"/>
            </w:tcBorders>
            <w:shd w:val="clear" w:color="auto" w:fill="auto"/>
            <w:vAlign w:val="center"/>
          </w:tcPr>
          <w:p w14:paraId="3477E6F0">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845" w:type="dxa"/>
            <w:tcBorders>
              <w:tl2br w:val="nil"/>
              <w:tr2bl w:val="nil"/>
            </w:tcBorders>
            <w:shd w:val="clear" w:color="auto" w:fill="auto"/>
            <w:vAlign w:val="center"/>
          </w:tcPr>
          <w:p w14:paraId="6E6DBA66">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rPr>
            </w:pPr>
          </w:p>
        </w:tc>
        <w:tc>
          <w:tcPr>
            <w:tcW w:w="914" w:type="dxa"/>
            <w:tcBorders>
              <w:tl2br w:val="nil"/>
              <w:tr2bl w:val="nil"/>
            </w:tcBorders>
            <w:shd w:val="clear" w:color="auto" w:fill="auto"/>
            <w:vAlign w:val="center"/>
          </w:tcPr>
          <w:p w14:paraId="5FC733F7">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color w:val="auto"/>
                <w:kern w:val="0"/>
                <w:sz w:val="21"/>
                <w:szCs w:val="21"/>
                <w:lang w:val="en-US" w:eastAsia="zh-CN" w:bidi="ar"/>
              </w:rPr>
              <w:t>√</w:t>
            </w:r>
          </w:p>
        </w:tc>
        <w:tc>
          <w:tcPr>
            <w:tcW w:w="723" w:type="dxa"/>
            <w:tcBorders>
              <w:tl2br w:val="nil"/>
              <w:tr2bl w:val="nil"/>
            </w:tcBorders>
            <w:shd w:val="clear" w:color="auto" w:fill="auto"/>
            <w:vAlign w:val="center"/>
          </w:tcPr>
          <w:p w14:paraId="05231E9E">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0"/>
                <w:sz w:val="21"/>
                <w:szCs w:val="21"/>
                <w:lang w:val="en-US" w:eastAsia="zh-CN" w:bidi="ar"/>
              </w:rPr>
            </w:pPr>
          </w:p>
        </w:tc>
        <w:tc>
          <w:tcPr>
            <w:tcW w:w="774" w:type="dxa"/>
            <w:tcBorders>
              <w:tl2br w:val="nil"/>
              <w:tr2bl w:val="nil"/>
            </w:tcBorders>
            <w:shd w:val="clear" w:color="auto" w:fill="auto"/>
            <w:vAlign w:val="center"/>
          </w:tcPr>
          <w:p w14:paraId="30AEBEB5">
            <w:pPr>
              <w:pStyle w:val="38"/>
              <w:keepNext w:val="0"/>
              <w:keepLines w:val="0"/>
              <w:widowControl/>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kern w:val="2"/>
                <w:sz w:val="21"/>
                <w:szCs w:val="21"/>
              </w:rPr>
            </w:pPr>
          </w:p>
        </w:tc>
        <w:tc>
          <w:tcPr>
            <w:tcW w:w="774" w:type="dxa"/>
            <w:tcBorders>
              <w:tl2br w:val="nil"/>
              <w:tr2bl w:val="nil"/>
            </w:tcBorders>
            <w:shd w:val="clear" w:color="auto" w:fill="auto"/>
            <w:vAlign w:val="center"/>
          </w:tcPr>
          <w:p w14:paraId="6FAEC276">
            <w:pPr>
              <w:pStyle w:val="38"/>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w:t>
            </w:r>
          </w:p>
        </w:tc>
      </w:tr>
    </w:tbl>
    <w:p w14:paraId="3D37FCDD">
      <w:pPr>
        <w:pStyle w:val="4"/>
        <w:spacing w:line="360" w:lineRule="auto"/>
        <w:jc w:val="both"/>
        <w:rPr>
          <w:rFonts w:hint="default" w:ascii="Times New Roman" w:hAnsi="Times New Roman" w:cs="Times New Roman"/>
          <w:color w:val="auto"/>
        </w:rPr>
      </w:pPr>
      <w:bookmarkStart w:id="674" w:name="_Toc2947"/>
      <w:r>
        <w:rPr>
          <w:rFonts w:hint="default" w:ascii="Times New Roman" w:hAnsi="Times New Roman" w:cs="Times New Roman"/>
          <w:color w:val="auto"/>
        </w:rPr>
        <w:t>F3.3重点监管的危险化工工艺辨识</w:t>
      </w:r>
      <w:bookmarkEnd w:id="654"/>
      <w:bookmarkEnd w:id="655"/>
      <w:bookmarkEnd w:id="674"/>
    </w:p>
    <w:p w14:paraId="7BB6DEE5">
      <w:pPr>
        <w:spacing w:line="360" w:lineRule="auto"/>
        <w:ind w:firstLine="560"/>
        <w:rPr>
          <w:color w:val="auto"/>
        </w:rPr>
      </w:pPr>
      <w:r>
        <w:rPr>
          <w:rFonts w:hint="default" w:ascii="Times New Roman" w:hAnsi="Times New Roman" w:cs="Times New Roman"/>
          <w:color w:val="auto"/>
        </w:rPr>
        <w:t>根据《重点监管危险化工工艺目录（2013年完整版）》的要求，化工企业要按照《重点监管危险化工工艺目录（2013年完整版）》、《首批重点监管的危险化工工艺安全控制要求、重点监控参数及推荐的控制方案》、《第</w:t>
      </w:r>
      <w:r>
        <w:rPr>
          <w:color w:val="auto"/>
        </w:rPr>
        <w:t>二批重点监管危险化工工艺重点监控参数、安全控制基本要求及推荐的控制方案》、《调整的首批重点监管危险化工工艺中的部分典型工艺》要求，</w:t>
      </w:r>
      <w:r>
        <w:rPr>
          <w:rFonts w:hint="eastAsia"/>
          <w:color w:val="auto"/>
        </w:rPr>
        <w:t>辨识结果为：</w:t>
      </w:r>
    </w:p>
    <w:p w14:paraId="5E8EEB94">
      <w:pPr>
        <w:spacing w:line="360" w:lineRule="auto"/>
        <w:ind w:firstLine="560"/>
        <w:rPr>
          <w:color w:val="auto"/>
        </w:rPr>
      </w:pPr>
      <w:r>
        <w:rPr>
          <w:rFonts w:hint="eastAsia"/>
          <w:color w:val="auto"/>
        </w:rPr>
        <w:t>该加油站</w:t>
      </w:r>
      <w:r>
        <w:rPr>
          <w:color w:val="auto"/>
        </w:rPr>
        <w:t>储罐区、加油区工艺流程较简单，采用目前国内常用的储运工艺，主要是油料的装卸、输送、储存，不涉及化学反应生产过程</w:t>
      </w:r>
      <w:r>
        <w:rPr>
          <w:rFonts w:hint="eastAsia"/>
          <w:color w:val="auto"/>
          <w:lang w:eastAsia="zh-CN"/>
        </w:rPr>
        <w:t>，</w:t>
      </w:r>
      <w:r>
        <w:rPr>
          <w:color w:val="auto"/>
        </w:rPr>
        <w:t>不属于《重点监管危险化工工艺目录（</w:t>
      </w:r>
      <w:r>
        <w:rPr>
          <w:rFonts w:ascii="Times New Roman" w:hAnsi="Times New Roman"/>
          <w:color w:val="auto"/>
        </w:rPr>
        <w:t>2013</w:t>
      </w:r>
      <w:r>
        <w:rPr>
          <w:color w:val="auto"/>
        </w:rPr>
        <w:t>年完整版）》中重点监管的危险化工工艺。</w:t>
      </w:r>
    </w:p>
    <w:p w14:paraId="31D56AE2">
      <w:pPr>
        <w:pStyle w:val="4"/>
        <w:spacing w:line="360" w:lineRule="auto"/>
        <w:jc w:val="both"/>
        <w:rPr>
          <w:rFonts w:hint="default" w:ascii="Times New Roman" w:hAnsi="Times New Roman" w:cs="Times New Roman"/>
          <w:color w:val="auto"/>
        </w:rPr>
      </w:pPr>
      <w:bookmarkStart w:id="675" w:name="_Toc4883"/>
      <w:bookmarkStart w:id="676" w:name="_Toc8463"/>
      <w:bookmarkStart w:id="677" w:name="_Toc20514"/>
      <w:r>
        <w:rPr>
          <w:rFonts w:hint="default" w:ascii="Times New Roman" w:hAnsi="Times New Roman" w:cs="Times New Roman"/>
          <w:color w:val="auto"/>
        </w:rPr>
        <w:t>F3.4重大危险源</w:t>
      </w:r>
      <w:bookmarkEnd w:id="656"/>
      <w:bookmarkEnd w:id="657"/>
      <w:bookmarkEnd w:id="658"/>
      <w:bookmarkEnd w:id="659"/>
      <w:bookmarkEnd w:id="660"/>
      <w:bookmarkEnd w:id="661"/>
      <w:bookmarkEnd w:id="662"/>
      <w:bookmarkEnd w:id="663"/>
      <w:bookmarkEnd w:id="664"/>
      <w:bookmarkEnd w:id="665"/>
      <w:bookmarkEnd w:id="666"/>
      <w:bookmarkEnd w:id="667"/>
      <w:bookmarkEnd w:id="668"/>
      <w:r>
        <w:rPr>
          <w:rFonts w:hint="default" w:ascii="Times New Roman" w:hAnsi="Times New Roman" w:cs="Times New Roman"/>
          <w:color w:val="auto"/>
        </w:rPr>
        <w:t>辨识</w:t>
      </w:r>
      <w:bookmarkEnd w:id="669"/>
      <w:bookmarkEnd w:id="670"/>
      <w:bookmarkEnd w:id="671"/>
      <w:bookmarkEnd w:id="672"/>
      <w:bookmarkEnd w:id="673"/>
      <w:bookmarkEnd w:id="675"/>
      <w:bookmarkEnd w:id="676"/>
      <w:bookmarkEnd w:id="677"/>
    </w:p>
    <w:p w14:paraId="08B55AA0">
      <w:pPr>
        <w:widowControl w:val="0"/>
        <w:spacing w:line="360" w:lineRule="auto"/>
        <w:ind w:firstLine="560"/>
        <w:textAlignment w:val="baseline"/>
        <w:rPr>
          <w:color w:val="auto"/>
          <w:szCs w:val="28"/>
        </w:rPr>
      </w:pPr>
      <w:bookmarkStart w:id="678" w:name="_Toc29256768"/>
      <w:bookmarkStart w:id="679" w:name="_Toc152409648"/>
      <w:bookmarkStart w:id="680" w:name="_Toc173911973"/>
      <w:bookmarkStart w:id="681" w:name="_Toc223419443"/>
      <w:r>
        <w:rPr>
          <w:color w:val="auto"/>
          <w:szCs w:val="28"/>
        </w:rPr>
        <w:t>（</w:t>
      </w:r>
      <w:r>
        <w:rPr>
          <w:rFonts w:ascii="Times New Roman" w:hAnsi="Times New Roman"/>
          <w:color w:val="auto"/>
          <w:szCs w:val="28"/>
        </w:rPr>
        <w:t>1</w:t>
      </w:r>
      <w:r>
        <w:rPr>
          <w:color w:val="auto"/>
          <w:szCs w:val="28"/>
        </w:rPr>
        <w:t>）根据《危险化学品重大危险源辨识》（</w:t>
      </w:r>
      <w:r>
        <w:rPr>
          <w:rFonts w:ascii="Times New Roman" w:hAnsi="Times New Roman"/>
          <w:color w:val="auto"/>
          <w:szCs w:val="28"/>
        </w:rPr>
        <w:t>GB18218</w:t>
      </w:r>
      <w:r>
        <w:rPr>
          <w:color w:val="auto"/>
          <w:szCs w:val="28"/>
        </w:rPr>
        <w:t>-</w:t>
      </w:r>
      <w:r>
        <w:rPr>
          <w:rFonts w:ascii="Times New Roman" w:hAnsi="Times New Roman"/>
          <w:color w:val="auto"/>
          <w:szCs w:val="28"/>
        </w:rPr>
        <w:t>2018</w:t>
      </w:r>
      <w:r>
        <w:rPr>
          <w:color w:val="auto"/>
          <w:szCs w:val="28"/>
        </w:rPr>
        <w:t>）</w:t>
      </w:r>
    </w:p>
    <w:p w14:paraId="7DFD97B8">
      <w:pPr>
        <w:widowControl w:val="0"/>
        <w:spacing w:line="360" w:lineRule="auto"/>
        <w:ind w:firstLine="560"/>
        <w:textAlignment w:val="baseline"/>
        <w:rPr>
          <w:color w:val="auto"/>
          <w:kern w:val="0"/>
          <w:szCs w:val="28"/>
        </w:rPr>
      </w:pPr>
      <w:r>
        <w:rPr>
          <w:rFonts w:ascii="Times New Roman" w:hAnsi="Times New Roman"/>
          <w:color w:val="auto"/>
          <w:kern w:val="0"/>
          <w:szCs w:val="28"/>
        </w:rPr>
        <w:t>1</w:t>
      </w:r>
      <w:r>
        <w:rPr>
          <w:color w:val="auto"/>
          <w:kern w:val="0"/>
          <w:szCs w:val="28"/>
        </w:rPr>
        <w:t>）生产单元、储存单元内存在危险化学品的数量等于或超过表１、表２规定的临界量，即被定为重大危险源。单元内存在的危险化学品的数量根据处理危险化学品种类的多少区分为以下两种情况：</w:t>
      </w:r>
    </w:p>
    <w:p w14:paraId="684A7A1A">
      <w:pPr>
        <w:spacing w:line="360" w:lineRule="auto"/>
        <w:ind w:firstLine="560"/>
        <w:rPr>
          <w:color w:val="auto"/>
          <w:kern w:val="0"/>
          <w:szCs w:val="28"/>
        </w:rPr>
      </w:pPr>
      <w:r>
        <w:rPr>
          <w:rFonts w:hint="eastAsia" w:ascii="Times New Roman" w:hAnsi="Times New Roman"/>
          <w:color w:val="auto"/>
          <w:kern w:val="0"/>
          <w:szCs w:val="28"/>
        </w:rPr>
        <w:t>a</w:t>
      </w:r>
      <w:r>
        <w:rPr>
          <w:color w:val="auto"/>
          <w:kern w:val="0"/>
          <w:szCs w:val="28"/>
        </w:rPr>
        <w:t>）生产单元、储存单元内存在的危险化学品为单一品种，则该危险化学品的数量即为单元内危险化学品的总量，若等于或超过相应的临界量，则定为重大危险源。</w:t>
      </w:r>
    </w:p>
    <w:p w14:paraId="382C59B6">
      <w:pPr>
        <w:spacing w:line="360" w:lineRule="auto"/>
        <w:ind w:firstLine="560"/>
        <w:rPr>
          <w:color w:val="auto"/>
          <w:kern w:val="0"/>
          <w:szCs w:val="28"/>
        </w:rPr>
      </w:pPr>
      <w:r>
        <w:rPr>
          <w:rFonts w:hint="eastAsia" w:ascii="Times New Roman" w:hAnsi="Times New Roman"/>
          <w:color w:val="auto"/>
          <w:kern w:val="0"/>
          <w:szCs w:val="28"/>
        </w:rPr>
        <w:t>b</w:t>
      </w:r>
      <w:r>
        <w:rPr>
          <w:rFonts w:hint="eastAsia"/>
          <w:color w:val="auto"/>
          <w:kern w:val="0"/>
          <w:szCs w:val="28"/>
        </w:rPr>
        <w:t>）</w:t>
      </w:r>
      <w:r>
        <w:rPr>
          <w:color w:val="auto"/>
          <w:kern w:val="0"/>
          <w:szCs w:val="28"/>
        </w:rPr>
        <w:t>生产单元、储存单元内存在的危险化学品为多品种时，则按式（１）计算，若满足式（１），则定为重大危险源：</w:t>
      </w:r>
    </w:p>
    <w:p w14:paraId="6BDDF46E">
      <w:pPr>
        <w:spacing w:line="360" w:lineRule="auto"/>
        <w:ind w:firstLine="560"/>
        <w:rPr>
          <w:color w:val="auto"/>
          <w:kern w:val="0"/>
          <w:szCs w:val="28"/>
        </w:rPr>
      </w:pPr>
      <w:r>
        <w:rPr>
          <w:rFonts w:ascii="Times New Roman" w:hAnsi="Times New Roman"/>
          <w:color w:val="auto"/>
          <w:kern w:val="0"/>
          <w:szCs w:val="28"/>
        </w:rPr>
        <w:t>S</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1</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1</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2</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2</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n</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n</w:t>
      </w:r>
      <w:r>
        <w:rPr>
          <w:rFonts w:hint="eastAsia" w:ascii="宋体" w:hAnsi="宋体" w:cs="宋体"/>
          <w:color w:val="auto"/>
          <w:kern w:val="0"/>
          <w:szCs w:val="28"/>
        </w:rPr>
        <w:t>≧</w:t>
      </w:r>
      <w:r>
        <w:rPr>
          <w:rFonts w:ascii="Times New Roman" w:hAnsi="Times New Roman"/>
          <w:color w:val="auto"/>
          <w:kern w:val="0"/>
          <w:szCs w:val="28"/>
        </w:rPr>
        <w:t>1</w:t>
      </w:r>
      <w:r>
        <w:rPr>
          <w:color w:val="auto"/>
          <w:kern w:val="0"/>
          <w:szCs w:val="28"/>
        </w:rPr>
        <w:t>………………………………（１）</w:t>
      </w:r>
    </w:p>
    <w:p w14:paraId="66CA63AA">
      <w:pPr>
        <w:keepNext w:val="0"/>
        <w:keepLines w:val="0"/>
        <w:pageBreakBefore w:val="0"/>
        <w:kinsoku/>
        <w:wordWrap/>
        <w:overflowPunct/>
        <w:topLinePunct w:val="0"/>
        <w:autoSpaceDE/>
        <w:autoSpaceDN/>
        <w:bidi w:val="0"/>
        <w:snapToGrid w:val="0"/>
        <w:spacing w:line="360" w:lineRule="auto"/>
        <w:ind w:firstLine="560"/>
        <w:rPr>
          <w:color w:val="auto"/>
          <w:kern w:val="0"/>
          <w:szCs w:val="28"/>
        </w:rPr>
      </w:pPr>
      <w:r>
        <w:rPr>
          <w:color w:val="auto"/>
          <w:kern w:val="0"/>
          <w:szCs w:val="28"/>
        </w:rPr>
        <w:t>式中：</w:t>
      </w:r>
    </w:p>
    <w:p w14:paraId="1CE5C912">
      <w:pPr>
        <w:keepNext w:val="0"/>
        <w:keepLines w:val="0"/>
        <w:pageBreakBefore w:val="0"/>
        <w:kinsoku/>
        <w:wordWrap/>
        <w:overflowPunct/>
        <w:topLinePunct w:val="0"/>
        <w:autoSpaceDE/>
        <w:autoSpaceDN/>
        <w:bidi w:val="0"/>
        <w:snapToGrid w:val="0"/>
        <w:spacing w:line="360" w:lineRule="auto"/>
        <w:ind w:firstLine="560"/>
        <w:rPr>
          <w:color w:val="auto"/>
          <w:kern w:val="0"/>
          <w:szCs w:val="28"/>
        </w:rPr>
      </w:pPr>
      <w:r>
        <w:rPr>
          <w:rFonts w:ascii="Times New Roman" w:hAnsi="Times New Roman"/>
          <w:color w:val="auto"/>
          <w:kern w:val="0"/>
          <w:szCs w:val="28"/>
        </w:rPr>
        <w:t>q</w:t>
      </w:r>
      <w:r>
        <w:rPr>
          <w:rFonts w:ascii="Times New Roman" w:hAnsi="Times New Roman"/>
          <w:color w:val="auto"/>
          <w:kern w:val="0"/>
          <w:szCs w:val="28"/>
          <w:vertAlign w:val="subscript"/>
        </w:rPr>
        <w:t>1</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2</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n</w:t>
      </w:r>
      <w:r>
        <w:rPr>
          <w:color w:val="auto"/>
          <w:kern w:val="0"/>
          <w:szCs w:val="28"/>
        </w:rPr>
        <w:t>———每种危险化学品实际存在量，单位为吨（ｔ）；</w:t>
      </w:r>
    </w:p>
    <w:p w14:paraId="042160F1">
      <w:pPr>
        <w:keepNext w:val="0"/>
        <w:keepLines w:val="0"/>
        <w:pageBreakBefore w:val="0"/>
        <w:kinsoku/>
        <w:wordWrap/>
        <w:overflowPunct/>
        <w:topLinePunct w:val="0"/>
        <w:autoSpaceDE/>
        <w:autoSpaceDN/>
        <w:bidi w:val="0"/>
        <w:snapToGrid w:val="0"/>
        <w:spacing w:line="360" w:lineRule="auto"/>
        <w:ind w:firstLine="560"/>
        <w:rPr>
          <w:color w:val="auto"/>
          <w:kern w:val="0"/>
          <w:szCs w:val="28"/>
        </w:rPr>
      </w:pPr>
      <w:r>
        <w:rPr>
          <w:rFonts w:ascii="Times New Roman" w:hAnsi="Times New Roman"/>
          <w:color w:val="auto"/>
          <w:kern w:val="0"/>
          <w:szCs w:val="28"/>
        </w:rPr>
        <w:t>Q</w:t>
      </w:r>
      <w:r>
        <w:rPr>
          <w:rFonts w:ascii="Times New Roman" w:hAnsi="Times New Roman"/>
          <w:color w:val="auto"/>
          <w:kern w:val="0"/>
          <w:szCs w:val="28"/>
          <w:vertAlign w:val="subscript"/>
        </w:rPr>
        <w:t>1</w:t>
      </w:r>
      <w:r>
        <w:rPr>
          <w:color w:val="auto"/>
          <w:kern w:val="0"/>
          <w:szCs w:val="28"/>
        </w:rPr>
        <w:t>，</w:t>
      </w:r>
      <w:r>
        <w:rPr>
          <w:rFonts w:ascii="Times New Roman" w:hAnsi="Times New Roman"/>
          <w:color w:val="auto"/>
          <w:kern w:val="0"/>
          <w:szCs w:val="28"/>
        </w:rPr>
        <w:t>Q</w:t>
      </w:r>
      <w:r>
        <w:rPr>
          <w:color w:val="auto"/>
          <w:kern w:val="0"/>
          <w:szCs w:val="28"/>
          <w:vertAlign w:val="subscript"/>
        </w:rPr>
        <w:t>２</w:t>
      </w:r>
      <w:r>
        <w:rPr>
          <w:color w:val="auto"/>
          <w:kern w:val="0"/>
          <w:szCs w:val="28"/>
        </w:rPr>
        <w:t>，…，</w:t>
      </w:r>
      <w:r>
        <w:rPr>
          <w:rFonts w:ascii="Times New Roman" w:hAnsi="Times New Roman"/>
          <w:color w:val="auto"/>
          <w:kern w:val="0"/>
          <w:szCs w:val="28"/>
        </w:rPr>
        <w:t>Q</w:t>
      </w:r>
      <w:r>
        <w:rPr>
          <w:rFonts w:ascii="Times New Roman" w:hAnsi="Times New Roman"/>
          <w:color w:val="auto"/>
          <w:kern w:val="0"/>
          <w:szCs w:val="28"/>
          <w:vertAlign w:val="subscript"/>
        </w:rPr>
        <w:t>n</w:t>
      </w:r>
      <w:r>
        <w:rPr>
          <w:color w:val="auto"/>
          <w:kern w:val="0"/>
          <w:szCs w:val="28"/>
        </w:rPr>
        <w:t>———与各危险化学品相对应的临界量，单位为吨（ｔ）。</w:t>
      </w:r>
    </w:p>
    <w:p w14:paraId="764584E0">
      <w:pPr>
        <w:keepNext w:val="0"/>
        <w:keepLines w:val="0"/>
        <w:pageBreakBefore w:val="0"/>
        <w:widowControl w:val="0"/>
        <w:kinsoku/>
        <w:wordWrap/>
        <w:overflowPunct/>
        <w:topLinePunct w:val="0"/>
        <w:autoSpaceDE/>
        <w:autoSpaceDN/>
        <w:bidi w:val="0"/>
        <w:snapToGrid w:val="0"/>
        <w:spacing w:line="360" w:lineRule="auto"/>
        <w:ind w:firstLine="557" w:firstLineChars="199"/>
        <w:textAlignment w:val="baseline"/>
        <w:rPr>
          <w:color w:val="auto"/>
          <w:szCs w:val="28"/>
        </w:rPr>
      </w:pPr>
      <w:r>
        <w:rPr>
          <w:rFonts w:ascii="Times New Roman" w:hAnsi="Times New Roman"/>
          <w:color w:val="auto"/>
          <w:szCs w:val="28"/>
        </w:rPr>
        <w:t>2</w:t>
      </w:r>
      <w:r>
        <w:rPr>
          <w:color w:val="auto"/>
          <w:szCs w:val="28"/>
        </w:rPr>
        <w:t>）危险化学品储罐以及容器、设备或仓储区的危险化学品的实际存在量按设计最大量确定。</w:t>
      </w:r>
    </w:p>
    <w:p w14:paraId="60D1BEDA">
      <w:pPr>
        <w:keepNext w:val="0"/>
        <w:keepLines w:val="0"/>
        <w:pageBreakBefore w:val="0"/>
        <w:widowControl w:val="0"/>
        <w:suppressAutoHyphens/>
        <w:kinsoku/>
        <w:wordWrap/>
        <w:overflowPunct/>
        <w:topLinePunct w:val="0"/>
        <w:autoSpaceDE/>
        <w:autoSpaceDN/>
        <w:bidi w:val="0"/>
        <w:adjustRightInd w:val="0"/>
        <w:snapToGrid w:val="0"/>
        <w:spacing w:line="360" w:lineRule="auto"/>
        <w:ind w:firstLine="560"/>
        <w:textAlignment w:val="center"/>
        <w:rPr>
          <w:color w:val="auto"/>
          <w:szCs w:val="28"/>
        </w:rPr>
      </w:pPr>
      <w:r>
        <w:rPr>
          <w:rFonts w:ascii="Times New Roman" w:hAnsi="Times New Roman"/>
          <w:color w:val="auto"/>
          <w:szCs w:val="28"/>
        </w:rPr>
        <w:t>3</w:t>
      </w:r>
      <w:r>
        <w:rPr>
          <w:color w:val="auto"/>
          <w:szCs w:val="28"/>
        </w:rPr>
        <w:t>）对于危险化学品混合物，如果混合物与其纯物质属于相同危险类别，则视混合物为纯物质，按混合物整体进行计算，如果混合物与其物质不属于相同危险类别，则按新危险类别考虑其临界量。</w:t>
      </w:r>
    </w:p>
    <w:p w14:paraId="2E18BF91">
      <w:pPr>
        <w:keepNext w:val="0"/>
        <w:keepLines w:val="0"/>
        <w:pageBreakBefore w:val="0"/>
        <w:widowControl w:val="0"/>
        <w:kinsoku/>
        <w:wordWrap/>
        <w:overflowPunct/>
        <w:topLinePunct w:val="0"/>
        <w:autoSpaceDE/>
        <w:autoSpaceDN/>
        <w:bidi w:val="0"/>
        <w:adjustRightInd/>
        <w:snapToGrid w:val="0"/>
        <w:spacing w:line="360" w:lineRule="auto"/>
        <w:ind w:firstLine="562"/>
        <w:textAlignment w:val="auto"/>
        <w:rPr>
          <w:b/>
          <w:color w:val="auto"/>
          <w:szCs w:val="28"/>
        </w:rPr>
      </w:pPr>
      <w:r>
        <w:rPr>
          <w:b/>
          <w:color w:val="auto"/>
          <w:szCs w:val="28"/>
        </w:rPr>
        <w:t>（</w:t>
      </w:r>
      <w:r>
        <w:rPr>
          <w:rFonts w:ascii="Times New Roman" w:hAnsi="Times New Roman"/>
          <w:b/>
          <w:color w:val="auto"/>
          <w:szCs w:val="28"/>
        </w:rPr>
        <w:t>2</w:t>
      </w:r>
      <w:r>
        <w:rPr>
          <w:b/>
          <w:color w:val="auto"/>
          <w:szCs w:val="28"/>
        </w:rPr>
        <w:t>）重大危险源的辨识及计算</w:t>
      </w:r>
    </w:p>
    <w:p w14:paraId="3F813BBF">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1）辨识</w:t>
      </w:r>
    </w:p>
    <w:p w14:paraId="4A733DB0">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根据《危险化学品重大危险源辨识》GB18218-2018，加油站储存的汽油属于辨识范围，汽油属于易燃液体，汽油闪点为低闪点-46℃，其单元临界量为200t。</w:t>
      </w:r>
    </w:p>
    <w:p w14:paraId="0BE8A1C3">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2）单元划分</w:t>
      </w:r>
    </w:p>
    <w:p w14:paraId="2A196C00">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rFonts w:hint="default" w:ascii="Times New Roman" w:hAnsi="Times New Roman" w:cs="Times New Roman"/>
          <w:color w:val="auto"/>
          <w:szCs w:val="28"/>
        </w:rPr>
      </w:pPr>
      <w:r>
        <w:rPr>
          <w:rFonts w:hint="default" w:ascii="Times New Roman" w:hAnsi="Times New Roman" w:cs="Times New Roman"/>
          <w:color w:val="auto"/>
          <w:szCs w:val="28"/>
        </w:rPr>
        <w:t>依据《危险化学品重大危险源</w:t>
      </w:r>
      <w:r>
        <w:rPr>
          <w:rFonts w:hint="eastAsia" w:ascii="Times New Roman" w:hAnsi="Times New Roman" w:cs="Times New Roman"/>
          <w:color w:val="auto"/>
          <w:szCs w:val="28"/>
          <w:lang w:eastAsia="zh-CN"/>
        </w:rPr>
        <w:t>辨识</w:t>
      </w:r>
      <w:r>
        <w:rPr>
          <w:rFonts w:hint="default" w:ascii="Times New Roman" w:hAnsi="Times New Roman" w:cs="Times New Roman"/>
          <w:color w:val="auto"/>
          <w:szCs w:val="28"/>
        </w:rPr>
        <w:t>》（GB18218-2018）规定，根据该加油站布置的实际，将加油机及其管道生产单元和储油罐单元划分为综合单元进行辨识</w:t>
      </w:r>
      <w:r>
        <w:rPr>
          <w:rFonts w:hint="eastAsia" w:cs="Times New Roman"/>
          <w:color w:val="auto"/>
          <w:szCs w:val="28"/>
          <w:lang w:eastAsia="zh-CN"/>
        </w:rPr>
        <w:t>，</w:t>
      </w:r>
      <w:r>
        <w:rPr>
          <w:rFonts w:hint="default" w:ascii="Times New Roman" w:hAnsi="Times New Roman" w:cs="Times New Roman"/>
          <w:color w:val="auto"/>
          <w:szCs w:val="28"/>
        </w:rPr>
        <w:t>将加油机及其管道划分为生产单元，储油罐划分为储存单元。</w:t>
      </w:r>
    </w:p>
    <w:p w14:paraId="41E61CC1">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8"/>
        </w:rPr>
      </w:pPr>
      <w:r>
        <w:rPr>
          <w:rFonts w:ascii="Times New Roman" w:hAnsi="Times New Roman"/>
          <w:color w:val="auto"/>
          <w:szCs w:val="28"/>
        </w:rPr>
        <w:t>3</w:t>
      </w:r>
      <w:r>
        <w:rPr>
          <w:color w:val="auto"/>
          <w:szCs w:val="28"/>
        </w:rPr>
        <w:t>）</w:t>
      </w:r>
      <w:r>
        <w:rPr>
          <w:rFonts w:hint="eastAsia"/>
          <w:color w:val="auto"/>
          <w:szCs w:val="28"/>
          <w:lang w:val="en-US" w:eastAsia="zh-CN"/>
        </w:rPr>
        <w:t>综合</w:t>
      </w:r>
      <w:r>
        <w:rPr>
          <w:color w:val="auto"/>
          <w:szCs w:val="28"/>
        </w:rPr>
        <w:t>计算</w:t>
      </w:r>
    </w:p>
    <w:p w14:paraId="1517A91C">
      <w:pPr>
        <w:keepNext w:val="0"/>
        <w:keepLines w:val="0"/>
        <w:pageBreakBefore w:val="0"/>
        <w:widowControl w:val="0"/>
        <w:kinsoku/>
        <w:wordWrap/>
        <w:overflowPunct/>
        <w:topLinePunct w:val="0"/>
        <w:autoSpaceDE/>
        <w:autoSpaceDN/>
        <w:bidi w:val="0"/>
        <w:adjustRightInd/>
        <w:snapToGrid w:val="0"/>
        <w:spacing w:line="360" w:lineRule="auto"/>
        <w:ind w:firstLine="562"/>
        <w:textAlignment w:val="auto"/>
        <w:rPr>
          <w:rFonts w:ascii="黑体" w:hAnsi="黑体" w:eastAsia="黑体"/>
          <w:b/>
          <w:color w:val="auto"/>
          <w:szCs w:val="28"/>
        </w:rPr>
      </w:pPr>
      <w:r>
        <w:rPr>
          <w:rFonts w:ascii="黑体" w:hAnsi="黑体" w:eastAsia="黑体"/>
          <w:b/>
          <w:color w:val="auto"/>
          <w:szCs w:val="28"/>
        </w:rPr>
        <w:t>生产单元（加油区）：</w:t>
      </w:r>
    </w:p>
    <w:p w14:paraId="453D8324">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szCs w:val="28"/>
        </w:rPr>
      </w:pPr>
      <w:r>
        <w:rPr>
          <w:color w:val="auto"/>
          <w:szCs w:val="28"/>
        </w:rPr>
        <w:t>加油站有汽油加油枪</w:t>
      </w:r>
      <w:r>
        <w:rPr>
          <w:rFonts w:hint="eastAsia"/>
          <w:color w:val="auto"/>
          <w:szCs w:val="28"/>
          <w:lang w:val="en-US" w:eastAsia="zh-CN"/>
        </w:rPr>
        <w:t>8</w:t>
      </w:r>
      <w:r>
        <w:rPr>
          <w:color w:val="auto"/>
          <w:szCs w:val="28"/>
        </w:rPr>
        <w:t>支，加油机本身不储存油，仅加油枪及其管道内存有少量油，其加油枪为潜油泵枪，只有管道内少量的油品，总含量不足</w:t>
      </w:r>
      <w:r>
        <w:rPr>
          <w:rFonts w:ascii="Times New Roman" w:hAnsi="Times New Roman"/>
          <w:color w:val="auto"/>
          <w:szCs w:val="28"/>
        </w:rPr>
        <w:t>0</w:t>
      </w:r>
      <w:r>
        <w:rPr>
          <w:color w:val="auto"/>
          <w:szCs w:val="28"/>
        </w:rPr>
        <w:t>.</w:t>
      </w:r>
      <w:r>
        <w:rPr>
          <w:rFonts w:ascii="Times New Roman" w:hAnsi="Times New Roman"/>
          <w:color w:val="auto"/>
          <w:szCs w:val="28"/>
        </w:rPr>
        <w:t>1t</w:t>
      </w:r>
      <w:r>
        <w:rPr>
          <w:rFonts w:hint="eastAsia"/>
          <w:color w:val="auto"/>
          <w:szCs w:val="28"/>
          <w:lang w:eastAsia="zh-CN"/>
        </w:rPr>
        <w:t>。</w:t>
      </w:r>
      <w:r>
        <w:rPr>
          <w:color w:val="auto"/>
          <w:szCs w:val="28"/>
        </w:rPr>
        <w:t>按每台加油机加油枪同时对车辆加油作业，按每</w:t>
      </w:r>
      <w:r>
        <w:rPr>
          <w:rFonts w:hint="eastAsia"/>
          <w:color w:val="auto"/>
          <w:szCs w:val="28"/>
          <w:lang w:eastAsia="zh-CN"/>
        </w:rPr>
        <w:t>辆</w:t>
      </w:r>
      <w:r>
        <w:rPr>
          <w:color w:val="auto"/>
          <w:szCs w:val="28"/>
        </w:rPr>
        <w:t>小型汽车的油箱为</w:t>
      </w:r>
      <w:r>
        <w:rPr>
          <w:rFonts w:ascii="Times New Roman" w:hAnsi="Times New Roman"/>
          <w:color w:val="auto"/>
          <w:szCs w:val="28"/>
        </w:rPr>
        <w:t>55L</w:t>
      </w:r>
      <w:r>
        <w:rPr>
          <w:color w:val="auto"/>
          <w:szCs w:val="28"/>
        </w:rPr>
        <w:t>计，</w:t>
      </w:r>
      <w:r>
        <w:rPr>
          <w:rFonts w:hint="eastAsia"/>
          <w:color w:val="auto"/>
          <w:szCs w:val="28"/>
          <w:lang w:val="en-US" w:eastAsia="zh-CN"/>
        </w:rPr>
        <w:t>8</w:t>
      </w:r>
      <w:r>
        <w:rPr>
          <w:color w:val="auto"/>
          <w:szCs w:val="28"/>
        </w:rPr>
        <w:t>支汽油枪</w:t>
      </w:r>
      <w:r>
        <w:rPr>
          <w:rFonts w:ascii="Times New Roman" w:hAnsi="Times New Roman"/>
          <w:color w:val="auto"/>
          <w:szCs w:val="28"/>
        </w:rPr>
        <w:t>0</w:t>
      </w:r>
      <w:r>
        <w:rPr>
          <w:color w:val="auto"/>
          <w:szCs w:val="28"/>
        </w:rPr>
        <w:t>.</w:t>
      </w:r>
      <w:r>
        <w:rPr>
          <w:rFonts w:ascii="Times New Roman" w:hAnsi="Times New Roman"/>
          <w:color w:val="auto"/>
          <w:szCs w:val="28"/>
        </w:rPr>
        <w:t>055</w:t>
      </w:r>
      <w:r>
        <w:rPr>
          <w:color w:val="auto"/>
          <w:szCs w:val="28"/>
        </w:rPr>
        <w:t>×</w:t>
      </w:r>
      <w:r>
        <w:rPr>
          <w:rFonts w:ascii="Times New Roman" w:hAnsi="Times New Roman"/>
          <w:color w:val="auto"/>
          <w:szCs w:val="28"/>
        </w:rPr>
        <w:t>0</w:t>
      </w:r>
      <w:r>
        <w:rPr>
          <w:color w:val="auto"/>
          <w:szCs w:val="28"/>
        </w:rPr>
        <w:t>.</w:t>
      </w:r>
      <w:r>
        <w:rPr>
          <w:rFonts w:ascii="Times New Roman" w:hAnsi="Times New Roman"/>
          <w:color w:val="auto"/>
          <w:szCs w:val="28"/>
        </w:rPr>
        <w:t>75</w:t>
      </w:r>
      <w:r>
        <w:rPr>
          <w:color w:val="auto"/>
          <w:szCs w:val="28"/>
        </w:rPr>
        <w:t>×</w:t>
      </w:r>
      <w:r>
        <w:rPr>
          <w:rFonts w:hint="eastAsia"/>
          <w:color w:val="auto"/>
          <w:szCs w:val="28"/>
          <w:lang w:val="en-US" w:eastAsia="zh-CN"/>
        </w:rPr>
        <w:t>8</w:t>
      </w:r>
      <w:r>
        <w:rPr>
          <w:color w:val="auto"/>
          <w:szCs w:val="28"/>
        </w:rPr>
        <w:t>=</w:t>
      </w:r>
      <w:r>
        <w:rPr>
          <w:rFonts w:hint="eastAsia" w:ascii="Times New Roman" w:hAnsi="Times New Roman"/>
          <w:color w:val="auto"/>
          <w:szCs w:val="28"/>
        </w:rPr>
        <w:t>0</w:t>
      </w:r>
      <w:r>
        <w:rPr>
          <w:rFonts w:hint="eastAsia"/>
          <w:color w:val="auto"/>
          <w:szCs w:val="28"/>
        </w:rPr>
        <w:t>.</w:t>
      </w:r>
      <w:r>
        <w:rPr>
          <w:rFonts w:hint="eastAsia"/>
          <w:color w:val="auto"/>
          <w:szCs w:val="28"/>
          <w:lang w:val="en-US" w:eastAsia="zh-CN"/>
        </w:rPr>
        <w:t>33</w:t>
      </w:r>
      <w:r>
        <w:rPr>
          <w:rFonts w:ascii="Times New Roman" w:hAnsi="Times New Roman"/>
          <w:color w:val="auto"/>
          <w:szCs w:val="28"/>
        </w:rPr>
        <w:t>t</w:t>
      </w:r>
      <w:r>
        <w:rPr>
          <w:color w:val="auto"/>
          <w:szCs w:val="28"/>
        </w:rPr>
        <w:t>。</w:t>
      </w:r>
    </w:p>
    <w:p w14:paraId="2B7495EC">
      <w:pPr>
        <w:widowControl w:val="0"/>
        <w:spacing w:line="360" w:lineRule="auto"/>
        <w:ind w:firstLine="0" w:firstLineChars="0"/>
        <w:rPr>
          <w:rFonts w:hint="default" w:ascii="Times New Roman" w:hAnsi="Times New Roman" w:cs="Times New Roman"/>
          <w:color w:val="auto"/>
          <w:szCs w:val="28"/>
        </w:rPr>
      </w:pPr>
      <m:oMathPara>
        <m:oMath>
          <m:r>
            <m:rPr>
              <m:sty m:val="p"/>
            </m:rPr>
            <w:rPr>
              <w:rFonts w:hint="default" w:ascii="Cambria Math" w:hAnsi="Cambria Math" w:cs="Times New Roman"/>
              <w:color w:val="auto"/>
              <w:sz w:val="24"/>
              <w:szCs w:val="24"/>
            </w:rPr>
            <m:t>S=</m:t>
          </m:r>
          <m:f>
            <m:fPr>
              <m:ctrlPr>
                <w:rPr>
                  <w:rFonts w:hint="default" w:ascii="Cambria Math" w:hAnsi="Cambria Math" w:cs="Times New Roman"/>
                  <w:color w:val="auto"/>
                  <w:sz w:val="24"/>
                  <w:szCs w:val="24"/>
                </w:rPr>
              </m:ctrlPr>
            </m:fPr>
            <m:num>
              <m:sSub>
                <m:sSubPr>
                  <m:ctrlPr>
                    <w:rPr>
                      <w:rFonts w:hint="default" w:ascii="Cambria Math" w:hAnsi="Cambria Math" w:cs="Times New Roman"/>
                      <w:i/>
                      <w:color w:val="auto"/>
                      <w:sz w:val="24"/>
                      <w:szCs w:val="24"/>
                    </w:rPr>
                  </m:ctrlPr>
                </m:sSubPr>
                <m:e>
                  <m:r>
                    <m:rPr/>
                    <w:rPr>
                      <w:rFonts w:hint="default" w:ascii="Cambria Math" w:hAnsi="Cambria Math" w:cs="Times New Roman"/>
                      <w:color w:val="auto"/>
                      <w:sz w:val="24"/>
                      <w:szCs w:val="24"/>
                    </w:rPr>
                    <m:t>q</m:t>
                  </m:r>
                  <m:ctrlPr>
                    <w:rPr>
                      <w:rFonts w:hint="default" w:ascii="Cambria Math" w:hAnsi="Cambria Math" w:cs="Times New Roman"/>
                      <w:color w:val="auto"/>
                      <w:sz w:val="24"/>
                      <w:szCs w:val="24"/>
                    </w:rPr>
                  </m:ctrlPr>
                </m:e>
                <m:sub>
                  <m:r>
                    <m:rPr/>
                    <w:rPr>
                      <w:rFonts w:hint="default" w:ascii="Cambria Math" w:hAnsi="Cambria Math" w:cs="Times New Roman"/>
                      <w:color w:val="auto"/>
                      <w:sz w:val="24"/>
                      <w:szCs w:val="24"/>
                    </w:rPr>
                    <m:t>1</m:t>
                  </m:r>
                  <m:ctrlPr>
                    <w:rPr>
                      <w:rFonts w:hint="default" w:ascii="Cambria Math" w:hAnsi="Cambria Math" w:cs="Times New Roman"/>
                      <w:i/>
                      <w:color w:val="auto"/>
                      <w:sz w:val="24"/>
                      <w:szCs w:val="24"/>
                    </w:rPr>
                  </m:ctrlPr>
                </m:sub>
              </m:sSub>
              <m:ctrlPr>
                <w:rPr>
                  <w:rFonts w:hint="default" w:ascii="Cambria Math" w:hAnsi="Cambria Math" w:cs="Times New Roman"/>
                  <w:color w:val="auto"/>
                  <w:sz w:val="24"/>
                  <w:szCs w:val="24"/>
                </w:rPr>
              </m:ctrlPr>
            </m:num>
            <m:den>
              <m:sSub>
                <m:sSubPr>
                  <m:ctrlPr>
                    <w:rPr>
                      <w:rFonts w:hint="default" w:ascii="Cambria Math" w:hAnsi="Cambria Math" w:cs="Times New Roman"/>
                      <w:i/>
                      <w:color w:val="auto"/>
                      <w:sz w:val="24"/>
                      <w:szCs w:val="24"/>
                    </w:rPr>
                  </m:ctrlPr>
                </m:sSubPr>
                <m:e>
                  <m:r>
                    <m:rPr/>
                    <w:rPr>
                      <w:rFonts w:hint="default" w:ascii="Cambria Math" w:hAnsi="Cambria Math" w:cs="Times New Roman"/>
                      <w:color w:val="auto"/>
                      <w:sz w:val="24"/>
                      <w:szCs w:val="24"/>
                    </w:rPr>
                    <m:t>Q</m:t>
                  </m:r>
                  <m:ctrlPr>
                    <w:rPr>
                      <w:rFonts w:hint="default" w:ascii="Cambria Math" w:hAnsi="Cambria Math" w:cs="Times New Roman"/>
                      <w:color w:val="auto"/>
                      <w:sz w:val="24"/>
                      <w:szCs w:val="24"/>
                    </w:rPr>
                  </m:ctrlPr>
                </m:e>
                <m:sub>
                  <m:r>
                    <m:rPr/>
                    <w:rPr>
                      <w:rFonts w:hint="default" w:ascii="Cambria Math" w:hAnsi="Cambria Math" w:cs="Times New Roman"/>
                      <w:color w:val="auto"/>
                      <w:sz w:val="24"/>
                      <w:szCs w:val="24"/>
                    </w:rPr>
                    <m:t>1</m:t>
                  </m:r>
                  <m:ctrlPr>
                    <w:rPr>
                      <w:rFonts w:hint="default" w:ascii="Cambria Math" w:hAnsi="Cambria Math" w:cs="Times New Roman"/>
                      <w:i/>
                      <w:color w:val="auto"/>
                      <w:sz w:val="24"/>
                      <w:szCs w:val="24"/>
                    </w:rPr>
                  </m:ctrlPr>
                </m:sub>
              </m:sSub>
              <m:ctrlPr>
                <w:rPr>
                  <w:rFonts w:hint="default" w:ascii="Cambria Math" w:hAnsi="Cambria Math" w:cs="Times New Roman"/>
                  <w:color w:val="auto"/>
                  <w:sz w:val="24"/>
                  <w:szCs w:val="24"/>
                </w:rPr>
              </m:ctrlPr>
            </m:den>
          </m:f>
          <m:r>
            <m:rPr/>
            <w:rPr>
              <w:rFonts w:hint="default" w:ascii="Cambria Math" w:hAnsi="Cambria Math" w:cs="Times New Roman"/>
              <w:color w:val="auto"/>
              <w:sz w:val="24"/>
              <w:szCs w:val="24"/>
            </w:rPr>
            <m:t>=</m:t>
          </m:r>
          <m:f>
            <m:fPr>
              <m:ctrlPr>
                <w:rPr>
                  <w:rFonts w:hint="default" w:ascii="Cambria Math" w:hAnsi="Cambria Math" w:cs="Times New Roman"/>
                  <w:i/>
                  <w:color w:val="auto"/>
                  <w:sz w:val="24"/>
                  <w:szCs w:val="24"/>
                </w:rPr>
              </m:ctrlPr>
            </m:fPr>
            <m:num>
              <m:r>
                <m:rPr/>
                <w:rPr>
                  <w:rFonts w:hint="default" w:ascii="Cambria Math" w:hAnsi="Cambria Math" w:cs="Times New Roman"/>
                  <w:color w:val="auto"/>
                  <w:sz w:val="24"/>
                  <w:szCs w:val="24"/>
                  <w:lang w:val="en-US" w:eastAsia="zh-CN"/>
                </w:rPr>
                <m:t>0.33+0.1</m:t>
              </m:r>
              <m:ctrlPr>
                <w:rPr>
                  <w:rFonts w:hint="default" w:ascii="Cambria Math" w:hAnsi="Cambria Math" w:cs="Times New Roman"/>
                  <w:i/>
                  <w:color w:val="auto"/>
                  <w:sz w:val="24"/>
                  <w:szCs w:val="24"/>
                </w:rPr>
              </m:ctrlPr>
            </m:num>
            <m:den>
              <m:r>
                <m:rPr/>
                <w:rPr>
                  <w:rFonts w:hint="default" w:ascii="Cambria Math" w:hAnsi="Cambria Math" w:cs="Times New Roman"/>
                  <w:color w:val="auto"/>
                  <w:sz w:val="24"/>
                  <w:szCs w:val="24"/>
                </w:rPr>
                <m:t>200</m:t>
              </m:r>
              <m:ctrlPr>
                <w:rPr>
                  <w:rFonts w:hint="default" w:ascii="Cambria Math" w:hAnsi="Cambria Math" w:cs="Times New Roman"/>
                  <w:i/>
                  <w:color w:val="auto"/>
                  <w:sz w:val="24"/>
                  <w:szCs w:val="24"/>
                </w:rPr>
              </m:ctrlPr>
            </m:den>
          </m:f>
          <m:r>
            <m:rPr/>
            <w:rPr>
              <w:rFonts w:hint="default" w:ascii="Cambria Math" w:hAnsi="Cambria Math" w:cs="Times New Roman"/>
              <w:color w:val="auto"/>
              <w:sz w:val="24"/>
              <w:szCs w:val="24"/>
            </w:rPr>
            <m:t>=</m:t>
          </m:r>
          <m:r>
            <m:rPr/>
            <w:rPr>
              <w:rFonts w:hint="default" w:ascii="Cambria Math" w:hAnsi="Cambria Math" w:cs="Times New Roman"/>
              <w:color w:val="auto"/>
              <w:sz w:val="24"/>
              <w:szCs w:val="24"/>
              <w:lang w:val="en-US" w:eastAsia="zh-CN"/>
            </w:rPr>
            <m:t>0.00215</m:t>
          </m:r>
          <m:r>
            <m:rPr/>
            <w:rPr>
              <w:rFonts w:hint="default" w:ascii="Cambria Math" w:hAnsi="Cambria Math" w:cs="Times New Roman"/>
              <w:color w:val="auto"/>
              <w:sz w:val="24"/>
              <w:szCs w:val="24"/>
            </w:rPr>
            <m:t>&lt;1</m:t>
          </m:r>
        </m:oMath>
      </m:oMathPara>
    </w:p>
    <w:p w14:paraId="4843E564">
      <w:pPr>
        <w:widowControl w:val="0"/>
        <w:spacing w:line="360" w:lineRule="auto"/>
        <w:ind w:firstLine="562"/>
        <w:rPr>
          <w:rFonts w:ascii="黑体" w:hAnsi="黑体" w:eastAsia="黑体"/>
          <w:b/>
          <w:color w:val="auto"/>
          <w:szCs w:val="28"/>
        </w:rPr>
      </w:pPr>
      <w:r>
        <w:rPr>
          <w:rFonts w:ascii="黑体" w:hAnsi="黑体" w:eastAsia="黑体"/>
          <w:b/>
          <w:color w:val="auto"/>
          <w:szCs w:val="28"/>
        </w:rPr>
        <w:t>储存单元（油罐区）：</w:t>
      </w:r>
    </w:p>
    <w:p w14:paraId="016FFC0C">
      <w:pPr>
        <w:widowControl w:val="0"/>
        <w:spacing w:line="360" w:lineRule="auto"/>
        <w:ind w:firstLine="560"/>
        <w:rPr>
          <w:color w:val="auto"/>
          <w:szCs w:val="28"/>
        </w:rPr>
      </w:pPr>
      <w:r>
        <w:rPr>
          <w:color w:val="auto"/>
          <w:szCs w:val="28"/>
        </w:rPr>
        <w:t>加油站有汽油罐</w:t>
      </w:r>
      <w:r>
        <w:rPr>
          <w:rFonts w:hint="eastAsia" w:ascii="Times New Roman" w:hAnsi="Times New Roman"/>
          <w:color w:val="auto"/>
          <w:szCs w:val="28"/>
          <w:lang w:val="en-US" w:eastAsia="zh-CN"/>
        </w:rPr>
        <w:t>3</w:t>
      </w:r>
      <w:r>
        <w:rPr>
          <w:color w:val="auto"/>
          <w:szCs w:val="28"/>
        </w:rPr>
        <w:t>个，总容积为</w:t>
      </w:r>
      <w:r>
        <w:rPr>
          <w:rFonts w:ascii="Times New Roman" w:hAnsi="Times New Roman"/>
          <w:color w:val="auto"/>
          <w:szCs w:val="28"/>
        </w:rPr>
        <w:t>30</w:t>
      </w:r>
      <w:r>
        <w:rPr>
          <w:color w:val="auto"/>
          <w:szCs w:val="28"/>
        </w:rPr>
        <w:t>+</w:t>
      </w:r>
      <w:r>
        <w:rPr>
          <w:rFonts w:ascii="Times New Roman" w:hAnsi="Times New Roman"/>
          <w:color w:val="auto"/>
          <w:szCs w:val="28"/>
        </w:rPr>
        <w:t>30</w:t>
      </w:r>
      <w:r>
        <w:rPr>
          <w:rFonts w:hint="eastAsia"/>
          <w:color w:val="auto"/>
          <w:szCs w:val="28"/>
          <w:lang w:val="en-US" w:eastAsia="zh-CN"/>
        </w:rPr>
        <w:t>+</w:t>
      </w:r>
      <w:r>
        <w:rPr>
          <w:rFonts w:hint="eastAsia" w:ascii="Times New Roman" w:hAnsi="Times New Roman"/>
          <w:color w:val="auto"/>
          <w:szCs w:val="28"/>
          <w:lang w:val="en-US" w:eastAsia="zh-CN"/>
        </w:rPr>
        <w:t>30</w:t>
      </w:r>
      <w:r>
        <w:rPr>
          <w:color w:val="auto"/>
          <w:szCs w:val="28"/>
        </w:rPr>
        <w:t>=</w:t>
      </w:r>
      <w:r>
        <w:rPr>
          <w:rFonts w:hint="eastAsia" w:ascii="Times New Roman" w:hAnsi="Times New Roman"/>
          <w:color w:val="auto"/>
          <w:szCs w:val="28"/>
          <w:lang w:val="en-US" w:eastAsia="zh-CN"/>
        </w:rPr>
        <w:t>90</w:t>
      </w:r>
      <w:r>
        <w:rPr>
          <w:rFonts w:ascii="Times New Roman" w:hAnsi="Times New Roman"/>
          <w:color w:val="auto"/>
          <w:szCs w:val="28"/>
        </w:rPr>
        <w:t>m</w:t>
      </w:r>
      <w:r>
        <w:rPr>
          <w:rFonts w:ascii="Times New Roman" w:hAnsi="Times New Roman"/>
          <w:color w:val="auto"/>
          <w:szCs w:val="28"/>
          <w:vertAlign w:val="superscript"/>
        </w:rPr>
        <w:t>3</w:t>
      </w:r>
      <w:r>
        <w:rPr>
          <w:color w:val="auto"/>
          <w:szCs w:val="28"/>
        </w:rPr>
        <w:t>，汽油的比重为</w:t>
      </w:r>
      <w:r>
        <w:rPr>
          <w:rFonts w:ascii="Times New Roman" w:hAnsi="Times New Roman"/>
          <w:color w:val="auto"/>
          <w:szCs w:val="28"/>
        </w:rPr>
        <w:t>0</w:t>
      </w:r>
      <w:r>
        <w:rPr>
          <w:color w:val="auto"/>
          <w:szCs w:val="28"/>
        </w:rPr>
        <w:t>.</w:t>
      </w:r>
      <w:r>
        <w:rPr>
          <w:rFonts w:ascii="Times New Roman" w:hAnsi="Times New Roman"/>
          <w:color w:val="auto"/>
          <w:szCs w:val="28"/>
        </w:rPr>
        <w:t>75</w:t>
      </w:r>
      <w:r>
        <w:rPr>
          <w:color w:val="auto"/>
          <w:szCs w:val="28"/>
        </w:rPr>
        <w:t>，得出汽油最大储存量为</w:t>
      </w:r>
      <w:r>
        <w:rPr>
          <w:rFonts w:ascii="Times New Roman" w:hAnsi="Times New Roman"/>
          <w:color w:val="auto"/>
          <w:szCs w:val="28"/>
        </w:rPr>
        <w:t>0</w:t>
      </w:r>
      <w:r>
        <w:rPr>
          <w:color w:val="auto"/>
          <w:szCs w:val="28"/>
        </w:rPr>
        <w:t>.</w:t>
      </w:r>
      <w:r>
        <w:rPr>
          <w:rFonts w:ascii="Times New Roman" w:hAnsi="Times New Roman"/>
          <w:color w:val="auto"/>
          <w:szCs w:val="28"/>
        </w:rPr>
        <w:t>75</w:t>
      </w:r>
      <w:r>
        <w:rPr>
          <w:color w:val="auto"/>
          <w:szCs w:val="28"/>
        </w:rPr>
        <w:t>×</w:t>
      </w:r>
      <w:r>
        <w:rPr>
          <w:rFonts w:hint="eastAsia" w:ascii="Times New Roman" w:hAnsi="Times New Roman"/>
          <w:color w:val="auto"/>
          <w:szCs w:val="28"/>
          <w:lang w:val="en-US" w:eastAsia="zh-CN"/>
        </w:rPr>
        <w:t>90</w:t>
      </w:r>
      <w:r>
        <w:rPr>
          <w:color w:val="auto"/>
          <w:szCs w:val="28"/>
        </w:rPr>
        <w:t>=</w:t>
      </w:r>
      <w:r>
        <w:rPr>
          <w:rFonts w:hint="eastAsia" w:ascii="Times New Roman" w:hAnsi="Times New Roman"/>
          <w:color w:val="auto"/>
          <w:szCs w:val="28"/>
          <w:lang w:val="en-US" w:eastAsia="zh-CN"/>
        </w:rPr>
        <w:t>67</w:t>
      </w:r>
      <w:r>
        <w:rPr>
          <w:rFonts w:hint="eastAsia"/>
          <w:color w:val="auto"/>
          <w:szCs w:val="28"/>
          <w:lang w:val="en-US" w:eastAsia="zh-CN"/>
        </w:rPr>
        <w:t>.</w:t>
      </w:r>
      <w:r>
        <w:rPr>
          <w:rFonts w:hint="eastAsia" w:ascii="Times New Roman" w:hAnsi="Times New Roman"/>
          <w:color w:val="auto"/>
          <w:szCs w:val="28"/>
          <w:lang w:val="en-US" w:eastAsia="zh-CN"/>
        </w:rPr>
        <w:t>5</w:t>
      </w:r>
      <w:r>
        <w:rPr>
          <w:rFonts w:ascii="Times New Roman" w:hAnsi="Times New Roman"/>
          <w:color w:val="auto"/>
          <w:szCs w:val="28"/>
        </w:rPr>
        <w:t>t</w:t>
      </w:r>
      <w:r>
        <w:rPr>
          <w:color w:val="auto"/>
          <w:szCs w:val="28"/>
        </w:rPr>
        <w:t>。</w:t>
      </w:r>
    </w:p>
    <w:p w14:paraId="66EE4F30">
      <w:pPr>
        <w:widowControl w:val="0"/>
        <w:spacing w:line="360" w:lineRule="auto"/>
        <w:ind w:firstLine="0" w:firstLineChars="0"/>
        <w:rPr>
          <w:rFonts w:hint="default" w:ascii="Times New Roman" w:hAnsi="Times New Roman" w:cs="Times New Roman" w:eastAsiaTheme="minorEastAsia"/>
          <w:color w:val="auto"/>
          <w:sz w:val="28"/>
          <w:szCs w:val="28"/>
        </w:rPr>
      </w:pPr>
      <m:oMathPara>
        <m:oMath>
          <m:r>
            <m:rPr>
              <m:sty m:val="p"/>
            </m:rPr>
            <w:rPr>
              <w:rFonts w:hint="default" w:ascii="Cambria Math" w:hAnsi="Cambria Math" w:cs="Times New Roman"/>
              <w:color w:val="auto"/>
              <w:sz w:val="24"/>
              <w:szCs w:val="24"/>
            </w:rPr>
            <m:t>S=</m:t>
          </m:r>
          <m:f>
            <m:fPr>
              <m:ctrlPr>
                <w:rPr>
                  <w:rFonts w:hint="default" w:ascii="Cambria Math" w:hAnsi="Cambria Math" w:cs="Times New Roman"/>
                  <w:color w:val="auto"/>
                  <w:sz w:val="24"/>
                  <w:szCs w:val="24"/>
                </w:rPr>
              </m:ctrlPr>
            </m:fPr>
            <m:num>
              <m:sSub>
                <m:sSubPr>
                  <m:ctrlPr>
                    <w:rPr>
                      <w:rFonts w:hint="default" w:ascii="Cambria Math" w:hAnsi="Cambria Math" w:cs="Times New Roman"/>
                      <w:i/>
                      <w:color w:val="auto"/>
                      <w:sz w:val="24"/>
                      <w:szCs w:val="24"/>
                    </w:rPr>
                  </m:ctrlPr>
                </m:sSubPr>
                <m:e>
                  <m:r>
                    <m:rPr/>
                    <w:rPr>
                      <w:rFonts w:hint="default" w:ascii="Cambria Math" w:hAnsi="Cambria Math" w:cs="Times New Roman"/>
                      <w:color w:val="auto"/>
                      <w:sz w:val="24"/>
                      <w:szCs w:val="24"/>
                    </w:rPr>
                    <m:t>q</m:t>
                  </m:r>
                  <m:ctrlPr>
                    <w:rPr>
                      <w:rFonts w:hint="default" w:ascii="Cambria Math" w:hAnsi="Cambria Math" w:cs="Times New Roman"/>
                      <w:color w:val="auto"/>
                      <w:sz w:val="24"/>
                      <w:szCs w:val="24"/>
                    </w:rPr>
                  </m:ctrlPr>
                </m:e>
                <m:sub>
                  <m:r>
                    <m:rPr/>
                    <w:rPr>
                      <w:rFonts w:hint="default" w:ascii="Cambria Math" w:hAnsi="Cambria Math" w:cs="Times New Roman"/>
                      <w:color w:val="auto"/>
                      <w:sz w:val="24"/>
                      <w:szCs w:val="24"/>
                    </w:rPr>
                    <m:t>1</m:t>
                  </m:r>
                  <m:ctrlPr>
                    <w:rPr>
                      <w:rFonts w:hint="default" w:ascii="Cambria Math" w:hAnsi="Cambria Math" w:cs="Times New Roman"/>
                      <w:i/>
                      <w:color w:val="auto"/>
                      <w:sz w:val="24"/>
                      <w:szCs w:val="24"/>
                    </w:rPr>
                  </m:ctrlPr>
                </m:sub>
              </m:sSub>
              <m:ctrlPr>
                <w:rPr>
                  <w:rFonts w:hint="default" w:ascii="Cambria Math" w:hAnsi="Cambria Math" w:cs="Times New Roman"/>
                  <w:color w:val="auto"/>
                  <w:sz w:val="24"/>
                  <w:szCs w:val="24"/>
                </w:rPr>
              </m:ctrlPr>
            </m:num>
            <m:den>
              <m:sSub>
                <m:sSubPr>
                  <m:ctrlPr>
                    <w:rPr>
                      <w:rFonts w:hint="default" w:ascii="Cambria Math" w:hAnsi="Cambria Math" w:cs="Times New Roman"/>
                      <w:i/>
                      <w:color w:val="auto"/>
                      <w:sz w:val="24"/>
                      <w:szCs w:val="24"/>
                    </w:rPr>
                  </m:ctrlPr>
                </m:sSubPr>
                <m:e>
                  <m:r>
                    <m:rPr/>
                    <w:rPr>
                      <w:rFonts w:hint="default" w:ascii="Cambria Math" w:hAnsi="Cambria Math" w:cs="Times New Roman"/>
                      <w:color w:val="auto"/>
                      <w:sz w:val="24"/>
                      <w:szCs w:val="24"/>
                    </w:rPr>
                    <m:t>Q</m:t>
                  </m:r>
                  <m:ctrlPr>
                    <w:rPr>
                      <w:rFonts w:hint="default" w:ascii="Cambria Math" w:hAnsi="Cambria Math" w:cs="Times New Roman"/>
                      <w:color w:val="auto"/>
                      <w:sz w:val="24"/>
                      <w:szCs w:val="24"/>
                    </w:rPr>
                  </m:ctrlPr>
                </m:e>
                <m:sub>
                  <m:r>
                    <m:rPr/>
                    <w:rPr>
                      <w:rFonts w:hint="default" w:ascii="Cambria Math" w:hAnsi="Cambria Math" w:cs="Times New Roman"/>
                      <w:color w:val="auto"/>
                      <w:sz w:val="24"/>
                      <w:szCs w:val="24"/>
                    </w:rPr>
                    <m:t>1</m:t>
                  </m:r>
                  <m:ctrlPr>
                    <w:rPr>
                      <w:rFonts w:hint="default" w:ascii="Cambria Math" w:hAnsi="Cambria Math" w:cs="Times New Roman"/>
                      <w:i/>
                      <w:color w:val="auto"/>
                      <w:sz w:val="24"/>
                      <w:szCs w:val="24"/>
                    </w:rPr>
                  </m:ctrlPr>
                </m:sub>
              </m:sSub>
              <m:ctrlPr>
                <w:rPr>
                  <w:rFonts w:hint="default" w:ascii="Cambria Math" w:hAnsi="Cambria Math" w:cs="Times New Roman"/>
                  <w:color w:val="auto"/>
                  <w:sz w:val="24"/>
                  <w:szCs w:val="24"/>
                </w:rPr>
              </m:ctrlPr>
            </m:den>
          </m:f>
          <m:r>
            <m:rPr/>
            <w:rPr>
              <w:rFonts w:hint="default" w:ascii="Cambria Math" w:hAnsi="Cambria Math" w:cs="Times New Roman"/>
              <w:color w:val="auto"/>
              <w:sz w:val="24"/>
              <w:szCs w:val="24"/>
            </w:rPr>
            <m:t>=</m:t>
          </m:r>
          <m:f>
            <m:fPr>
              <m:ctrlPr>
                <w:rPr>
                  <w:rFonts w:hint="default" w:ascii="Cambria Math" w:hAnsi="Cambria Math" w:cs="Times New Roman"/>
                  <w:i/>
                  <w:color w:val="auto"/>
                  <w:sz w:val="24"/>
                  <w:szCs w:val="24"/>
                </w:rPr>
              </m:ctrlPr>
            </m:fPr>
            <m:num>
              <m:r>
                <m:rPr/>
                <w:rPr>
                  <w:rFonts w:hint="default" w:ascii="Cambria Math" w:hAnsi="Cambria Math" w:cs="Times New Roman"/>
                  <w:color w:val="auto"/>
                  <w:sz w:val="24"/>
                  <w:szCs w:val="24"/>
                  <w:lang w:val="en-US" w:eastAsia="zh-CN"/>
                </w:rPr>
                <m:t>67.5</m:t>
              </m:r>
              <m:ctrlPr>
                <w:rPr>
                  <w:rFonts w:hint="default" w:ascii="Cambria Math" w:hAnsi="Cambria Math" w:cs="Times New Roman"/>
                  <w:i/>
                  <w:color w:val="auto"/>
                  <w:sz w:val="24"/>
                  <w:szCs w:val="24"/>
                </w:rPr>
              </m:ctrlPr>
            </m:num>
            <m:den>
              <m:r>
                <m:rPr/>
                <w:rPr>
                  <w:rFonts w:hint="default" w:ascii="Cambria Math" w:hAnsi="Cambria Math" w:cs="Times New Roman"/>
                  <w:color w:val="auto"/>
                  <w:sz w:val="24"/>
                  <w:szCs w:val="24"/>
                </w:rPr>
                <m:t>200</m:t>
              </m:r>
              <m:ctrlPr>
                <w:rPr>
                  <w:rFonts w:hint="default" w:ascii="Cambria Math" w:hAnsi="Cambria Math" w:cs="Times New Roman"/>
                  <w:i/>
                  <w:color w:val="auto"/>
                  <w:sz w:val="24"/>
                  <w:szCs w:val="24"/>
                </w:rPr>
              </m:ctrlPr>
            </m:den>
          </m:f>
          <m:r>
            <m:rPr/>
            <w:rPr>
              <w:rFonts w:hint="default" w:ascii="Cambria Math" w:hAnsi="Cambria Math" w:cs="Times New Roman"/>
              <w:color w:val="auto"/>
              <w:sz w:val="24"/>
              <w:szCs w:val="24"/>
            </w:rPr>
            <m:t>=</m:t>
          </m:r>
          <m:r>
            <m:rPr/>
            <w:rPr>
              <w:rFonts w:hint="default" w:ascii="Cambria Math" w:hAnsi="Cambria Math" w:cs="Times New Roman"/>
              <w:color w:val="auto"/>
              <w:sz w:val="24"/>
              <w:szCs w:val="24"/>
              <w:lang w:val="en-US" w:eastAsia="zh-CN"/>
            </w:rPr>
            <m:t>0.3375</m:t>
          </m:r>
          <m:r>
            <m:rPr/>
            <w:rPr>
              <w:rFonts w:hint="default" w:ascii="Cambria Math" w:hAnsi="Cambria Math" w:cs="Times New Roman"/>
              <w:color w:val="auto"/>
              <w:sz w:val="24"/>
              <w:szCs w:val="24"/>
            </w:rPr>
            <m:t>&lt;1</m:t>
          </m:r>
        </m:oMath>
      </m:oMathPara>
    </w:p>
    <w:p w14:paraId="3BD34411">
      <w:pPr>
        <w:widowControl w:val="0"/>
        <w:suppressAutoHyphens/>
        <w:adjustRightInd w:val="0"/>
        <w:snapToGrid w:val="0"/>
        <w:spacing w:line="360" w:lineRule="auto"/>
        <w:ind w:firstLine="560"/>
        <w:textAlignment w:val="center"/>
        <w:rPr>
          <w:rFonts w:ascii="宋体" w:hAnsi="宋体" w:cs="Tahoma"/>
          <w:color w:val="auto"/>
          <w:kern w:val="28"/>
          <w:szCs w:val="28"/>
        </w:rPr>
      </w:pPr>
      <w:r>
        <w:rPr>
          <w:rFonts w:hint="eastAsia" w:ascii="宋体" w:hAnsi="宋体" w:cs="Tahoma"/>
          <w:color w:val="auto"/>
          <w:kern w:val="28"/>
          <w:szCs w:val="28"/>
        </w:rPr>
        <w:t>该加油站生产单元和储存单元综合结果不构成危险化学品重大危险源。</w:t>
      </w:r>
    </w:p>
    <w:p w14:paraId="3BB3F355">
      <w:pPr>
        <w:widowControl w:val="0"/>
        <w:adjustRightInd w:val="0"/>
        <w:snapToGrid w:val="0"/>
        <w:spacing w:line="360" w:lineRule="auto"/>
        <w:ind w:firstLine="560"/>
        <w:rPr>
          <w:color w:val="auto"/>
          <w:szCs w:val="28"/>
        </w:rPr>
      </w:pPr>
      <w:r>
        <w:rPr>
          <w:color w:val="auto"/>
          <w:szCs w:val="28"/>
        </w:rPr>
        <w:t>由于不构成重大危险源所以无需分级。</w:t>
      </w:r>
      <w:bookmarkStart w:id="682" w:name="_Toc26875"/>
      <w:bookmarkStart w:id="683" w:name="_Toc12713"/>
    </w:p>
    <w:p w14:paraId="6B013524">
      <w:pPr>
        <w:pStyle w:val="4"/>
        <w:spacing w:line="360" w:lineRule="auto"/>
        <w:jc w:val="both"/>
        <w:rPr>
          <w:rFonts w:hint="default" w:ascii="Times New Roman" w:hAnsi="Times New Roman" w:cs="Times New Roman"/>
          <w:color w:val="auto"/>
        </w:rPr>
      </w:pPr>
      <w:bookmarkStart w:id="684" w:name="_Toc10613"/>
      <w:r>
        <w:rPr>
          <w:rFonts w:hint="default" w:ascii="Times New Roman" w:hAnsi="Times New Roman" w:cs="Times New Roman"/>
          <w:color w:val="auto"/>
        </w:rPr>
        <w:t>F3.5爆炸危险环境分析及划定</w:t>
      </w:r>
      <w:bookmarkEnd w:id="678"/>
      <w:bookmarkEnd w:id="679"/>
      <w:bookmarkEnd w:id="680"/>
      <w:bookmarkEnd w:id="681"/>
      <w:bookmarkEnd w:id="682"/>
      <w:bookmarkEnd w:id="683"/>
      <w:bookmarkEnd w:id="684"/>
    </w:p>
    <w:p w14:paraId="0720B7DE">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根据《爆炸危险环境电力装置设计规范》（GB50058-2014）第2.2.1条，爆炸性气体环境应根据爆炸性气体混合物出现的频繁程度和持续时间，按下列规定进行分区：</w:t>
      </w:r>
    </w:p>
    <w:p w14:paraId="1048027A">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①0区：连续出现或长时期出现爆炸性气体混合物的环境；</w:t>
      </w:r>
    </w:p>
    <w:p w14:paraId="3AD1F7F4">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②1区：在正常运行时可能出现爆炸性气体混合物的环境；</w:t>
      </w:r>
    </w:p>
    <w:p w14:paraId="4E2C4613">
      <w:pPr>
        <w:spacing w:line="360" w:lineRule="auto"/>
        <w:ind w:firstLine="560"/>
        <w:rPr>
          <w:color w:val="auto"/>
        </w:rPr>
      </w:pPr>
      <w:r>
        <w:rPr>
          <w:rFonts w:hint="eastAsia"/>
          <w:color w:val="auto"/>
        </w:rPr>
        <w:t>③</w:t>
      </w:r>
      <w:r>
        <w:rPr>
          <w:rFonts w:hint="eastAsia" w:ascii="Times New Roman" w:hAnsi="Times New Roman"/>
          <w:color w:val="auto"/>
        </w:rPr>
        <w:t>2</w:t>
      </w:r>
      <w:r>
        <w:rPr>
          <w:rFonts w:hint="eastAsia"/>
          <w:color w:val="auto"/>
        </w:rPr>
        <w:t>区：在正常运行时不可能出现爆炸性气体混合物的环境，或即使出现也仅是短时存在的爆炸性气体混合物的环境。</w:t>
      </w:r>
    </w:p>
    <w:p w14:paraId="04484B22">
      <w:pPr>
        <w:spacing w:line="360" w:lineRule="auto"/>
        <w:ind w:firstLine="560"/>
        <w:rPr>
          <w:color w:val="auto"/>
        </w:rPr>
      </w:pPr>
      <w:r>
        <w:rPr>
          <w:rFonts w:hint="eastAsia"/>
          <w:color w:val="auto"/>
        </w:rPr>
        <w:t>根据《汽车加油加气加氢站技术标准》（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）附录</w:t>
      </w:r>
      <w:r>
        <w:rPr>
          <w:rFonts w:hint="eastAsia" w:ascii="Times New Roman" w:hAnsi="Times New Roman"/>
          <w:color w:val="auto"/>
        </w:rPr>
        <w:t>C</w:t>
      </w:r>
      <w:r>
        <w:rPr>
          <w:rFonts w:hint="eastAsia"/>
          <w:color w:val="auto"/>
        </w:rPr>
        <w:t xml:space="preserve"> 加油加气加氢站内爆炸危险区域的等级和范围划分，该加油站站内爆炸危险区域划分为两个区，分别是加油机和卧式埋地汽油罐：</w:t>
      </w:r>
    </w:p>
    <w:p w14:paraId="29A9DE94">
      <w:pPr>
        <w:spacing w:line="360" w:lineRule="auto"/>
        <w:ind w:firstLine="560"/>
        <w:rPr>
          <w:color w:val="auto"/>
        </w:rPr>
      </w:pPr>
      <w:r>
        <w:rPr>
          <w:rFonts w:hint="eastAsia" w:ascii="Times New Roman" w:hAnsi="Times New Roman"/>
          <w:color w:val="auto"/>
        </w:rPr>
        <w:t>1</w:t>
      </w:r>
      <w:r>
        <w:rPr>
          <w:rFonts w:hint="eastAsia"/>
          <w:color w:val="auto"/>
        </w:rPr>
        <w:t>）加油机的爆炸危险区域的划分</w:t>
      </w:r>
    </w:p>
    <w:p w14:paraId="3EA23C77">
      <w:pPr>
        <w:spacing w:line="360" w:lineRule="auto"/>
        <w:ind w:firstLine="560"/>
        <w:rPr>
          <w:color w:val="auto"/>
        </w:rPr>
      </w:pPr>
      <w:r>
        <w:rPr>
          <w:rFonts w:hint="eastAsia"/>
          <w:color w:val="auto"/>
        </w:rPr>
        <w:t>①加油机壳体内部空间划为</w:t>
      </w:r>
      <w:r>
        <w:rPr>
          <w:rFonts w:hint="eastAsia" w:ascii="Times New Roman" w:hAnsi="Times New Roman"/>
          <w:color w:val="auto"/>
        </w:rPr>
        <w:t>1</w:t>
      </w:r>
      <w:r>
        <w:rPr>
          <w:rFonts w:hint="eastAsia"/>
          <w:color w:val="auto"/>
        </w:rPr>
        <w:t>区。</w:t>
      </w:r>
    </w:p>
    <w:p w14:paraId="4B601BCD">
      <w:pPr>
        <w:spacing w:line="360" w:lineRule="auto"/>
        <w:ind w:firstLine="560"/>
        <w:rPr>
          <w:color w:val="auto"/>
        </w:rPr>
      </w:pPr>
      <w:r>
        <w:rPr>
          <w:rFonts w:hint="eastAsia"/>
          <w:color w:val="auto"/>
        </w:rPr>
        <w:t>②以加油机中心线为中心线，以半径为</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的地面区域为底面和以加油机顶部以上</w:t>
      </w:r>
      <w:r>
        <w:rPr>
          <w:rFonts w:hint="eastAsia" w:ascii="Times New Roman" w:hAnsi="Times New Roman"/>
          <w:color w:val="auto"/>
        </w:rPr>
        <w:t>0</w:t>
      </w:r>
      <w:r>
        <w:rPr>
          <w:rFonts w:hint="eastAsia"/>
          <w:color w:val="auto"/>
        </w:rPr>
        <w:t>.</w:t>
      </w:r>
      <w:r>
        <w:rPr>
          <w:rFonts w:hint="eastAsia" w:ascii="Times New Roman" w:hAnsi="Times New Roman"/>
          <w:color w:val="auto"/>
        </w:rPr>
        <w:t>15m</w:t>
      </w:r>
      <w:r>
        <w:rPr>
          <w:rFonts w:hint="eastAsia"/>
          <w:color w:val="auto"/>
        </w:rPr>
        <w:t>半径为</w:t>
      </w:r>
      <w:r>
        <w:rPr>
          <w:rFonts w:hint="eastAsia" w:ascii="Times New Roman" w:hAnsi="Times New Roman"/>
          <w:color w:val="auto"/>
        </w:rPr>
        <w:t>3m</w:t>
      </w:r>
      <w:r>
        <w:rPr>
          <w:rFonts w:hint="eastAsia"/>
          <w:color w:val="auto"/>
        </w:rPr>
        <w:t>的平面为顶面的圆台形空间划为</w:t>
      </w:r>
      <w:r>
        <w:rPr>
          <w:rFonts w:hint="eastAsia" w:ascii="Times New Roman" w:hAnsi="Times New Roman"/>
          <w:color w:val="auto"/>
        </w:rPr>
        <w:t>2</w:t>
      </w:r>
      <w:r>
        <w:rPr>
          <w:rFonts w:hint="eastAsia"/>
          <w:color w:val="auto"/>
        </w:rPr>
        <w:t>区。</w:t>
      </w:r>
    </w:p>
    <w:p w14:paraId="160BF519">
      <w:pPr>
        <w:spacing w:line="240" w:lineRule="auto"/>
        <w:ind w:firstLine="0" w:firstLineChars="0"/>
        <w:jc w:val="center"/>
        <w:rPr>
          <w:rFonts w:ascii="宋体" w:hAnsi="宋体"/>
          <w:color w:val="auto"/>
        </w:rPr>
      </w:pPr>
      <w:r>
        <w:rPr>
          <w:rFonts w:ascii="宋体" w:hAnsi="宋体"/>
          <w:color w:val="auto"/>
        </w:rPr>
        <w:drawing>
          <wp:inline distT="0" distB="0" distL="114300" distR="114300">
            <wp:extent cx="4565650" cy="2875280"/>
            <wp:effectExtent l="0" t="0" r="6350" b="7620"/>
            <wp:docPr id="92" name="图片 12" descr="QQ截图2017101916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2" descr="QQ截图20171019162020"/>
                    <pic:cNvPicPr>
                      <a:picLocks noChangeAspect="1"/>
                    </pic:cNvPicPr>
                  </pic:nvPicPr>
                  <pic:blipFill>
                    <a:blip r:embed="rId15"/>
                    <a:stretch>
                      <a:fillRect/>
                    </a:stretch>
                  </pic:blipFill>
                  <pic:spPr>
                    <a:xfrm>
                      <a:off x="0" y="0"/>
                      <a:ext cx="4565650" cy="2875280"/>
                    </a:xfrm>
                    <a:prstGeom prst="rect">
                      <a:avLst/>
                    </a:prstGeom>
                    <a:noFill/>
                    <a:ln>
                      <a:noFill/>
                    </a:ln>
                  </pic:spPr>
                </pic:pic>
              </a:graphicData>
            </a:graphic>
          </wp:inline>
        </w:drawing>
      </w:r>
    </w:p>
    <w:p w14:paraId="6C954611">
      <w:pPr>
        <w:pStyle w:val="21"/>
        <w:rPr>
          <w:rFonts w:hint="default" w:ascii="Times New Roman" w:hAnsi="Times New Roman" w:cs="Times New Roman"/>
          <w:color w:val="auto"/>
          <w:szCs w:val="21"/>
        </w:rPr>
      </w:pPr>
      <w:r>
        <w:rPr>
          <w:rFonts w:hint="default" w:ascii="Times New Roman" w:hAnsi="Times New Roman" w:cs="Times New Roman"/>
          <w:color w:val="auto"/>
          <w:szCs w:val="21"/>
        </w:rPr>
        <w:t>F图3.5-1</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汽油加油机爆炸危险区域划分图</w:t>
      </w:r>
    </w:p>
    <w:p w14:paraId="17C3F91B">
      <w:pPr>
        <w:keepNext w:val="0"/>
        <w:keepLines w:val="0"/>
        <w:pageBreakBefore w:val="0"/>
        <w:widowControl/>
        <w:kinsoku/>
        <w:wordWrap/>
        <w:overflowPunct/>
        <w:topLinePunct w:val="0"/>
        <w:autoSpaceDE/>
        <w:autoSpaceDN/>
        <w:bidi w:val="0"/>
        <w:adjustRightInd/>
        <w:snapToGrid/>
        <w:spacing w:line="480" w:lineRule="exact"/>
        <w:ind w:firstLine="560"/>
        <w:textAlignment w:val="auto"/>
        <w:rPr>
          <w:rFonts w:hint="default" w:ascii="Times New Roman" w:hAnsi="Times New Roman" w:cs="Times New Roman"/>
          <w:color w:val="auto"/>
        </w:rPr>
      </w:pPr>
      <w:r>
        <w:rPr>
          <w:rFonts w:hint="default" w:ascii="Times New Roman" w:hAnsi="Times New Roman" w:cs="Times New Roman"/>
          <w:color w:val="auto"/>
        </w:rPr>
        <w:t>2）埋地卧式汽油罐爆炸危险区域的划分</w:t>
      </w:r>
    </w:p>
    <w:p w14:paraId="094FB9D3">
      <w:pPr>
        <w:keepNext w:val="0"/>
        <w:keepLines w:val="0"/>
        <w:pageBreakBefore w:val="0"/>
        <w:widowControl/>
        <w:kinsoku/>
        <w:wordWrap/>
        <w:overflowPunct/>
        <w:topLinePunct w:val="0"/>
        <w:autoSpaceDE/>
        <w:autoSpaceDN/>
        <w:bidi w:val="0"/>
        <w:adjustRightInd/>
        <w:snapToGrid/>
        <w:spacing w:line="480" w:lineRule="exact"/>
        <w:ind w:firstLine="560"/>
        <w:textAlignment w:val="auto"/>
        <w:rPr>
          <w:color w:val="auto"/>
        </w:rPr>
      </w:pPr>
      <w:r>
        <w:rPr>
          <w:rFonts w:hint="eastAsia"/>
          <w:color w:val="auto"/>
        </w:rPr>
        <w:t>①罐内部油品表面以上的空间划分为</w:t>
      </w:r>
      <w:r>
        <w:rPr>
          <w:rFonts w:hint="eastAsia" w:ascii="Times New Roman" w:hAnsi="Times New Roman"/>
          <w:color w:val="auto"/>
        </w:rPr>
        <w:t>0</w:t>
      </w:r>
      <w:r>
        <w:rPr>
          <w:rFonts w:hint="eastAsia"/>
          <w:color w:val="auto"/>
        </w:rPr>
        <w:t>区。</w:t>
      </w:r>
    </w:p>
    <w:p w14:paraId="23D4AEF2">
      <w:pPr>
        <w:keepNext w:val="0"/>
        <w:keepLines w:val="0"/>
        <w:pageBreakBefore w:val="0"/>
        <w:widowControl/>
        <w:kinsoku/>
        <w:wordWrap/>
        <w:overflowPunct/>
        <w:topLinePunct w:val="0"/>
        <w:autoSpaceDE/>
        <w:autoSpaceDN/>
        <w:bidi w:val="0"/>
        <w:adjustRightInd/>
        <w:snapToGrid/>
        <w:spacing w:line="480" w:lineRule="exact"/>
        <w:ind w:firstLine="560"/>
        <w:textAlignment w:val="auto"/>
        <w:rPr>
          <w:color w:val="auto"/>
        </w:rPr>
      </w:pPr>
      <w:r>
        <w:rPr>
          <w:rFonts w:hint="eastAsia"/>
          <w:color w:val="auto"/>
        </w:rPr>
        <w:t>②人孔井内部空间、以通气管管口为中心，半径为</w:t>
      </w:r>
      <w:r>
        <w:rPr>
          <w:rFonts w:hint="eastAsia" w:ascii="Times New Roman" w:hAnsi="Times New Roman"/>
          <w:color w:val="auto"/>
        </w:rPr>
        <w:t>1</w:t>
      </w:r>
      <w:r>
        <w:rPr>
          <w:rFonts w:hint="eastAsia"/>
          <w:color w:val="auto"/>
        </w:rPr>
        <w:t>.</w:t>
      </w:r>
      <w:r>
        <w:rPr>
          <w:rFonts w:hint="eastAsia" w:ascii="Times New Roman" w:hAnsi="Times New Roman"/>
          <w:color w:val="auto"/>
        </w:rPr>
        <w:t>5m</w:t>
      </w:r>
      <w:r>
        <w:rPr>
          <w:rFonts w:hint="eastAsia"/>
          <w:color w:val="auto"/>
        </w:rPr>
        <w:t>的球形空间和以密闭卸油口为中心，半径为</w:t>
      </w:r>
      <w:r>
        <w:rPr>
          <w:rFonts w:hint="eastAsia" w:ascii="Times New Roman" w:hAnsi="Times New Roman"/>
          <w:color w:val="auto"/>
        </w:rPr>
        <w:t>0</w:t>
      </w:r>
      <w:r>
        <w:rPr>
          <w:rFonts w:hint="eastAsia"/>
          <w:color w:val="auto"/>
        </w:rPr>
        <w:t>.</w:t>
      </w:r>
      <w:r>
        <w:rPr>
          <w:rFonts w:hint="eastAsia" w:ascii="Times New Roman" w:hAnsi="Times New Roman"/>
          <w:color w:val="auto"/>
        </w:rPr>
        <w:t>5m</w:t>
      </w:r>
      <w:r>
        <w:rPr>
          <w:rFonts w:hint="eastAsia"/>
          <w:color w:val="auto"/>
        </w:rPr>
        <w:t>的球形空间划为</w:t>
      </w:r>
      <w:r>
        <w:rPr>
          <w:rFonts w:hint="eastAsia" w:ascii="Times New Roman" w:hAnsi="Times New Roman"/>
          <w:color w:val="auto"/>
        </w:rPr>
        <w:t>1</w:t>
      </w:r>
      <w:r>
        <w:rPr>
          <w:rFonts w:hint="eastAsia"/>
          <w:color w:val="auto"/>
        </w:rPr>
        <w:t>区。</w:t>
      </w:r>
    </w:p>
    <w:p w14:paraId="2BDBE21F">
      <w:pPr>
        <w:keepNext w:val="0"/>
        <w:keepLines w:val="0"/>
        <w:pageBreakBefore w:val="0"/>
        <w:widowControl/>
        <w:kinsoku/>
        <w:wordWrap/>
        <w:overflowPunct/>
        <w:topLinePunct w:val="0"/>
        <w:autoSpaceDE/>
        <w:autoSpaceDN/>
        <w:bidi w:val="0"/>
        <w:adjustRightInd/>
        <w:snapToGrid/>
        <w:spacing w:line="480" w:lineRule="exact"/>
        <w:ind w:firstLine="560"/>
        <w:textAlignment w:val="auto"/>
        <w:rPr>
          <w:color w:val="auto"/>
        </w:rPr>
      </w:pPr>
      <w:r>
        <w:rPr>
          <w:rFonts w:ascii="宋体" w:hAnsi="宋体"/>
          <w:color w:val="auto"/>
        </w:rPr>
        <w:drawing>
          <wp:anchor distT="0" distB="0" distL="114300" distR="114300" simplePos="0" relativeHeight="251665408" behindDoc="0" locked="0" layoutInCell="1" allowOverlap="1">
            <wp:simplePos x="0" y="0"/>
            <wp:positionH relativeFrom="column">
              <wp:posOffset>723900</wp:posOffset>
            </wp:positionH>
            <wp:positionV relativeFrom="paragraph">
              <wp:posOffset>965835</wp:posOffset>
            </wp:positionV>
            <wp:extent cx="4264660" cy="2932430"/>
            <wp:effectExtent l="0" t="0" r="2540" b="1270"/>
            <wp:wrapNone/>
            <wp:docPr id="93" name="图片 13" descr="QQ截图20171019162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3" descr="QQ截图20171019162038"/>
                    <pic:cNvPicPr>
                      <a:picLocks noChangeAspect="1"/>
                    </pic:cNvPicPr>
                  </pic:nvPicPr>
                  <pic:blipFill>
                    <a:blip r:embed="rId16"/>
                    <a:stretch>
                      <a:fillRect/>
                    </a:stretch>
                  </pic:blipFill>
                  <pic:spPr>
                    <a:xfrm>
                      <a:off x="0" y="0"/>
                      <a:ext cx="4264660" cy="2932430"/>
                    </a:xfrm>
                    <a:prstGeom prst="rect">
                      <a:avLst/>
                    </a:prstGeom>
                    <a:noFill/>
                    <a:ln>
                      <a:noFill/>
                    </a:ln>
                  </pic:spPr>
                </pic:pic>
              </a:graphicData>
            </a:graphic>
          </wp:anchor>
        </w:drawing>
      </w:r>
      <w:r>
        <w:rPr>
          <w:rFonts w:hint="eastAsia"/>
          <w:color w:val="auto"/>
        </w:rPr>
        <w:t>③距人孔井外边缘</w:t>
      </w:r>
      <w:r>
        <w:rPr>
          <w:rFonts w:hint="eastAsia" w:ascii="Times New Roman" w:hAnsi="Times New Roman"/>
          <w:color w:val="auto"/>
        </w:rPr>
        <w:t>1</w:t>
      </w:r>
      <w:r>
        <w:rPr>
          <w:rFonts w:hint="eastAsia"/>
          <w:color w:val="auto"/>
        </w:rPr>
        <w:t>.</w:t>
      </w:r>
      <w:r>
        <w:rPr>
          <w:rFonts w:hint="eastAsia" w:ascii="Times New Roman" w:hAnsi="Times New Roman"/>
          <w:color w:val="auto"/>
        </w:rPr>
        <w:t>5m</w:t>
      </w:r>
      <w:r>
        <w:rPr>
          <w:rFonts w:hint="eastAsia"/>
          <w:color w:val="auto"/>
        </w:rPr>
        <w:t>以内，自地面算起</w:t>
      </w:r>
      <w:r>
        <w:rPr>
          <w:rFonts w:hint="eastAsia" w:ascii="Times New Roman" w:hAnsi="Times New Roman"/>
          <w:color w:val="auto"/>
        </w:rPr>
        <w:t>1m</w:t>
      </w:r>
      <w:r>
        <w:rPr>
          <w:rFonts w:hint="eastAsia"/>
          <w:color w:val="auto"/>
        </w:rPr>
        <w:t>高的圆柱形空间、以通气管管口为中心，半径为</w:t>
      </w:r>
      <w:r>
        <w:rPr>
          <w:rFonts w:hint="eastAsia" w:ascii="Times New Roman" w:hAnsi="Times New Roman"/>
          <w:color w:val="auto"/>
        </w:rPr>
        <w:t>3m</w:t>
      </w:r>
      <w:r>
        <w:rPr>
          <w:rFonts w:hint="eastAsia"/>
          <w:color w:val="auto"/>
        </w:rPr>
        <w:t>的球形空间和以密闭卸油口为中心，半径为</w:t>
      </w:r>
      <w:r>
        <w:rPr>
          <w:rFonts w:hint="eastAsia" w:ascii="Times New Roman" w:hAnsi="Times New Roman"/>
          <w:color w:val="auto"/>
        </w:rPr>
        <w:t>1</w:t>
      </w:r>
      <w:r>
        <w:rPr>
          <w:rFonts w:hint="eastAsia"/>
          <w:color w:val="auto"/>
        </w:rPr>
        <w:t>.</w:t>
      </w:r>
      <w:r>
        <w:rPr>
          <w:rFonts w:hint="eastAsia" w:ascii="Times New Roman" w:hAnsi="Times New Roman"/>
          <w:color w:val="auto"/>
        </w:rPr>
        <w:t>5m</w:t>
      </w:r>
      <w:r>
        <w:rPr>
          <w:rFonts w:hint="eastAsia"/>
          <w:color w:val="auto"/>
        </w:rPr>
        <w:t>的球形并延至地面的空间划为</w:t>
      </w:r>
      <w:r>
        <w:rPr>
          <w:rFonts w:hint="eastAsia" w:ascii="Times New Roman" w:hAnsi="Times New Roman"/>
          <w:color w:val="auto"/>
        </w:rPr>
        <w:t>2</w:t>
      </w:r>
      <w:r>
        <w:rPr>
          <w:rFonts w:hint="eastAsia"/>
          <w:color w:val="auto"/>
        </w:rPr>
        <w:t>区。</w:t>
      </w:r>
    </w:p>
    <w:p w14:paraId="5AE18E93">
      <w:pPr>
        <w:spacing w:line="240" w:lineRule="auto"/>
        <w:ind w:firstLine="0" w:firstLineChars="0"/>
        <w:jc w:val="center"/>
        <w:rPr>
          <w:rFonts w:ascii="宋体" w:hAnsi="宋体"/>
          <w:color w:val="auto"/>
        </w:rPr>
      </w:pPr>
    </w:p>
    <w:p w14:paraId="4995913A">
      <w:pPr>
        <w:pStyle w:val="21"/>
        <w:rPr>
          <w:rFonts w:hint="eastAsia" w:ascii="黑体" w:hAnsi="黑体"/>
          <w:color w:val="auto"/>
          <w:szCs w:val="21"/>
        </w:rPr>
      </w:pPr>
    </w:p>
    <w:p w14:paraId="7AA93163">
      <w:pPr>
        <w:pStyle w:val="21"/>
        <w:rPr>
          <w:rFonts w:hint="eastAsia" w:ascii="黑体" w:hAnsi="黑体"/>
          <w:color w:val="auto"/>
          <w:szCs w:val="21"/>
        </w:rPr>
      </w:pPr>
    </w:p>
    <w:p w14:paraId="7AA6D962">
      <w:pPr>
        <w:pStyle w:val="21"/>
        <w:rPr>
          <w:rFonts w:hint="eastAsia" w:ascii="黑体" w:hAnsi="黑体"/>
          <w:color w:val="auto"/>
          <w:szCs w:val="21"/>
        </w:rPr>
      </w:pPr>
    </w:p>
    <w:p w14:paraId="5C90677F">
      <w:pPr>
        <w:pStyle w:val="21"/>
        <w:rPr>
          <w:rFonts w:hint="eastAsia" w:ascii="黑体" w:hAnsi="黑体"/>
          <w:color w:val="auto"/>
          <w:szCs w:val="21"/>
        </w:rPr>
      </w:pPr>
    </w:p>
    <w:p w14:paraId="213351C7">
      <w:pPr>
        <w:pStyle w:val="21"/>
        <w:rPr>
          <w:rFonts w:hint="eastAsia" w:ascii="黑体" w:hAnsi="黑体"/>
          <w:color w:val="auto"/>
          <w:szCs w:val="21"/>
        </w:rPr>
      </w:pPr>
    </w:p>
    <w:p w14:paraId="3A998A79">
      <w:pPr>
        <w:pStyle w:val="21"/>
        <w:rPr>
          <w:rFonts w:hint="eastAsia" w:ascii="黑体" w:hAnsi="黑体"/>
          <w:color w:val="auto"/>
          <w:szCs w:val="21"/>
        </w:rPr>
      </w:pPr>
    </w:p>
    <w:p w14:paraId="62A667A3">
      <w:pPr>
        <w:pStyle w:val="21"/>
        <w:rPr>
          <w:rFonts w:hint="eastAsia" w:ascii="黑体" w:hAnsi="黑体"/>
          <w:color w:val="auto"/>
          <w:szCs w:val="21"/>
        </w:rPr>
      </w:pPr>
    </w:p>
    <w:p w14:paraId="42F82899">
      <w:pPr>
        <w:pStyle w:val="21"/>
        <w:rPr>
          <w:rFonts w:hint="eastAsia" w:ascii="黑体" w:hAnsi="黑体"/>
          <w:color w:val="auto"/>
          <w:szCs w:val="21"/>
        </w:rPr>
      </w:pPr>
    </w:p>
    <w:p w14:paraId="3DA9AE4D">
      <w:pPr>
        <w:pStyle w:val="21"/>
        <w:rPr>
          <w:rFonts w:hint="eastAsia" w:ascii="黑体" w:hAnsi="黑体"/>
          <w:color w:val="auto"/>
          <w:szCs w:val="21"/>
        </w:rPr>
      </w:pPr>
    </w:p>
    <w:p w14:paraId="01405686">
      <w:pPr>
        <w:pStyle w:val="21"/>
        <w:rPr>
          <w:rFonts w:hint="eastAsia" w:ascii="黑体" w:hAnsi="黑体"/>
          <w:color w:val="auto"/>
          <w:szCs w:val="21"/>
        </w:rPr>
      </w:pPr>
    </w:p>
    <w:p w14:paraId="1328857B">
      <w:pPr>
        <w:pStyle w:val="21"/>
        <w:rPr>
          <w:rFonts w:hint="eastAsia" w:ascii="黑体" w:hAnsi="黑体"/>
          <w:color w:val="auto"/>
          <w:szCs w:val="21"/>
        </w:rPr>
      </w:pPr>
    </w:p>
    <w:p w14:paraId="63A39017">
      <w:pPr>
        <w:pStyle w:val="21"/>
        <w:rPr>
          <w:rFonts w:hint="eastAsia" w:ascii="黑体" w:hAnsi="黑体"/>
          <w:color w:val="auto"/>
          <w:szCs w:val="21"/>
        </w:rPr>
      </w:pPr>
    </w:p>
    <w:p w14:paraId="29B2D1D2">
      <w:pPr>
        <w:pStyle w:val="21"/>
        <w:rPr>
          <w:rFonts w:hint="eastAsia" w:ascii="黑体" w:hAnsi="黑体"/>
          <w:color w:val="auto"/>
          <w:szCs w:val="21"/>
        </w:rPr>
      </w:pPr>
    </w:p>
    <w:p w14:paraId="081B4E25">
      <w:pPr>
        <w:pStyle w:val="21"/>
        <w:rPr>
          <w:rFonts w:hint="eastAsia" w:ascii="黑体" w:hAnsi="黑体"/>
          <w:color w:val="auto"/>
          <w:szCs w:val="21"/>
        </w:rPr>
      </w:pPr>
    </w:p>
    <w:p w14:paraId="3BD1B756">
      <w:pPr>
        <w:pStyle w:val="21"/>
        <w:rPr>
          <w:rFonts w:hint="eastAsia" w:ascii="黑体" w:hAnsi="黑体"/>
          <w:color w:val="auto"/>
          <w:szCs w:val="21"/>
        </w:rPr>
      </w:pPr>
    </w:p>
    <w:p w14:paraId="05DDE7AD">
      <w:pPr>
        <w:pStyle w:val="21"/>
        <w:rPr>
          <w:rFonts w:hint="eastAsia" w:ascii="黑体" w:hAnsi="黑体"/>
          <w:color w:val="auto"/>
          <w:szCs w:val="21"/>
        </w:rPr>
      </w:pPr>
    </w:p>
    <w:p w14:paraId="54F9AB35">
      <w:pPr>
        <w:pStyle w:val="21"/>
        <w:rPr>
          <w:rFonts w:hint="default" w:ascii="Times New Roman" w:hAnsi="Times New Roman" w:cs="Times New Roman"/>
          <w:color w:val="auto"/>
          <w:szCs w:val="21"/>
        </w:rPr>
      </w:pPr>
      <w:r>
        <w:rPr>
          <w:rFonts w:hint="default" w:ascii="Times New Roman" w:hAnsi="Times New Roman" w:cs="Times New Roman"/>
          <w:color w:val="auto"/>
          <w:szCs w:val="21"/>
        </w:rPr>
        <w:t>附图3.5-2 埋地卧式汽油储罐爆炸危险区域划分图</w:t>
      </w:r>
    </w:p>
    <w:p w14:paraId="1AC6D98A">
      <w:pPr>
        <w:rPr>
          <w:rFonts w:hint="default"/>
        </w:rPr>
      </w:pPr>
      <w:bookmarkStart w:id="685" w:name="_Toc31959"/>
      <w:bookmarkStart w:id="686" w:name="_Toc4394"/>
      <w:bookmarkStart w:id="687" w:name="_Toc13453"/>
      <w:bookmarkStart w:id="688" w:name="_Toc16156"/>
      <w:bookmarkStart w:id="689" w:name="_Toc22310"/>
      <w:bookmarkStart w:id="690" w:name="_Toc21096"/>
      <w:bookmarkStart w:id="691" w:name="_Toc28812"/>
    </w:p>
    <w:p w14:paraId="0E9DFB9C">
      <w:pPr>
        <w:pStyle w:val="3"/>
        <w:spacing w:line="360" w:lineRule="auto"/>
        <w:rPr>
          <w:rFonts w:hint="eastAsia" w:ascii="Times New Roman" w:hAnsi="Times New Roman" w:eastAsia="黑体" w:cs="Times New Roman"/>
          <w:color w:val="auto"/>
          <w:highlight w:val="none"/>
          <w:lang w:val="en-US" w:eastAsia="zh-CN"/>
        </w:rPr>
      </w:pPr>
      <w:bookmarkStart w:id="692" w:name="_Toc15827"/>
      <w:r>
        <w:rPr>
          <w:rFonts w:hint="default" w:ascii="Times New Roman" w:hAnsi="Times New Roman" w:cs="Times New Roman"/>
          <w:color w:val="auto"/>
          <w:highlight w:val="none"/>
        </w:rPr>
        <w:t>附件</w:t>
      </w: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：各单元评价</w:t>
      </w:r>
      <w:r>
        <w:rPr>
          <w:rFonts w:hint="eastAsia" w:ascii="Times New Roman" w:hAnsi="Times New Roman" w:cs="Times New Roman"/>
          <w:color w:val="auto"/>
          <w:highlight w:val="none"/>
          <w:lang w:val="en-US" w:eastAsia="zh-CN"/>
        </w:rPr>
        <w:t>过程</w:t>
      </w:r>
      <w:bookmarkEnd w:id="692"/>
    </w:p>
    <w:p w14:paraId="47A2EDAC">
      <w:pPr>
        <w:pStyle w:val="4"/>
        <w:keepNext/>
        <w:keepLines/>
        <w:pageBreakBefore w:val="0"/>
        <w:widowControl/>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rPr>
      </w:pPr>
      <w:bookmarkStart w:id="693" w:name="_Toc7671"/>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bookmarkEnd w:id="685"/>
      <w:bookmarkEnd w:id="686"/>
      <w:bookmarkEnd w:id="687"/>
      <w:bookmarkEnd w:id="688"/>
      <w:bookmarkEnd w:id="689"/>
      <w:r>
        <w:rPr>
          <w:rFonts w:hint="eastAsia" w:cs="Times New Roman"/>
          <w:color w:val="auto"/>
          <w:lang w:val="en-US" w:eastAsia="zh-CN"/>
        </w:rPr>
        <w:t>1</w:t>
      </w:r>
      <w:r>
        <w:rPr>
          <w:rFonts w:hint="default" w:ascii="Times New Roman" w:hAnsi="Times New Roman" w:cs="Times New Roman"/>
          <w:color w:val="auto"/>
        </w:rPr>
        <w:t>定性、定量评价过程</w:t>
      </w:r>
      <w:bookmarkEnd w:id="690"/>
      <w:bookmarkEnd w:id="691"/>
      <w:bookmarkEnd w:id="693"/>
    </w:p>
    <w:p w14:paraId="6261F7B7">
      <w:pPr>
        <w:pStyle w:val="5"/>
        <w:keepNext/>
        <w:keepLines/>
        <w:pageBreakBefore w:val="0"/>
        <w:widowControl/>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cs="Times New Roman"/>
          <w:color w:val="auto"/>
        </w:rPr>
      </w:pPr>
      <w:bookmarkStart w:id="694" w:name="_Toc11048"/>
      <w:bookmarkStart w:id="695" w:name="_Toc20141"/>
      <w:bookmarkStart w:id="696" w:name="_Toc29655"/>
      <w:bookmarkStart w:id="697" w:name="_Toc26292"/>
      <w:bookmarkStart w:id="698" w:name="_Toc13023"/>
      <w:bookmarkStart w:id="699" w:name="_Toc2468"/>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.1安全检查表法评价</w:t>
      </w:r>
      <w:bookmarkEnd w:id="694"/>
    </w:p>
    <w:p w14:paraId="6DDECE34">
      <w:pPr>
        <w:spacing w:line="360" w:lineRule="auto"/>
        <w:ind w:firstLine="560"/>
        <w:rPr>
          <w:rFonts w:hint="eastAsia"/>
          <w:color w:val="auto"/>
        </w:rPr>
      </w:pPr>
      <w:r>
        <w:rPr>
          <w:rFonts w:hint="default" w:ascii="Times New Roman" w:hAnsi="Times New Roman" w:cs="Times New Roman"/>
          <w:color w:val="auto"/>
        </w:rPr>
        <w:t>评价组采用《站址选择安全检查表》、《总平面布置安全检查表》、《加油工艺及设施安全检查表》、《消防设施和给排水安全检查表》、《电气与报警和紧急切断系统安全检查表》、《重大生产安全事故隐患判定检查表》对该加油站的站址选择、总平面布置、加油工艺及设施、消防设施和给排水、</w:t>
      </w:r>
      <w:r>
        <w:rPr>
          <w:rFonts w:hint="eastAsia"/>
          <w:color w:val="auto"/>
        </w:rPr>
        <w:t>电气与报警和紧急切断系统、是否存在重大生产安全事故隐患等进行安全检查。现按规范要求列检查表如下：</w:t>
      </w:r>
    </w:p>
    <w:p w14:paraId="2C784940">
      <w:pPr>
        <w:spacing w:line="360" w:lineRule="auto"/>
        <w:ind w:firstLine="560"/>
        <w:rPr>
          <w:rFonts w:hint="default" w:ascii="Times New Roman" w:hAnsi="Times New Roman" w:eastAsia="宋体" w:cs="Times New Roman"/>
          <w:b/>
          <w:bCs/>
          <w:color w:val="auto"/>
          <w:lang w:val="en-US" w:eastAsia="zh-CN"/>
        </w:rPr>
      </w:pPr>
      <w:r>
        <w:rPr>
          <w:rFonts w:hint="eastAsia" w:ascii="Times New Roman" w:hAnsi="Times New Roman"/>
          <w:b/>
          <w:bCs/>
          <w:color w:val="auto"/>
          <w:lang w:val="en-US" w:eastAsia="zh-CN"/>
        </w:rPr>
        <w:t>1</w:t>
      </w:r>
      <w:r>
        <w:rPr>
          <w:rFonts w:hint="eastAsia"/>
          <w:b/>
          <w:bCs/>
          <w:color w:val="auto"/>
          <w:lang w:val="en-US" w:eastAsia="zh-CN"/>
        </w:rPr>
        <w:t>）站址</w:t>
      </w:r>
      <w:r>
        <w:rPr>
          <w:rFonts w:hint="default" w:ascii="Times New Roman" w:hAnsi="Times New Roman" w:cs="Times New Roman"/>
          <w:b/>
          <w:bCs/>
          <w:color w:val="auto"/>
          <w:lang w:val="en-US" w:eastAsia="zh-CN"/>
        </w:rPr>
        <w:t>选址：</w:t>
      </w:r>
    </w:p>
    <w:p w14:paraId="1CDABF4F">
      <w:pPr>
        <w:pStyle w:val="21"/>
        <w:rPr>
          <w:rFonts w:hint="default" w:ascii="Times New Roman" w:hAnsi="Times New Roman" w:cs="Times New Roman"/>
          <w:color w:val="auto"/>
          <w:szCs w:val="21"/>
        </w:rPr>
      </w:pPr>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-1 站址选择安全检查表</w:t>
      </w:r>
    </w:p>
    <w:tbl>
      <w:tblPr>
        <w:tblStyle w:val="48"/>
        <w:tblW w:w="9397"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3692"/>
        <w:gridCol w:w="2569"/>
        <w:gridCol w:w="2365"/>
        <w:gridCol w:w="771"/>
      </w:tblGrid>
      <w:tr w14:paraId="1D5D48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3692" w:type="dxa"/>
            <w:tcBorders>
              <w:tl2br w:val="nil"/>
              <w:tr2bl w:val="nil"/>
            </w:tcBorders>
            <w:vAlign w:val="center"/>
          </w:tcPr>
          <w:p w14:paraId="7ABD28E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选址选择要求</w:t>
            </w:r>
          </w:p>
        </w:tc>
        <w:tc>
          <w:tcPr>
            <w:tcW w:w="2569" w:type="dxa"/>
            <w:tcBorders>
              <w:tl2br w:val="nil"/>
              <w:tr2bl w:val="nil"/>
            </w:tcBorders>
            <w:vAlign w:val="center"/>
          </w:tcPr>
          <w:p w14:paraId="4AF397BB">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依据标准</w:t>
            </w:r>
          </w:p>
        </w:tc>
        <w:tc>
          <w:tcPr>
            <w:tcW w:w="2365" w:type="dxa"/>
            <w:tcBorders>
              <w:tl2br w:val="nil"/>
              <w:tr2bl w:val="nil"/>
            </w:tcBorders>
            <w:vAlign w:val="center"/>
          </w:tcPr>
          <w:p w14:paraId="32A7BEA1">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检查结果</w:t>
            </w:r>
          </w:p>
        </w:tc>
        <w:tc>
          <w:tcPr>
            <w:tcW w:w="771" w:type="dxa"/>
            <w:tcBorders>
              <w:tl2br w:val="nil"/>
              <w:tr2bl w:val="nil"/>
            </w:tcBorders>
            <w:vAlign w:val="center"/>
          </w:tcPr>
          <w:p w14:paraId="2F04B88F">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6DF5AF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8" w:hRule="atLeast"/>
        </w:trPr>
        <w:tc>
          <w:tcPr>
            <w:tcW w:w="3692" w:type="dxa"/>
            <w:tcBorders>
              <w:tl2br w:val="nil"/>
              <w:tr2bl w:val="nil"/>
            </w:tcBorders>
            <w:vAlign w:val="center"/>
          </w:tcPr>
          <w:p w14:paraId="1A82B92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default" w:ascii="Times New Roman" w:hAnsi="Times New Roman"/>
                <w:color w:val="auto"/>
              </w:rPr>
              <w:t>1</w:t>
            </w:r>
            <w:r>
              <w:rPr>
                <w:rFonts w:hint="default"/>
                <w:color w:val="auto"/>
              </w:rPr>
              <w:t>.</w:t>
            </w:r>
            <w:r>
              <w:rPr>
                <w:rFonts w:hint="eastAsia"/>
                <w:color w:val="auto"/>
              </w:rPr>
              <w:t>汽车加油加气加氢站的站址选择应符合有关规划、环境保护和防火安全的要求，并应选在交通便利、用户使用方便的地点。</w:t>
            </w:r>
          </w:p>
        </w:tc>
        <w:tc>
          <w:tcPr>
            <w:tcW w:w="2569" w:type="dxa"/>
            <w:tcBorders>
              <w:tl2br w:val="nil"/>
              <w:tr2bl w:val="nil"/>
            </w:tcBorders>
            <w:vAlign w:val="center"/>
          </w:tcPr>
          <w:p w14:paraId="48592A7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w:t>
            </w:r>
            <w:r>
              <w:rPr>
                <w:rFonts w:hint="eastAsia"/>
                <w:color w:val="auto"/>
              </w:rPr>
              <w:t>条</w:t>
            </w:r>
          </w:p>
        </w:tc>
        <w:tc>
          <w:tcPr>
            <w:tcW w:w="2365" w:type="dxa"/>
            <w:tcBorders>
              <w:tl2br w:val="nil"/>
              <w:tr2bl w:val="nil"/>
            </w:tcBorders>
            <w:vAlign w:val="center"/>
          </w:tcPr>
          <w:p w14:paraId="7C1C647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该加油站的站址选择，符合城乡规划、环境保护和防火安全的要求，交通便利。</w:t>
            </w:r>
          </w:p>
        </w:tc>
        <w:tc>
          <w:tcPr>
            <w:tcW w:w="771" w:type="dxa"/>
            <w:tcBorders>
              <w:tl2br w:val="nil"/>
              <w:tr2bl w:val="nil"/>
            </w:tcBorders>
            <w:vAlign w:val="center"/>
          </w:tcPr>
          <w:p w14:paraId="0ECA2BC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5E0946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3" w:hRule="atLeast"/>
        </w:trPr>
        <w:tc>
          <w:tcPr>
            <w:tcW w:w="3692" w:type="dxa"/>
            <w:tcBorders>
              <w:tl2br w:val="nil"/>
              <w:tr2bl w:val="nil"/>
            </w:tcBorders>
            <w:vAlign w:val="center"/>
          </w:tcPr>
          <w:p w14:paraId="4FD3AF7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2</w:t>
            </w:r>
            <w:r>
              <w:rPr>
                <w:rFonts w:hint="eastAsia"/>
                <w:color w:val="auto"/>
              </w:rPr>
              <w:t>.在城市中心区不应建一级汽车加油加气加氢站、</w:t>
            </w:r>
            <w:r>
              <w:rPr>
                <w:rFonts w:hint="eastAsia" w:ascii="Times New Roman" w:hAnsi="Times New Roman"/>
                <w:color w:val="auto"/>
              </w:rPr>
              <w:t>CNG</w:t>
            </w:r>
            <w:r>
              <w:rPr>
                <w:rFonts w:hint="eastAsia"/>
                <w:color w:val="auto"/>
              </w:rPr>
              <w:t>加气母站。</w:t>
            </w:r>
          </w:p>
        </w:tc>
        <w:tc>
          <w:tcPr>
            <w:tcW w:w="2569" w:type="dxa"/>
            <w:tcBorders>
              <w:tl2br w:val="nil"/>
              <w:tr2bl w:val="nil"/>
            </w:tcBorders>
            <w:vAlign w:val="center"/>
          </w:tcPr>
          <w:p w14:paraId="048CBDA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eastAsia" w:ascii="Times New Roman" w:hAnsi="Times New Roman"/>
                <w:color w:val="auto"/>
              </w:rPr>
              <w:t>2</w:t>
            </w:r>
            <w:r>
              <w:rPr>
                <w:rFonts w:hint="eastAsia"/>
                <w:color w:val="auto"/>
              </w:rPr>
              <w:t>条</w:t>
            </w:r>
          </w:p>
        </w:tc>
        <w:tc>
          <w:tcPr>
            <w:tcW w:w="2365" w:type="dxa"/>
            <w:tcBorders>
              <w:tl2br w:val="nil"/>
              <w:tr2bl w:val="nil"/>
            </w:tcBorders>
            <w:vAlign w:val="center"/>
          </w:tcPr>
          <w:p w14:paraId="617166A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该加油站属于</w:t>
            </w:r>
            <w:r>
              <w:rPr>
                <w:rFonts w:hint="eastAsia"/>
                <w:color w:val="auto"/>
                <w:lang w:val="en-US" w:eastAsia="zh-CN"/>
              </w:rPr>
              <w:t>三级</w:t>
            </w:r>
            <w:r>
              <w:rPr>
                <w:rFonts w:hint="eastAsia"/>
                <w:color w:val="auto"/>
              </w:rPr>
              <w:t>加油站。</w:t>
            </w:r>
          </w:p>
        </w:tc>
        <w:tc>
          <w:tcPr>
            <w:tcW w:w="771" w:type="dxa"/>
            <w:tcBorders>
              <w:tl2br w:val="nil"/>
              <w:tr2bl w:val="nil"/>
            </w:tcBorders>
            <w:vAlign w:val="center"/>
          </w:tcPr>
          <w:p w14:paraId="46BFED5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62D728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3692" w:type="dxa"/>
            <w:tcBorders>
              <w:tl2br w:val="nil"/>
              <w:tr2bl w:val="nil"/>
            </w:tcBorders>
            <w:vAlign w:val="center"/>
          </w:tcPr>
          <w:p w14:paraId="3ECFC1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3</w:t>
            </w:r>
            <w:r>
              <w:rPr>
                <w:rFonts w:hint="eastAsia"/>
                <w:color w:val="auto"/>
              </w:rPr>
              <w:t>.城市建成区内的汽车加油加气加氢站宜靠近城市道路，但不宜选在城市干道的交叉路口附近。</w:t>
            </w:r>
          </w:p>
        </w:tc>
        <w:tc>
          <w:tcPr>
            <w:tcW w:w="2569" w:type="dxa"/>
            <w:tcBorders>
              <w:tl2br w:val="nil"/>
              <w:tr2bl w:val="nil"/>
            </w:tcBorders>
            <w:vAlign w:val="center"/>
          </w:tcPr>
          <w:p w14:paraId="300855E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3</w:t>
            </w:r>
            <w:r>
              <w:rPr>
                <w:rFonts w:hint="eastAsia"/>
                <w:color w:val="auto"/>
              </w:rPr>
              <w:t>条</w:t>
            </w:r>
          </w:p>
        </w:tc>
        <w:tc>
          <w:tcPr>
            <w:tcW w:w="2365" w:type="dxa"/>
            <w:tcBorders>
              <w:tl2br w:val="nil"/>
              <w:tr2bl w:val="nil"/>
            </w:tcBorders>
            <w:vAlign w:val="center"/>
          </w:tcPr>
          <w:p w14:paraId="2C67A79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该加油站不属于城市干道的交叉路口附近</w:t>
            </w:r>
          </w:p>
        </w:tc>
        <w:tc>
          <w:tcPr>
            <w:tcW w:w="771" w:type="dxa"/>
            <w:tcBorders>
              <w:tl2br w:val="nil"/>
              <w:tr2bl w:val="nil"/>
            </w:tcBorders>
            <w:vAlign w:val="center"/>
          </w:tcPr>
          <w:p w14:paraId="59AEAC3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2CA79A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40" w:hRule="atLeast"/>
        </w:trPr>
        <w:tc>
          <w:tcPr>
            <w:tcW w:w="3692" w:type="dxa"/>
            <w:tcBorders>
              <w:tl2br w:val="nil"/>
              <w:tr2bl w:val="nil"/>
            </w:tcBorders>
            <w:vAlign w:val="center"/>
          </w:tcPr>
          <w:p w14:paraId="0F6438B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4</w:t>
            </w:r>
            <w:r>
              <w:rPr>
                <w:rFonts w:hint="eastAsia"/>
                <w:color w:val="auto"/>
              </w:rPr>
              <w:t>.加油站的汽油埋地油罐、加油机、通气管管口与重要公共建筑物的安全间距不论级别均为</w:t>
            </w:r>
            <w:r>
              <w:rPr>
                <w:rFonts w:hint="eastAsia" w:ascii="Times New Roman" w:hAnsi="Times New Roman"/>
                <w:color w:val="auto"/>
              </w:rPr>
              <w:t>35m</w:t>
            </w:r>
            <w:r>
              <w:rPr>
                <w:rFonts w:hint="eastAsia"/>
                <w:color w:val="auto"/>
              </w:rPr>
              <w:t>（有卸油和加油油气回收系统）。</w:t>
            </w:r>
          </w:p>
        </w:tc>
        <w:tc>
          <w:tcPr>
            <w:tcW w:w="2569" w:type="dxa"/>
            <w:tcBorders>
              <w:tl2br w:val="nil"/>
              <w:tr2bl w:val="nil"/>
            </w:tcBorders>
            <w:vAlign w:val="center"/>
          </w:tcPr>
          <w:p w14:paraId="1D62835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p>
          <w:p w14:paraId="5217A71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066C04E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w:t>
            </w:r>
            <w:r>
              <w:rPr>
                <w:rFonts w:hint="default"/>
                <w:color w:val="auto"/>
              </w:rPr>
              <w:t>加油站的</w:t>
            </w:r>
            <w:r>
              <w:rPr>
                <w:rFonts w:hint="eastAsia"/>
                <w:color w:val="auto"/>
              </w:rPr>
              <w:t>汽油</w:t>
            </w:r>
            <w:r>
              <w:rPr>
                <w:rFonts w:hint="default"/>
                <w:color w:val="auto"/>
              </w:rPr>
              <w:t>埋地油罐</w:t>
            </w:r>
            <w:r>
              <w:rPr>
                <w:rFonts w:hint="eastAsia"/>
                <w:color w:val="auto"/>
              </w:rPr>
              <w:t>、</w:t>
            </w:r>
            <w:r>
              <w:rPr>
                <w:rFonts w:hint="default"/>
                <w:color w:val="auto"/>
              </w:rPr>
              <w:t>加油机和</w:t>
            </w:r>
            <w:r>
              <w:rPr>
                <w:rFonts w:hint="eastAsia"/>
                <w:color w:val="auto"/>
              </w:rPr>
              <w:t>通气管管口</w:t>
            </w:r>
            <w:r>
              <w:rPr>
                <w:rFonts w:hint="eastAsia"/>
                <w:color w:val="auto"/>
                <w:lang w:val="en-US" w:eastAsia="zh-CN"/>
              </w:rPr>
              <w:t>5</w:t>
            </w:r>
            <w:r>
              <w:rPr>
                <w:rFonts w:hint="eastAsia" w:ascii="Times New Roman" w:hAnsi="Times New Roman"/>
                <w:color w:val="auto"/>
              </w:rPr>
              <w:t>0m</w:t>
            </w:r>
            <w:r>
              <w:rPr>
                <w:rFonts w:hint="eastAsia"/>
                <w:color w:val="auto"/>
              </w:rPr>
              <w:t>范围内没有</w:t>
            </w:r>
            <w:r>
              <w:rPr>
                <w:rFonts w:hint="default"/>
                <w:color w:val="auto"/>
              </w:rPr>
              <w:t>重要公共建筑物</w:t>
            </w:r>
            <w:r>
              <w:rPr>
                <w:rFonts w:hint="eastAsia"/>
                <w:color w:val="auto"/>
              </w:rPr>
              <w:t>。</w:t>
            </w:r>
          </w:p>
        </w:tc>
        <w:tc>
          <w:tcPr>
            <w:tcW w:w="771" w:type="dxa"/>
            <w:tcBorders>
              <w:tl2br w:val="nil"/>
              <w:tr2bl w:val="nil"/>
            </w:tcBorders>
            <w:vAlign w:val="center"/>
          </w:tcPr>
          <w:p w14:paraId="1E96F08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3A7208B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52" w:hRule="atLeast"/>
        </w:trPr>
        <w:tc>
          <w:tcPr>
            <w:tcW w:w="3692" w:type="dxa"/>
            <w:tcBorders>
              <w:tl2br w:val="nil"/>
              <w:tr2bl w:val="nil"/>
            </w:tcBorders>
            <w:vAlign w:val="center"/>
          </w:tcPr>
          <w:p w14:paraId="048DCAA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5</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埋地汽油罐与明火地点或散发火花地点，有卸油和加油油气回收系统时防火间距为</w:t>
            </w:r>
            <w:r>
              <w:rPr>
                <w:rFonts w:hint="eastAsia"/>
                <w:color w:val="auto"/>
                <w:lang w:val="en-US" w:eastAsia="zh-CN"/>
              </w:rPr>
              <w:t>12.</w:t>
            </w:r>
            <w:r>
              <w:rPr>
                <w:rFonts w:hint="eastAsia" w:ascii="Times New Roman" w:hAnsi="Times New Roman"/>
                <w:color w:val="auto"/>
                <w:lang w:val="en-US" w:eastAsia="zh-CN"/>
              </w:rPr>
              <w:t>5</w:t>
            </w:r>
            <w:r>
              <w:rPr>
                <w:rFonts w:hint="eastAsia" w:ascii="Times New Roman" w:hAnsi="Times New Roman"/>
                <w:color w:val="auto"/>
              </w:rPr>
              <w:t>m</w:t>
            </w:r>
            <w:r>
              <w:rPr>
                <w:rFonts w:hint="eastAsia"/>
                <w:color w:val="auto"/>
              </w:rPr>
              <w:t>。</w:t>
            </w:r>
          </w:p>
        </w:tc>
        <w:tc>
          <w:tcPr>
            <w:tcW w:w="2569" w:type="dxa"/>
            <w:tcBorders>
              <w:tl2br w:val="nil"/>
              <w:tr2bl w:val="nil"/>
            </w:tcBorders>
            <w:vAlign w:val="center"/>
          </w:tcPr>
          <w:p w14:paraId="375D126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r>
              <w:rPr>
                <w:rFonts w:hint="eastAsia"/>
                <w:color w:val="auto"/>
              </w:rPr>
              <w:t>条</w:t>
            </w:r>
          </w:p>
          <w:p w14:paraId="688BA32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47DDAC1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该加油站汽油储罐与周围没有散发火花地点。</w:t>
            </w:r>
          </w:p>
        </w:tc>
        <w:tc>
          <w:tcPr>
            <w:tcW w:w="771" w:type="dxa"/>
            <w:tcBorders>
              <w:tl2br w:val="nil"/>
              <w:tr2bl w:val="nil"/>
            </w:tcBorders>
            <w:vAlign w:val="center"/>
          </w:tcPr>
          <w:p w14:paraId="68BEC97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43D577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3692" w:type="dxa"/>
            <w:tcBorders>
              <w:tl2br w:val="nil"/>
              <w:tr2bl w:val="nil"/>
            </w:tcBorders>
            <w:vAlign w:val="center"/>
          </w:tcPr>
          <w:p w14:paraId="11AEF96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6</w:t>
            </w:r>
            <w:r>
              <w:rPr>
                <w:rFonts w:hint="eastAsia"/>
                <w:color w:val="auto"/>
              </w:rPr>
              <w:t>.</w:t>
            </w:r>
            <w:r>
              <w:rPr>
                <w:rFonts w:hint="eastAsia"/>
                <w:color w:val="auto"/>
                <w:lang w:val="en-US" w:eastAsia="zh-CN"/>
              </w:rPr>
              <w:t>三级</w:t>
            </w:r>
            <w:r>
              <w:rPr>
                <w:rFonts w:hint="eastAsia"/>
                <w:color w:val="auto"/>
                <w:lang w:eastAsia="zh-CN"/>
              </w:rPr>
              <w:t>加油站</w:t>
            </w:r>
            <w:r>
              <w:rPr>
                <w:rFonts w:hint="eastAsia"/>
                <w:color w:val="auto"/>
              </w:rPr>
              <w:t>汽油通气管管口、加油机与明火或散发火花地点的防火间距为</w:t>
            </w:r>
            <w:r>
              <w:rPr>
                <w:rFonts w:hint="eastAsia" w:ascii="Times New Roman" w:hAnsi="Times New Roman"/>
                <w:color w:val="auto"/>
              </w:rPr>
              <w:t>12</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2B39A6A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4</w:t>
            </w:r>
            <w:r>
              <w:rPr>
                <w:rFonts w:hint="eastAsia"/>
                <w:color w:val="auto"/>
              </w:rPr>
              <w:t>条</w:t>
            </w:r>
          </w:p>
          <w:p w14:paraId="25B2B8D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5C7176A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该加油站汽油通气管管口、加油机周围</w:t>
            </w:r>
            <w:r>
              <w:rPr>
                <w:rFonts w:hint="eastAsia" w:ascii="Times New Roman" w:hAnsi="Times New Roman"/>
                <w:color w:val="auto"/>
              </w:rPr>
              <w:t>25m</w:t>
            </w:r>
            <w:r>
              <w:rPr>
                <w:rFonts w:hint="eastAsia"/>
                <w:color w:val="auto"/>
              </w:rPr>
              <w:t>范围内无明火或散发火花地点。</w:t>
            </w:r>
          </w:p>
        </w:tc>
        <w:tc>
          <w:tcPr>
            <w:tcW w:w="771" w:type="dxa"/>
            <w:tcBorders>
              <w:tl2br w:val="nil"/>
              <w:tr2bl w:val="nil"/>
            </w:tcBorders>
            <w:vAlign w:val="center"/>
          </w:tcPr>
          <w:p w14:paraId="35103D2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48C5BC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07" w:hRule="atLeast"/>
        </w:trPr>
        <w:tc>
          <w:tcPr>
            <w:tcW w:w="3692" w:type="dxa"/>
            <w:tcBorders>
              <w:tl2br w:val="nil"/>
              <w:tr2bl w:val="nil"/>
            </w:tcBorders>
            <w:vAlign w:val="center"/>
          </w:tcPr>
          <w:p w14:paraId="568874D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7</w:t>
            </w:r>
            <w:r>
              <w:rPr>
                <w:rFonts w:hint="eastAsia"/>
                <w:color w:val="auto"/>
              </w:rPr>
              <w:t>.民用建筑物按照其重要程度和人员密集程度分为三个保护类别，</w:t>
            </w:r>
            <w:r>
              <w:rPr>
                <w:rFonts w:hint="eastAsia"/>
                <w:color w:val="auto"/>
                <w:lang w:val="en-US" w:eastAsia="zh-CN"/>
              </w:rPr>
              <w:t>三</w:t>
            </w:r>
            <w:r>
              <w:rPr>
                <w:rFonts w:hint="eastAsia"/>
                <w:color w:val="auto"/>
                <w:lang w:eastAsia="zh-CN"/>
              </w:rPr>
              <w:t>级加油站</w:t>
            </w:r>
            <w:r>
              <w:rPr>
                <w:rFonts w:hint="eastAsia"/>
                <w:color w:val="auto"/>
              </w:rPr>
              <w:t>汽油埋地油罐（有卸油和加油油气回收系统）与一、二、三类保护物的防火间距分别为</w:t>
            </w:r>
            <w:r>
              <w:rPr>
                <w:rFonts w:hint="eastAsia" w:ascii="Times New Roman" w:hAnsi="Times New Roman"/>
                <w:color w:val="auto"/>
                <w:lang w:val="en-US" w:eastAsia="zh-CN"/>
              </w:rPr>
              <w:t>1</w:t>
            </w:r>
            <w:r>
              <w:rPr>
                <w:rFonts w:hint="eastAsia"/>
                <w:color w:val="auto"/>
                <w:lang w:val="en-US" w:eastAsia="zh-CN"/>
              </w:rPr>
              <w:t>1</w:t>
            </w:r>
            <w:r>
              <w:rPr>
                <w:rFonts w:hint="eastAsia" w:ascii="Times New Roman" w:hAnsi="Times New Roman"/>
                <w:color w:val="auto"/>
              </w:rPr>
              <w:t>m</w:t>
            </w:r>
            <w:r>
              <w:rPr>
                <w:rFonts w:hint="eastAsia"/>
                <w:color w:val="auto"/>
              </w:rPr>
              <w:t>、</w:t>
            </w:r>
            <w:r>
              <w:rPr>
                <w:rFonts w:hint="eastAsia"/>
                <w:color w:val="auto"/>
                <w:lang w:val="en-US" w:eastAsia="zh-CN"/>
              </w:rPr>
              <w:t>8.5</w:t>
            </w:r>
            <w:r>
              <w:rPr>
                <w:rFonts w:hint="eastAsia" w:ascii="Times New Roman" w:hAnsi="Times New Roman"/>
                <w:color w:val="auto"/>
              </w:rPr>
              <w:t>m</w:t>
            </w:r>
            <w:r>
              <w:rPr>
                <w:rFonts w:hint="eastAsia"/>
                <w:color w:val="auto"/>
              </w:rPr>
              <w:t>、</w:t>
            </w:r>
            <w:r>
              <w:rPr>
                <w:rFonts w:hint="eastAsia"/>
                <w:color w:val="auto"/>
                <w:lang w:val="en-US" w:eastAsia="zh-CN"/>
              </w:rPr>
              <w:t>7</w:t>
            </w:r>
            <w:r>
              <w:rPr>
                <w:rFonts w:hint="eastAsia" w:ascii="Times New Roman" w:hAnsi="Times New Roman"/>
                <w:color w:val="auto"/>
              </w:rPr>
              <w:t>m</w:t>
            </w:r>
            <w:r>
              <w:rPr>
                <w:rFonts w:hint="eastAsia"/>
                <w:color w:val="auto"/>
              </w:rPr>
              <w:t>。</w:t>
            </w:r>
          </w:p>
        </w:tc>
        <w:tc>
          <w:tcPr>
            <w:tcW w:w="2569" w:type="dxa"/>
            <w:tcBorders>
              <w:tl2br w:val="nil"/>
              <w:tr2bl w:val="nil"/>
            </w:tcBorders>
            <w:vAlign w:val="center"/>
          </w:tcPr>
          <w:p w14:paraId="071C527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r>
              <w:rPr>
                <w:rFonts w:hint="eastAsia"/>
                <w:color w:val="auto"/>
              </w:rPr>
              <w:t>条</w:t>
            </w:r>
          </w:p>
          <w:p w14:paraId="26AA10D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4B78768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lang w:val="en-US" w:eastAsia="zh-CN"/>
              </w:rPr>
              <w:t>该加油站站内汽油设备与周边建构筑物符合间距要求，详见本报告表</w:t>
            </w:r>
            <w:r>
              <w:rPr>
                <w:rFonts w:hint="eastAsia" w:ascii="Times New Roman" w:hAnsi="Times New Roman"/>
                <w:color w:val="auto"/>
                <w:lang w:val="en-US" w:eastAsia="zh-CN"/>
              </w:rPr>
              <w:t>2</w:t>
            </w:r>
            <w:r>
              <w:rPr>
                <w:rFonts w:hint="eastAsia"/>
                <w:color w:val="auto"/>
                <w:lang w:val="en-US" w:eastAsia="zh-CN"/>
              </w:rPr>
              <w:t>.</w:t>
            </w:r>
            <w:r>
              <w:rPr>
                <w:rFonts w:hint="eastAsia" w:ascii="Times New Roman" w:hAnsi="Times New Roman"/>
                <w:color w:val="auto"/>
                <w:lang w:val="en-US" w:eastAsia="zh-CN"/>
              </w:rPr>
              <w:t>4</w:t>
            </w:r>
            <w:r>
              <w:rPr>
                <w:rFonts w:hint="eastAsia"/>
                <w:color w:val="auto"/>
                <w:lang w:val="en-US" w:eastAsia="zh-CN"/>
              </w:rPr>
              <w:t>-</w:t>
            </w:r>
            <w:r>
              <w:rPr>
                <w:rFonts w:hint="eastAsia" w:ascii="Times New Roman" w:hAnsi="Times New Roman"/>
                <w:color w:val="auto"/>
                <w:lang w:val="en-US" w:eastAsia="zh-CN"/>
              </w:rPr>
              <w:t>1</w:t>
            </w:r>
            <w:r>
              <w:rPr>
                <w:rFonts w:hint="eastAsia"/>
                <w:color w:val="auto"/>
                <w:lang w:val="en-US" w:eastAsia="zh-CN"/>
              </w:rPr>
              <w:t>。</w:t>
            </w:r>
          </w:p>
        </w:tc>
        <w:tc>
          <w:tcPr>
            <w:tcW w:w="771" w:type="dxa"/>
            <w:tcBorders>
              <w:tl2br w:val="nil"/>
              <w:tr2bl w:val="nil"/>
            </w:tcBorders>
            <w:vAlign w:val="center"/>
          </w:tcPr>
          <w:p w14:paraId="0ACDEC3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4D0C27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692" w:type="dxa"/>
            <w:tcBorders>
              <w:tl2br w:val="nil"/>
              <w:tr2bl w:val="nil"/>
            </w:tcBorders>
            <w:vAlign w:val="center"/>
          </w:tcPr>
          <w:p w14:paraId="04CC462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lang w:val="en-US" w:eastAsia="zh-CN"/>
              </w:rPr>
              <w:t>8</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的汽油埋地油罐、通气管管口、加油机（有卸油和加油油气回收系统）与丙、丁、戊类物品生产厂房、库房和丙类液体储罐以及不大于</w:t>
            </w:r>
            <w:r>
              <w:rPr>
                <w:rFonts w:hint="eastAsia" w:ascii="Times New Roman" w:hAnsi="Times New Roman"/>
                <w:color w:val="auto"/>
              </w:rPr>
              <w:t>50m</w:t>
            </w:r>
            <w:r>
              <w:rPr>
                <w:rFonts w:hint="eastAsia" w:ascii="Times New Roman" w:hAnsi="Times New Roman"/>
                <w:color w:val="auto"/>
                <w:vertAlign w:val="superscript"/>
              </w:rPr>
              <w:t>3</w:t>
            </w:r>
            <w:r>
              <w:rPr>
                <w:rFonts w:hint="eastAsia"/>
                <w:color w:val="auto"/>
              </w:rPr>
              <w:t>的埋地甲、乙类液体储罐的防火距离分别为</w:t>
            </w:r>
            <w:r>
              <w:rPr>
                <w:rFonts w:hint="eastAsia"/>
                <w:color w:val="auto"/>
                <w:lang w:val="en-US" w:eastAsia="zh-CN"/>
              </w:rPr>
              <w:t>10.5</w:t>
            </w:r>
            <w:r>
              <w:rPr>
                <w:rFonts w:hint="eastAsia" w:ascii="Times New Roman" w:hAnsi="Times New Roman"/>
                <w:color w:val="auto"/>
              </w:rPr>
              <w:t>m</w:t>
            </w:r>
            <w:r>
              <w:rPr>
                <w:rFonts w:hint="eastAsia"/>
                <w:color w:val="auto"/>
              </w:rPr>
              <w:t>、</w:t>
            </w:r>
            <w:r>
              <w:rPr>
                <w:rFonts w:hint="eastAsia" w:ascii="Times New Roman" w:hAnsi="Times New Roman"/>
                <w:color w:val="auto"/>
              </w:rPr>
              <w:t>10</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10</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4742611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r>
              <w:rPr>
                <w:rFonts w:hint="eastAsia"/>
                <w:color w:val="auto"/>
              </w:rPr>
              <w:t>条</w:t>
            </w:r>
          </w:p>
          <w:p w14:paraId="35C6D7E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0FEFB33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lang w:val="en-US" w:eastAsia="zh-CN"/>
              </w:rPr>
              <w:t>不涉及</w:t>
            </w:r>
            <w:r>
              <w:rPr>
                <w:rFonts w:hint="eastAsia"/>
                <w:color w:val="auto"/>
              </w:rPr>
              <w:t>。</w:t>
            </w:r>
          </w:p>
        </w:tc>
        <w:tc>
          <w:tcPr>
            <w:tcW w:w="771" w:type="dxa"/>
            <w:tcBorders>
              <w:tl2br w:val="nil"/>
              <w:tr2bl w:val="nil"/>
            </w:tcBorders>
            <w:vAlign w:val="center"/>
          </w:tcPr>
          <w:p w14:paraId="0A85AF0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3B53A0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55" w:hRule="atLeast"/>
        </w:trPr>
        <w:tc>
          <w:tcPr>
            <w:tcW w:w="3692" w:type="dxa"/>
            <w:tcBorders>
              <w:tl2br w:val="nil"/>
              <w:tr2bl w:val="nil"/>
            </w:tcBorders>
            <w:vAlign w:val="center"/>
          </w:tcPr>
          <w:p w14:paraId="1968FE5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10</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的汽油埋地油罐、通气管管口、加油机（有卸油和加油油气回收系统）与室外变配电站的防火间距分别为</w:t>
            </w:r>
            <w:r>
              <w:rPr>
                <w:rFonts w:hint="eastAsia"/>
                <w:color w:val="auto"/>
                <w:lang w:val="en-US" w:eastAsia="zh-CN"/>
              </w:rPr>
              <w:t>12.</w:t>
            </w:r>
            <w:r>
              <w:rPr>
                <w:rFonts w:hint="eastAsia" w:ascii="Times New Roman" w:hAnsi="Times New Roman"/>
                <w:color w:val="auto"/>
                <w:lang w:val="en-US" w:eastAsia="zh-CN"/>
              </w:rPr>
              <w:t>5</w:t>
            </w:r>
            <w:r>
              <w:rPr>
                <w:rFonts w:hint="eastAsia" w:ascii="Times New Roman" w:hAnsi="Times New Roman"/>
                <w:color w:val="auto"/>
              </w:rPr>
              <w:t>m</w:t>
            </w:r>
            <w:r>
              <w:rPr>
                <w:rFonts w:hint="eastAsia"/>
                <w:color w:val="auto"/>
              </w:rPr>
              <w:t>、</w:t>
            </w:r>
            <w:r>
              <w:rPr>
                <w:rFonts w:hint="eastAsia" w:ascii="Times New Roman" w:hAnsi="Times New Roman"/>
                <w:color w:val="auto"/>
              </w:rPr>
              <w:t>12</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12</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2534816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r>
              <w:rPr>
                <w:rFonts w:hint="eastAsia"/>
                <w:color w:val="auto"/>
              </w:rPr>
              <w:t>条</w:t>
            </w:r>
          </w:p>
          <w:p w14:paraId="689DB05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41B4618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rPr>
                <w:rFonts w:hint="eastAsia" w:eastAsia="宋体"/>
                <w:color w:val="auto"/>
                <w:lang w:eastAsia="zh-CN"/>
              </w:rPr>
            </w:pPr>
            <w:r>
              <w:rPr>
                <w:rFonts w:hint="eastAsia"/>
                <w:color w:val="auto"/>
                <w:lang w:val="en-US" w:eastAsia="zh-CN"/>
              </w:rPr>
              <w:t>不涉及</w:t>
            </w:r>
          </w:p>
        </w:tc>
        <w:tc>
          <w:tcPr>
            <w:tcW w:w="771" w:type="dxa"/>
            <w:tcBorders>
              <w:tl2br w:val="nil"/>
              <w:tr2bl w:val="nil"/>
            </w:tcBorders>
            <w:vAlign w:val="center"/>
          </w:tcPr>
          <w:p w14:paraId="04D0A1B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2089956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50" w:hRule="atLeast"/>
        </w:trPr>
        <w:tc>
          <w:tcPr>
            <w:tcW w:w="3692" w:type="dxa"/>
            <w:tcBorders>
              <w:tl2br w:val="nil"/>
              <w:tr2bl w:val="nil"/>
            </w:tcBorders>
            <w:vAlign w:val="center"/>
          </w:tcPr>
          <w:p w14:paraId="73C6259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11</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的汽油埋地油罐、通气管管口、加油机（有卸油和加油油气回收系统）与铁路的防火间距分别为</w:t>
            </w:r>
            <w:r>
              <w:rPr>
                <w:rFonts w:hint="eastAsia" w:ascii="Times New Roman" w:hAnsi="Times New Roman"/>
                <w:color w:val="auto"/>
              </w:rPr>
              <w:t>15</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15</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15</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1124187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p>
          <w:p w14:paraId="7AB8CB7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60A5740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该加油站周边无铁路。</w:t>
            </w:r>
          </w:p>
        </w:tc>
        <w:tc>
          <w:tcPr>
            <w:tcW w:w="771" w:type="dxa"/>
            <w:tcBorders>
              <w:tl2br w:val="nil"/>
              <w:tr2bl w:val="nil"/>
            </w:tcBorders>
            <w:vAlign w:val="center"/>
          </w:tcPr>
          <w:p w14:paraId="71637E9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04B3CB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3692" w:type="dxa"/>
            <w:tcBorders>
              <w:tl2br w:val="nil"/>
              <w:tr2bl w:val="nil"/>
            </w:tcBorders>
            <w:vAlign w:val="center"/>
          </w:tcPr>
          <w:p w14:paraId="49C8823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12</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的汽油埋地油罐、通气管管口、加油机（有卸油和加油油气回收系统）与</w:t>
            </w:r>
            <w:r>
              <w:rPr>
                <w:rFonts w:hint="eastAsia"/>
                <w:color w:val="auto"/>
                <w:lang w:val="en-US" w:eastAsia="zh-CN"/>
              </w:rPr>
              <w:t>城市</w:t>
            </w:r>
            <w:r>
              <w:rPr>
                <w:rFonts w:hint="eastAsia"/>
                <w:color w:val="auto"/>
              </w:rPr>
              <w:t>快速路、主干路的防火间距分别为</w:t>
            </w:r>
            <w:r>
              <w:rPr>
                <w:rFonts w:hint="eastAsia" w:ascii="Times New Roman" w:hAnsi="Times New Roman"/>
                <w:color w:val="auto"/>
                <w:lang w:val="en-US" w:eastAsia="zh-CN"/>
              </w:rPr>
              <w:t>5</w:t>
            </w:r>
            <w:r>
              <w:rPr>
                <w:rFonts w:hint="eastAsia"/>
                <w:color w:val="auto"/>
                <w:lang w:val="en-US" w:eastAsia="zh-CN"/>
              </w:rPr>
              <w:t>.</w:t>
            </w:r>
            <w:r>
              <w:rPr>
                <w:rFonts w:hint="eastAsia" w:ascii="Times New Roman" w:hAnsi="Times New Roman"/>
                <w:color w:val="auto"/>
                <w:lang w:val="en-US" w:eastAsia="zh-CN"/>
              </w:rPr>
              <w:t>5</w:t>
            </w:r>
            <w:r>
              <w:rPr>
                <w:rFonts w:hint="eastAsia" w:ascii="Times New Roman" w:hAnsi="Times New Roman"/>
                <w:color w:val="auto"/>
              </w:rPr>
              <w:t>m</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1FBB38B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p>
          <w:p w14:paraId="620E449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4BBAF84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该加油站的汽油埋地油罐、通气管管口、加油机与周边道路的距离符合要求。</w:t>
            </w:r>
          </w:p>
        </w:tc>
        <w:tc>
          <w:tcPr>
            <w:tcW w:w="771" w:type="dxa"/>
            <w:tcBorders>
              <w:tl2br w:val="nil"/>
              <w:tr2bl w:val="nil"/>
            </w:tcBorders>
            <w:vAlign w:val="center"/>
          </w:tcPr>
          <w:p w14:paraId="44D1B02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7B3BBA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3692" w:type="dxa"/>
            <w:tcBorders>
              <w:tl2br w:val="nil"/>
              <w:tr2bl w:val="nil"/>
            </w:tcBorders>
            <w:vAlign w:val="center"/>
          </w:tcPr>
          <w:p w14:paraId="0E98FC8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13</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的汽油埋地油罐、通气管管口、加油机与架空通信线的防火间距分别为</w:t>
            </w:r>
            <w:r>
              <w:rPr>
                <w:rFonts w:hint="eastAsia" w:ascii="Times New Roman" w:hAnsi="Times New Roman"/>
                <w:color w:val="auto"/>
              </w:rPr>
              <w:t>5m</w:t>
            </w:r>
            <w:r>
              <w:rPr>
                <w:rFonts w:hint="eastAsia"/>
                <w:color w:val="auto"/>
              </w:rPr>
              <w:t>、</w:t>
            </w:r>
            <w:r>
              <w:rPr>
                <w:rFonts w:hint="eastAsia" w:ascii="Times New Roman" w:hAnsi="Times New Roman"/>
                <w:color w:val="auto"/>
              </w:rPr>
              <w:t>5m</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61AA55E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p>
          <w:p w14:paraId="7076FCE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11D5249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center"/>
              <w:textAlignment w:val="auto"/>
              <w:rPr>
                <w:rFonts w:hint="eastAsia" w:eastAsia="宋体"/>
                <w:color w:val="auto"/>
                <w:lang w:eastAsia="zh-CN"/>
              </w:rPr>
            </w:pPr>
            <w:r>
              <w:rPr>
                <w:rFonts w:hint="eastAsia"/>
                <w:color w:val="auto"/>
              </w:rPr>
              <w:t>该加油站的汽油埋地油罐、通气管管口、加油机与架空通信线的距离符合要求。</w:t>
            </w:r>
          </w:p>
        </w:tc>
        <w:tc>
          <w:tcPr>
            <w:tcW w:w="771" w:type="dxa"/>
            <w:tcBorders>
              <w:tl2br w:val="nil"/>
              <w:tr2bl w:val="nil"/>
            </w:tcBorders>
            <w:vAlign w:val="center"/>
          </w:tcPr>
          <w:p w14:paraId="69258A3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r w14:paraId="248379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3692" w:type="dxa"/>
            <w:tcBorders>
              <w:tl2br w:val="nil"/>
              <w:tr2bl w:val="nil"/>
            </w:tcBorders>
            <w:vAlign w:val="center"/>
          </w:tcPr>
          <w:p w14:paraId="24EDD9C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ascii="Times New Roman" w:hAnsi="Times New Roman"/>
                <w:color w:val="auto"/>
              </w:rPr>
              <w:t>14</w:t>
            </w:r>
            <w:r>
              <w:rPr>
                <w:rFonts w:hint="eastAsia"/>
                <w:color w:val="auto"/>
              </w:rPr>
              <w:t>.</w:t>
            </w:r>
            <w:r>
              <w:rPr>
                <w:rFonts w:hint="eastAsia"/>
                <w:color w:val="auto"/>
                <w:lang w:val="en-US" w:eastAsia="zh-CN"/>
              </w:rPr>
              <w:t>三</w:t>
            </w:r>
            <w:r>
              <w:rPr>
                <w:rFonts w:hint="eastAsia"/>
                <w:color w:val="auto"/>
                <w:lang w:eastAsia="zh-CN"/>
              </w:rPr>
              <w:t>级加油站</w:t>
            </w:r>
            <w:r>
              <w:rPr>
                <w:rFonts w:hint="eastAsia"/>
                <w:color w:val="auto"/>
              </w:rPr>
              <w:t>的汽油埋地油罐、通气管管口、加油机与架空电力线路（</w:t>
            </w:r>
            <w:r>
              <w:rPr>
                <w:rFonts w:hint="eastAsia"/>
                <w:color w:val="auto"/>
                <w:lang w:val="en-US" w:eastAsia="zh-CN"/>
              </w:rPr>
              <w:t>有</w:t>
            </w:r>
            <w:r>
              <w:rPr>
                <w:rFonts w:hint="eastAsia"/>
                <w:color w:val="auto"/>
              </w:rPr>
              <w:t>绝缘层）的防火间距分别为：</w:t>
            </w:r>
            <w:r>
              <w:rPr>
                <w:rFonts w:hint="eastAsia"/>
                <w:color w:val="auto"/>
                <w:lang w:val="en-US" w:eastAsia="zh-CN"/>
              </w:rPr>
              <w:t>5m</w:t>
            </w:r>
            <w:r>
              <w:rPr>
                <w:rFonts w:hint="eastAsia"/>
                <w:color w:val="auto"/>
              </w:rPr>
              <w:t>、</w:t>
            </w:r>
            <w:r>
              <w:rPr>
                <w:rFonts w:hint="eastAsia" w:ascii="Times New Roman" w:hAnsi="Times New Roman"/>
                <w:color w:val="auto"/>
              </w:rPr>
              <w:t>5m</w:t>
            </w:r>
            <w:r>
              <w:rPr>
                <w:rFonts w:hint="eastAsia"/>
                <w:color w:val="auto"/>
              </w:rPr>
              <w:t>。</w:t>
            </w:r>
          </w:p>
        </w:tc>
        <w:tc>
          <w:tcPr>
            <w:tcW w:w="2569" w:type="dxa"/>
            <w:tcBorders>
              <w:tl2br w:val="nil"/>
              <w:tr2bl w:val="nil"/>
            </w:tcBorders>
            <w:vAlign w:val="center"/>
          </w:tcPr>
          <w:p w14:paraId="63759BF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4</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4</w:t>
            </w:r>
          </w:p>
          <w:p w14:paraId="1FFACDB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及条文说明</w:t>
            </w:r>
          </w:p>
        </w:tc>
        <w:tc>
          <w:tcPr>
            <w:tcW w:w="2365" w:type="dxa"/>
            <w:tcBorders>
              <w:tl2br w:val="nil"/>
              <w:tr2bl w:val="nil"/>
            </w:tcBorders>
            <w:vAlign w:val="center"/>
          </w:tcPr>
          <w:p w14:paraId="2A7AC8B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该加油站内的汽油设备与周边架空电力线的距离符合要求。</w:t>
            </w:r>
          </w:p>
        </w:tc>
        <w:tc>
          <w:tcPr>
            <w:tcW w:w="771" w:type="dxa"/>
            <w:tcBorders>
              <w:tl2br w:val="nil"/>
              <w:tr2bl w:val="nil"/>
            </w:tcBorders>
            <w:vAlign w:val="center"/>
          </w:tcPr>
          <w:p w14:paraId="22C44AB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符合</w:t>
            </w:r>
          </w:p>
        </w:tc>
      </w:tr>
    </w:tbl>
    <w:p w14:paraId="1C7894A1">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color w:val="auto"/>
        </w:rPr>
      </w:pPr>
      <w:r>
        <w:rPr>
          <w:color w:val="auto"/>
        </w:rPr>
        <w:t>从上表可以看出，</w:t>
      </w:r>
      <w:r>
        <w:rPr>
          <w:rFonts w:hint="eastAsia"/>
          <w:color w:val="auto"/>
        </w:rPr>
        <w:t>该加油站在站址选择方面</w:t>
      </w:r>
      <w:r>
        <w:rPr>
          <w:color w:val="auto"/>
        </w:rPr>
        <w:t>能够满足现行国家标准</w:t>
      </w:r>
      <w:r>
        <w:rPr>
          <w:rFonts w:hint="eastAsia"/>
          <w:color w:val="auto"/>
        </w:rPr>
        <w:t>《汽车加油加气加氢站技术标准》（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w:t>
      </w:r>
      <w:r>
        <w:rPr>
          <w:color w:val="auto"/>
        </w:rPr>
        <w:t>中有关加油站选址的要求。</w:t>
      </w:r>
    </w:p>
    <w:p w14:paraId="1F6D551B">
      <w:pPr>
        <w:keepNext w:val="0"/>
        <w:keepLines w:val="0"/>
        <w:pageBreakBefore w:val="0"/>
        <w:widowControl/>
        <w:kinsoku/>
        <w:wordWrap/>
        <w:overflowPunct/>
        <w:topLinePunct w:val="0"/>
        <w:autoSpaceDE/>
        <w:autoSpaceDN/>
        <w:bidi w:val="0"/>
        <w:adjustRightInd/>
        <w:snapToGrid w:val="0"/>
        <w:spacing w:line="360" w:lineRule="auto"/>
        <w:ind w:firstLine="560"/>
        <w:textAlignment w:val="auto"/>
        <w:rPr>
          <w:rFonts w:hint="default" w:ascii="Times New Roman" w:hAnsi="Times New Roman" w:eastAsia="宋体" w:cs="Times New Roman"/>
          <w:b/>
          <w:bCs/>
          <w:color w:val="auto"/>
          <w:lang w:val="en-US" w:eastAsia="zh-CN"/>
        </w:rPr>
      </w:pPr>
      <w:r>
        <w:rPr>
          <w:rFonts w:hint="eastAsia" w:ascii="Times New Roman" w:hAnsi="Times New Roman"/>
          <w:b/>
          <w:bCs/>
          <w:color w:val="auto"/>
          <w:lang w:val="en-US" w:eastAsia="zh-CN"/>
        </w:rPr>
        <w:t>2</w:t>
      </w:r>
      <w:r>
        <w:rPr>
          <w:rFonts w:hint="default" w:ascii="Times New Roman" w:hAnsi="Times New Roman" w:cs="Times New Roman"/>
          <w:b/>
          <w:bCs/>
          <w:color w:val="auto"/>
          <w:lang w:val="en-US" w:eastAsia="zh-CN"/>
        </w:rPr>
        <w:t>）总平面布置</w:t>
      </w:r>
    </w:p>
    <w:p w14:paraId="78F1CCEC">
      <w:pPr>
        <w:pStyle w:val="21"/>
        <w:rPr>
          <w:rFonts w:hint="default" w:ascii="Times New Roman" w:hAnsi="Times New Roman" w:cs="Times New Roman"/>
          <w:color w:val="auto"/>
          <w:szCs w:val="21"/>
        </w:rPr>
      </w:pPr>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-2 总平面布置安全检查表</w:t>
      </w:r>
    </w:p>
    <w:tbl>
      <w:tblPr>
        <w:tblStyle w:val="48"/>
        <w:tblW w:w="9401"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4211"/>
        <w:gridCol w:w="1861"/>
        <w:gridCol w:w="2370"/>
        <w:gridCol w:w="959"/>
      </w:tblGrid>
      <w:tr w14:paraId="7975DC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65" w:hRule="atLeast"/>
          <w:tblHeader/>
        </w:trPr>
        <w:tc>
          <w:tcPr>
            <w:tcW w:w="4211" w:type="dxa"/>
            <w:tcBorders>
              <w:tl2br w:val="nil"/>
              <w:tr2bl w:val="nil"/>
            </w:tcBorders>
            <w:vAlign w:val="center"/>
          </w:tcPr>
          <w:p w14:paraId="4C7085AB">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总平面布置要求</w:t>
            </w:r>
          </w:p>
        </w:tc>
        <w:tc>
          <w:tcPr>
            <w:tcW w:w="1861" w:type="dxa"/>
            <w:tcBorders>
              <w:tl2br w:val="nil"/>
              <w:tr2bl w:val="nil"/>
            </w:tcBorders>
            <w:vAlign w:val="center"/>
          </w:tcPr>
          <w:p w14:paraId="4286FEFC">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依据标准</w:t>
            </w:r>
          </w:p>
        </w:tc>
        <w:tc>
          <w:tcPr>
            <w:tcW w:w="2370" w:type="dxa"/>
            <w:tcBorders>
              <w:tl2br w:val="nil"/>
              <w:tr2bl w:val="nil"/>
            </w:tcBorders>
            <w:vAlign w:val="center"/>
          </w:tcPr>
          <w:p w14:paraId="74386822">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检查结果</w:t>
            </w:r>
          </w:p>
        </w:tc>
        <w:tc>
          <w:tcPr>
            <w:tcW w:w="959" w:type="dxa"/>
            <w:tcBorders>
              <w:tl2br w:val="nil"/>
              <w:tr2bl w:val="nil"/>
            </w:tcBorders>
            <w:vAlign w:val="center"/>
          </w:tcPr>
          <w:p w14:paraId="010B059C">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428B9B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39" w:hRule="atLeast"/>
        </w:trPr>
        <w:tc>
          <w:tcPr>
            <w:tcW w:w="4211" w:type="dxa"/>
            <w:tcBorders>
              <w:tl2br w:val="nil"/>
              <w:tr2bl w:val="nil"/>
            </w:tcBorders>
            <w:vAlign w:val="center"/>
          </w:tcPr>
          <w:p w14:paraId="0B997EA0">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1.车辆入口和出口应分开设置。</w:t>
            </w:r>
          </w:p>
        </w:tc>
        <w:tc>
          <w:tcPr>
            <w:tcW w:w="1861" w:type="dxa"/>
            <w:tcBorders>
              <w:tl2br w:val="nil"/>
              <w:tr2bl w:val="nil"/>
            </w:tcBorders>
            <w:vAlign w:val="center"/>
          </w:tcPr>
          <w:p w14:paraId="3DA0DA8B">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GB50156-2021第5.0.1条</w:t>
            </w:r>
          </w:p>
        </w:tc>
        <w:tc>
          <w:tcPr>
            <w:tcW w:w="2370" w:type="dxa"/>
            <w:tcBorders>
              <w:tl2br w:val="nil"/>
              <w:tr2bl w:val="nil"/>
            </w:tcBorders>
            <w:vAlign w:val="center"/>
          </w:tcPr>
          <w:p w14:paraId="25754278">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该加油站出入口分开设置。</w:t>
            </w:r>
          </w:p>
        </w:tc>
        <w:tc>
          <w:tcPr>
            <w:tcW w:w="959" w:type="dxa"/>
            <w:tcBorders>
              <w:tl2br w:val="nil"/>
              <w:tr2bl w:val="nil"/>
            </w:tcBorders>
            <w:vAlign w:val="center"/>
          </w:tcPr>
          <w:p w14:paraId="45F536CC">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符合</w:t>
            </w:r>
          </w:p>
        </w:tc>
      </w:tr>
      <w:tr w14:paraId="71D8E8C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0C58CA61">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2.站区内停车位和道路应符合下列规定：</w:t>
            </w:r>
          </w:p>
          <w:p w14:paraId="004B2612">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1）站内车道或停车位宽度应按车辆类型确定。CNG加气母站内单车道或单车停车位宽度不应小于4.5m，双车道或双车停车位宽度不应小于9m；其他类型汽车加油加气加氢站的车道或停车位，单车道或单车停车位宽度不应小于4m，双车道或双车停车位宽度不应小于6m。</w:t>
            </w:r>
          </w:p>
          <w:p w14:paraId="100AD2D7">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2）站内的道路</w:t>
            </w:r>
            <w:r>
              <w:rPr>
                <w:rFonts w:hint="default" w:ascii="Times New Roman" w:hAnsi="Times New Roman" w:cs="Times New Roman"/>
                <w:color w:val="auto"/>
                <w:lang w:eastAsia="zh-CN"/>
              </w:rPr>
              <w:t>转弯</w:t>
            </w:r>
            <w:r>
              <w:rPr>
                <w:rFonts w:hint="default" w:ascii="Times New Roman" w:hAnsi="Times New Roman" w:cs="Times New Roman"/>
                <w:color w:val="auto"/>
              </w:rPr>
              <w:t>半径应按行驶车型确定，且不宜小于9m。</w:t>
            </w:r>
          </w:p>
          <w:p w14:paraId="68D66B37">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3）站内停车位应为平坡，道路坡度不应大于8%，且宜坡向站外。</w:t>
            </w:r>
          </w:p>
          <w:p w14:paraId="13E40ADF">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4）作业区内的停车场和道路路面不应采用沥青路面。</w:t>
            </w:r>
          </w:p>
        </w:tc>
        <w:tc>
          <w:tcPr>
            <w:tcW w:w="1861" w:type="dxa"/>
            <w:tcBorders>
              <w:tl2br w:val="nil"/>
              <w:tr2bl w:val="nil"/>
            </w:tcBorders>
            <w:vAlign w:val="center"/>
          </w:tcPr>
          <w:p w14:paraId="53FE8409">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GB50156-2021第5.0.2条</w:t>
            </w:r>
          </w:p>
        </w:tc>
        <w:tc>
          <w:tcPr>
            <w:tcW w:w="2370" w:type="dxa"/>
            <w:tcBorders>
              <w:tl2br w:val="nil"/>
              <w:tr2bl w:val="nil"/>
            </w:tcBorders>
            <w:vAlign w:val="center"/>
          </w:tcPr>
          <w:p w14:paraId="41117FF9">
            <w:pPr>
              <w:pStyle w:val="22"/>
              <w:keepNext w:val="0"/>
              <w:keepLines w:val="0"/>
              <w:widowControl/>
              <w:suppressLineNumbers w:val="0"/>
              <w:spacing w:before="0" w:beforeAutospacing="0" w:after="0" w:afterAutospacing="0" w:line="240" w:lineRule="auto"/>
              <w:ind w:left="0" w:right="0"/>
              <w:jc w:val="both"/>
              <w:rPr>
                <w:rFonts w:hint="default" w:ascii="Times New Roman" w:hAnsi="Times New Roman" w:cs="Times New Roman"/>
                <w:color w:val="auto"/>
              </w:rPr>
            </w:pPr>
            <w:r>
              <w:rPr>
                <w:rFonts w:hint="default" w:ascii="Times New Roman" w:hAnsi="Times New Roman" w:cs="Times New Roman"/>
                <w:color w:val="auto"/>
              </w:rPr>
              <w:t>该加油站加油单车道最小宽度</w:t>
            </w:r>
            <w:r>
              <w:rPr>
                <w:rFonts w:hint="default" w:ascii="Times New Roman" w:hAnsi="Times New Roman" w:cs="Times New Roman"/>
                <w:color w:val="auto"/>
                <w:lang w:val="en-US" w:eastAsia="zh-CN"/>
              </w:rPr>
              <w:t>大于4</w:t>
            </w:r>
            <w:r>
              <w:rPr>
                <w:rFonts w:hint="default" w:ascii="Times New Roman" w:hAnsi="Times New Roman" w:cs="Times New Roman"/>
                <w:color w:val="auto"/>
              </w:rPr>
              <w:t>m；双车道宽大于</w:t>
            </w:r>
            <w:r>
              <w:rPr>
                <w:rFonts w:hint="default" w:ascii="Times New Roman" w:hAnsi="Times New Roman" w:cs="Times New Roman"/>
                <w:color w:val="auto"/>
                <w:lang w:val="en-US" w:eastAsia="zh-CN"/>
              </w:rPr>
              <w:t>9</w:t>
            </w:r>
            <w:r>
              <w:rPr>
                <w:rFonts w:hint="default" w:ascii="Times New Roman" w:hAnsi="Times New Roman" w:cs="Times New Roman"/>
                <w:color w:val="auto"/>
              </w:rPr>
              <w:t>m。站内的道路转弯半径按行驶车型确定，转弯半径大于9m；道路坡度</w:t>
            </w:r>
            <w:r>
              <w:rPr>
                <w:rFonts w:hint="default" w:ascii="Times New Roman" w:hAnsi="Times New Roman" w:cs="Times New Roman"/>
                <w:color w:val="auto"/>
                <w:lang w:val="en-US" w:eastAsia="zh-CN"/>
              </w:rPr>
              <w:t>小于8</w:t>
            </w:r>
            <w:r>
              <w:rPr>
                <w:rFonts w:hint="default" w:ascii="Times New Roman" w:hAnsi="Times New Roman" w:cs="Times New Roman"/>
                <w:color w:val="auto"/>
              </w:rPr>
              <w:t>%；加油区地坪及卸油区地坪均为水平面。</w:t>
            </w:r>
          </w:p>
        </w:tc>
        <w:tc>
          <w:tcPr>
            <w:tcW w:w="959" w:type="dxa"/>
            <w:tcBorders>
              <w:tl2br w:val="nil"/>
              <w:tr2bl w:val="nil"/>
            </w:tcBorders>
            <w:vAlign w:val="center"/>
          </w:tcPr>
          <w:p w14:paraId="14DA5839">
            <w:pPr>
              <w:pStyle w:val="22"/>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符合</w:t>
            </w:r>
          </w:p>
        </w:tc>
      </w:tr>
      <w:tr w14:paraId="12604E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211" w:type="dxa"/>
            <w:tcBorders>
              <w:tl2br w:val="nil"/>
              <w:tr2bl w:val="nil"/>
            </w:tcBorders>
            <w:vAlign w:val="center"/>
          </w:tcPr>
          <w:p w14:paraId="0083B640">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color w:val="auto"/>
              </w:rPr>
            </w:pPr>
            <w:r>
              <w:rPr>
                <w:rFonts w:hint="default" w:ascii="Times New Roman" w:hAnsi="Times New Roman"/>
                <w:color w:val="auto"/>
              </w:rPr>
              <w:t>3</w:t>
            </w:r>
            <w:r>
              <w:rPr>
                <w:rFonts w:hint="default"/>
                <w:color w:val="auto"/>
              </w:rPr>
              <w:t>.</w:t>
            </w:r>
            <w:r>
              <w:rPr>
                <w:rFonts w:hint="eastAsia"/>
                <w:color w:val="auto"/>
              </w:rPr>
              <w:t>作业区与辅助服务区之间应有界线标识。</w:t>
            </w:r>
          </w:p>
        </w:tc>
        <w:tc>
          <w:tcPr>
            <w:tcW w:w="1861" w:type="dxa"/>
            <w:tcBorders>
              <w:tl2br w:val="nil"/>
              <w:tr2bl w:val="nil"/>
            </w:tcBorders>
            <w:vAlign w:val="center"/>
          </w:tcPr>
          <w:p w14:paraId="4828D80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3</w:t>
            </w:r>
            <w:r>
              <w:rPr>
                <w:rFonts w:hint="default"/>
                <w:color w:val="auto"/>
              </w:rPr>
              <w:t>条</w:t>
            </w:r>
          </w:p>
        </w:tc>
        <w:tc>
          <w:tcPr>
            <w:tcW w:w="2370" w:type="dxa"/>
            <w:tcBorders>
              <w:tl2br w:val="nil"/>
              <w:tr2bl w:val="nil"/>
            </w:tcBorders>
            <w:vAlign w:val="center"/>
          </w:tcPr>
          <w:p w14:paraId="034AF4F9">
            <w:pPr>
              <w:pStyle w:val="22"/>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eastAsia="宋体"/>
                <w:color w:val="auto"/>
                <w:lang w:val="en-US" w:eastAsia="zh-CN"/>
              </w:rPr>
            </w:pPr>
            <w:r>
              <w:rPr>
                <w:rFonts w:hint="eastAsia"/>
                <w:color w:val="auto"/>
                <w:lang w:val="en-US" w:eastAsia="zh-CN"/>
              </w:rPr>
              <w:t>不涉及</w:t>
            </w:r>
          </w:p>
        </w:tc>
        <w:tc>
          <w:tcPr>
            <w:tcW w:w="959" w:type="dxa"/>
            <w:tcBorders>
              <w:tl2br w:val="nil"/>
              <w:tr2bl w:val="nil"/>
            </w:tcBorders>
            <w:vAlign w:val="center"/>
          </w:tcPr>
          <w:p w14:paraId="19486D10">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52805B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8" w:hRule="atLeast"/>
        </w:trPr>
        <w:tc>
          <w:tcPr>
            <w:tcW w:w="4211" w:type="dxa"/>
            <w:tcBorders>
              <w:tl2br w:val="nil"/>
              <w:tr2bl w:val="nil"/>
            </w:tcBorders>
            <w:vAlign w:val="center"/>
          </w:tcPr>
          <w:p w14:paraId="13690771">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color w:val="auto"/>
              </w:rPr>
            </w:pPr>
            <w:r>
              <w:rPr>
                <w:rFonts w:hint="default" w:ascii="Times New Roman" w:hAnsi="Times New Roman"/>
                <w:color w:val="auto"/>
              </w:rPr>
              <w:t>4</w:t>
            </w:r>
            <w:r>
              <w:rPr>
                <w:rFonts w:hint="default"/>
                <w:color w:val="auto"/>
              </w:rPr>
              <w:t>.</w:t>
            </w:r>
            <w:r>
              <w:rPr>
                <w:rFonts w:hint="eastAsia"/>
                <w:color w:val="auto"/>
              </w:rPr>
              <w:t>加油加气加氢站作业区内，不得有“明火地点”或“散发火花地点”。</w:t>
            </w:r>
          </w:p>
        </w:tc>
        <w:tc>
          <w:tcPr>
            <w:tcW w:w="1861" w:type="dxa"/>
            <w:tcBorders>
              <w:tl2br w:val="nil"/>
              <w:tr2bl w:val="nil"/>
            </w:tcBorders>
            <w:vAlign w:val="center"/>
          </w:tcPr>
          <w:p w14:paraId="496BF89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5</w:t>
            </w:r>
            <w:r>
              <w:rPr>
                <w:rFonts w:hint="default"/>
                <w:color w:val="auto"/>
              </w:rPr>
              <w:t>条</w:t>
            </w:r>
          </w:p>
        </w:tc>
        <w:tc>
          <w:tcPr>
            <w:tcW w:w="2370" w:type="dxa"/>
            <w:tcBorders>
              <w:tl2br w:val="nil"/>
              <w:tr2bl w:val="nil"/>
            </w:tcBorders>
            <w:vAlign w:val="center"/>
          </w:tcPr>
          <w:p w14:paraId="4EB6420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color w:val="auto"/>
              </w:rPr>
              <w:t>加</w:t>
            </w:r>
            <w:r>
              <w:rPr>
                <w:rFonts w:hint="eastAsia" w:ascii="宋体" w:hAnsi="宋体" w:cs="宋体"/>
                <w:color w:val="auto"/>
              </w:rPr>
              <w:t>油作业区内无“明火地点”或“散发火花地点”。</w:t>
            </w:r>
          </w:p>
        </w:tc>
        <w:tc>
          <w:tcPr>
            <w:tcW w:w="959" w:type="dxa"/>
            <w:tcBorders>
              <w:tl2br w:val="nil"/>
              <w:tr2bl w:val="nil"/>
            </w:tcBorders>
            <w:vAlign w:val="center"/>
          </w:tcPr>
          <w:p w14:paraId="771E1530">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63B2D0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6BC10201">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color w:val="auto"/>
              </w:rPr>
            </w:pPr>
            <w:r>
              <w:rPr>
                <w:rFonts w:hint="eastAsia" w:ascii="Times New Roman" w:hAnsi="Times New Roman"/>
                <w:color w:val="auto"/>
              </w:rPr>
              <w:t>5</w:t>
            </w:r>
            <w:r>
              <w:rPr>
                <w:rFonts w:hint="eastAsia"/>
                <w:color w:val="auto"/>
              </w:rPr>
              <w:t>.当引用外源有困难时，汽车加油加气加氢站可设置小型内燃发电机组。内燃机的排烟管口应安装阻火器。排烟管口至各爆炸危险区域边界的水平距离，应符合下列规定：</w:t>
            </w:r>
          </w:p>
          <w:p w14:paraId="1AE2EF44">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color w:val="auto"/>
              </w:rPr>
            </w:pPr>
            <w:r>
              <w:rPr>
                <w:rFonts w:hint="eastAsia"/>
                <w:color w:val="auto"/>
              </w:rPr>
              <w:t>（</w:t>
            </w:r>
            <w:r>
              <w:rPr>
                <w:rFonts w:hint="eastAsia" w:ascii="Times New Roman" w:hAnsi="Times New Roman"/>
                <w:color w:val="auto"/>
              </w:rPr>
              <w:t>1</w:t>
            </w:r>
            <w:r>
              <w:rPr>
                <w:rFonts w:hint="eastAsia"/>
                <w:color w:val="auto"/>
              </w:rPr>
              <w:t>）排烟口高出地面</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以下时，不应小于</w:t>
            </w:r>
            <w:r>
              <w:rPr>
                <w:rFonts w:hint="eastAsia" w:ascii="Times New Roman" w:hAnsi="Times New Roman"/>
                <w:color w:val="auto"/>
              </w:rPr>
              <w:t>5m</w:t>
            </w:r>
            <w:r>
              <w:rPr>
                <w:rFonts w:hint="default"/>
                <w:color w:val="auto"/>
              </w:rPr>
              <w:t>。</w:t>
            </w:r>
          </w:p>
          <w:p w14:paraId="445E999B">
            <w:pPr>
              <w:pStyle w:val="22"/>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jc w:val="both"/>
              <w:textAlignment w:val="auto"/>
              <w:rPr>
                <w:rFonts w:hint="default"/>
                <w:color w:val="auto"/>
              </w:rPr>
            </w:pPr>
            <w:r>
              <w:rPr>
                <w:rFonts w:hint="eastAsia"/>
                <w:color w:val="auto"/>
              </w:rPr>
              <w:t>（</w:t>
            </w:r>
            <w:r>
              <w:rPr>
                <w:rFonts w:hint="eastAsia" w:ascii="Times New Roman" w:hAnsi="Times New Roman"/>
                <w:color w:val="auto"/>
              </w:rPr>
              <w:t>2</w:t>
            </w:r>
            <w:r>
              <w:rPr>
                <w:rFonts w:hint="eastAsia"/>
                <w:color w:val="auto"/>
              </w:rPr>
              <w:t>）排烟口高出地面</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以上时，不应小于</w:t>
            </w:r>
            <w:r>
              <w:rPr>
                <w:rFonts w:hint="eastAsia" w:ascii="Times New Roman" w:hAnsi="Times New Roman"/>
                <w:color w:val="auto"/>
              </w:rPr>
              <w:t>3m</w:t>
            </w:r>
            <w:r>
              <w:rPr>
                <w:rFonts w:hint="default"/>
                <w:color w:val="auto"/>
              </w:rPr>
              <w:t>。</w:t>
            </w:r>
          </w:p>
        </w:tc>
        <w:tc>
          <w:tcPr>
            <w:tcW w:w="1861" w:type="dxa"/>
            <w:tcBorders>
              <w:tl2br w:val="nil"/>
              <w:tr2bl w:val="nil"/>
            </w:tcBorders>
            <w:vAlign w:val="center"/>
          </w:tcPr>
          <w:p w14:paraId="4D8E0B1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eastAsia" w:ascii="Times New Roman" w:hAnsi="Times New Roman"/>
                <w:color w:val="auto"/>
              </w:rPr>
              <w:t>13</w:t>
            </w:r>
            <w:r>
              <w:rPr>
                <w:rFonts w:hint="eastAsia"/>
                <w:color w:val="auto"/>
              </w:rPr>
              <w:t>.</w:t>
            </w:r>
            <w:r>
              <w:rPr>
                <w:rFonts w:hint="eastAsia" w:ascii="Times New Roman" w:hAnsi="Times New Roman"/>
                <w:color w:val="auto"/>
              </w:rPr>
              <w:t>1</w:t>
            </w:r>
            <w:r>
              <w:rPr>
                <w:rFonts w:hint="eastAsia"/>
                <w:color w:val="auto"/>
              </w:rPr>
              <w:t>.</w:t>
            </w:r>
            <w:r>
              <w:rPr>
                <w:rFonts w:hint="eastAsia" w:ascii="Times New Roman" w:hAnsi="Times New Roman"/>
                <w:color w:val="auto"/>
              </w:rPr>
              <w:t>4</w:t>
            </w:r>
            <w:r>
              <w:rPr>
                <w:rFonts w:hint="default"/>
                <w:color w:val="auto"/>
              </w:rPr>
              <w:t>条</w:t>
            </w:r>
          </w:p>
        </w:tc>
        <w:tc>
          <w:tcPr>
            <w:tcW w:w="2370" w:type="dxa"/>
            <w:tcBorders>
              <w:tl2br w:val="nil"/>
              <w:tr2bl w:val="nil"/>
            </w:tcBorders>
            <w:vAlign w:val="center"/>
          </w:tcPr>
          <w:p w14:paraId="43F8CA3D">
            <w:pPr>
              <w:pStyle w:val="22"/>
              <w:keepNext w:val="0"/>
              <w:keepLines w:val="0"/>
              <w:widowControl/>
              <w:suppressLineNumbers w:val="0"/>
              <w:spacing w:before="0" w:beforeAutospacing="0" w:after="0" w:afterAutospacing="0" w:line="240" w:lineRule="auto"/>
              <w:ind w:left="0" w:right="0"/>
              <w:jc w:val="both"/>
              <w:rPr>
                <w:rFonts w:hint="default" w:eastAsia="宋体"/>
                <w:color w:val="auto"/>
                <w:lang w:val="en-US" w:eastAsia="zh-CN"/>
              </w:rPr>
            </w:pPr>
            <w:r>
              <w:rPr>
                <w:rFonts w:hint="eastAsia" w:ascii="Times New Roman" w:hAnsi="Times New Roman" w:cs="Times New Roman"/>
                <w:bCs/>
                <w:kern w:val="0"/>
                <w:sz w:val="21"/>
                <w:szCs w:val="21"/>
                <w:lang w:val="en-US" w:eastAsia="zh-CN"/>
              </w:rPr>
              <w:t>安</w:t>
            </w:r>
            <w:r>
              <w:rPr>
                <w:rFonts w:hint="eastAsia" w:ascii="宋体" w:hAnsi="宋体" w:eastAsia="宋体" w:cs="宋体"/>
                <w:color w:val="auto"/>
                <w:lang w:val="en-US" w:eastAsia="zh-CN"/>
              </w:rPr>
              <w:t>全条件符合</w:t>
            </w:r>
          </w:p>
        </w:tc>
        <w:tc>
          <w:tcPr>
            <w:tcW w:w="959" w:type="dxa"/>
            <w:tcBorders>
              <w:tl2br w:val="nil"/>
              <w:tr2bl w:val="nil"/>
            </w:tcBorders>
            <w:vAlign w:val="center"/>
          </w:tcPr>
          <w:p w14:paraId="1D8B3448">
            <w:pPr>
              <w:pStyle w:val="22"/>
              <w:keepNext w:val="0"/>
              <w:keepLines w:val="0"/>
              <w:widowControl/>
              <w:suppressLineNumbers w:val="0"/>
              <w:spacing w:before="0" w:beforeAutospacing="0" w:after="0" w:afterAutospacing="0" w:line="240" w:lineRule="auto"/>
              <w:ind w:left="0" w:right="0"/>
              <w:rPr>
                <w:rFonts w:hint="default" w:eastAsia="宋体"/>
                <w:color w:val="auto"/>
                <w:lang w:val="en-US" w:eastAsia="zh-CN"/>
              </w:rPr>
            </w:pPr>
            <w:r>
              <w:rPr>
                <w:rFonts w:hint="default"/>
                <w:color w:val="auto"/>
              </w:rPr>
              <w:t>符合</w:t>
            </w:r>
          </w:p>
        </w:tc>
      </w:tr>
      <w:tr w14:paraId="4F2A8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94" w:hRule="atLeast"/>
        </w:trPr>
        <w:tc>
          <w:tcPr>
            <w:tcW w:w="4211" w:type="dxa"/>
            <w:tcBorders>
              <w:tl2br w:val="nil"/>
              <w:tr2bl w:val="nil"/>
            </w:tcBorders>
            <w:vAlign w:val="center"/>
          </w:tcPr>
          <w:p w14:paraId="550371C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6</w:t>
            </w:r>
            <w:r>
              <w:rPr>
                <w:rFonts w:hint="default"/>
                <w:color w:val="auto"/>
              </w:rPr>
              <w:t>.</w:t>
            </w:r>
            <w:r>
              <w:rPr>
                <w:rFonts w:hint="eastAsia"/>
                <w:color w:val="auto"/>
              </w:rPr>
              <w:t>站房不应布置在爆炸危险区域。站房部分位于作业区内时，建筑面积等应符合本标准第</w:t>
            </w:r>
            <w:r>
              <w:rPr>
                <w:rFonts w:hint="eastAsia" w:ascii="Times New Roman" w:hAnsi="Times New Roman"/>
                <w:color w:val="auto"/>
              </w:rPr>
              <w:t>14</w:t>
            </w:r>
            <w:r>
              <w:rPr>
                <w:rFonts w:hint="eastAsia"/>
                <w:color w:val="auto"/>
              </w:rPr>
              <w:t>.</w:t>
            </w:r>
            <w:r>
              <w:rPr>
                <w:rFonts w:hint="eastAsia" w:ascii="Times New Roman" w:hAnsi="Times New Roman"/>
                <w:color w:val="auto"/>
              </w:rPr>
              <w:t>2</w:t>
            </w:r>
            <w:r>
              <w:rPr>
                <w:rFonts w:hint="eastAsia"/>
                <w:color w:val="auto"/>
              </w:rPr>
              <w:t>.</w:t>
            </w:r>
            <w:r>
              <w:rPr>
                <w:rFonts w:hint="eastAsia" w:ascii="Times New Roman" w:hAnsi="Times New Roman"/>
                <w:color w:val="auto"/>
              </w:rPr>
              <w:t>10</w:t>
            </w:r>
            <w:r>
              <w:rPr>
                <w:rFonts w:hint="eastAsia"/>
                <w:color w:val="auto"/>
              </w:rPr>
              <w:t>条的规定。</w:t>
            </w:r>
          </w:p>
        </w:tc>
        <w:tc>
          <w:tcPr>
            <w:tcW w:w="1861" w:type="dxa"/>
            <w:tcBorders>
              <w:tl2br w:val="nil"/>
              <w:tr2bl w:val="nil"/>
            </w:tcBorders>
            <w:vAlign w:val="center"/>
          </w:tcPr>
          <w:p w14:paraId="77A12D2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9</w:t>
            </w:r>
            <w:r>
              <w:rPr>
                <w:rFonts w:hint="default"/>
                <w:color w:val="auto"/>
              </w:rPr>
              <w:t>条</w:t>
            </w:r>
          </w:p>
        </w:tc>
        <w:tc>
          <w:tcPr>
            <w:tcW w:w="2370" w:type="dxa"/>
            <w:tcBorders>
              <w:tl2br w:val="nil"/>
              <w:tr2bl w:val="nil"/>
            </w:tcBorders>
            <w:vAlign w:val="center"/>
          </w:tcPr>
          <w:p w14:paraId="78594CF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站房建筑面积等符合本标准第14.2.10条的规定</w:t>
            </w:r>
          </w:p>
        </w:tc>
        <w:tc>
          <w:tcPr>
            <w:tcW w:w="959" w:type="dxa"/>
            <w:tcBorders>
              <w:tl2br w:val="nil"/>
              <w:tr2bl w:val="nil"/>
            </w:tcBorders>
            <w:vAlign w:val="center"/>
          </w:tcPr>
          <w:p w14:paraId="3C2F9AEE">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372E96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3E5BC03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7</w:t>
            </w:r>
            <w:r>
              <w:rPr>
                <w:rFonts w:hint="default"/>
                <w:color w:val="auto"/>
              </w:rPr>
              <w:t>.</w:t>
            </w:r>
            <w:r>
              <w:rPr>
                <w:rFonts w:hint="eastAsia"/>
                <w:color w:val="auto"/>
              </w:rPr>
              <w:t>当汽车加油加气加氢站内设置非油品业务建筑物或设施时，不应布置在作业区内，与站内可燃液体或可燃气体设备的防火间距，应符合本标准第</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4</w:t>
            </w:r>
            <w:r>
              <w:rPr>
                <w:rFonts w:hint="eastAsia"/>
                <w:color w:val="auto"/>
              </w:rPr>
              <w:t>条～第</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8</w:t>
            </w:r>
            <w:r>
              <w:rPr>
                <w:rFonts w:hint="eastAsia"/>
                <w:color w:val="auto"/>
              </w:rPr>
              <w:t>条有关三类保护物的规定。当站内经营性餐饮、汽车服务、司机休息室等设施内设置明火设备时，应等同于“明火地点”或“散发火花地点”。</w:t>
            </w:r>
          </w:p>
        </w:tc>
        <w:tc>
          <w:tcPr>
            <w:tcW w:w="1861" w:type="dxa"/>
            <w:tcBorders>
              <w:tl2br w:val="nil"/>
              <w:tr2bl w:val="nil"/>
            </w:tcBorders>
            <w:vAlign w:val="center"/>
          </w:tcPr>
          <w:p w14:paraId="1D422669">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10</w:t>
            </w:r>
            <w:r>
              <w:rPr>
                <w:rFonts w:hint="default"/>
                <w:color w:val="auto"/>
              </w:rPr>
              <w:t>条</w:t>
            </w:r>
          </w:p>
        </w:tc>
        <w:tc>
          <w:tcPr>
            <w:tcW w:w="2370" w:type="dxa"/>
            <w:tcBorders>
              <w:tl2br w:val="nil"/>
              <w:tr2bl w:val="nil"/>
            </w:tcBorders>
            <w:vAlign w:val="center"/>
          </w:tcPr>
          <w:p w14:paraId="08F122AA">
            <w:pPr>
              <w:pStyle w:val="22"/>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eastAsia="宋体"/>
                <w:color w:val="auto"/>
                <w:lang w:eastAsia="zh-CN"/>
              </w:rPr>
            </w:pPr>
            <w:r>
              <w:rPr>
                <w:rFonts w:hint="eastAsia"/>
                <w:color w:val="auto"/>
                <w:lang w:val="en-US" w:eastAsia="zh-CN"/>
              </w:rPr>
              <w:t>不涉及</w:t>
            </w:r>
          </w:p>
        </w:tc>
        <w:tc>
          <w:tcPr>
            <w:tcW w:w="959" w:type="dxa"/>
            <w:tcBorders>
              <w:tl2br w:val="nil"/>
              <w:tr2bl w:val="nil"/>
            </w:tcBorders>
            <w:vAlign w:val="center"/>
          </w:tcPr>
          <w:p w14:paraId="3D501A26">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1FFFC1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235C411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8</w:t>
            </w:r>
            <w:r>
              <w:rPr>
                <w:rFonts w:hint="default"/>
                <w:color w:val="auto"/>
              </w:rPr>
              <w:t>.</w:t>
            </w:r>
            <w:r>
              <w:rPr>
                <w:rFonts w:hint="eastAsia"/>
                <w:color w:val="auto"/>
              </w:rPr>
              <w:t>汽车加油加气加氢站内的爆炸危险区域，不应超出站区围墙和可用地界线。</w:t>
            </w:r>
          </w:p>
        </w:tc>
        <w:tc>
          <w:tcPr>
            <w:tcW w:w="1861" w:type="dxa"/>
            <w:tcBorders>
              <w:tl2br w:val="nil"/>
              <w:tr2bl w:val="nil"/>
            </w:tcBorders>
            <w:vAlign w:val="center"/>
          </w:tcPr>
          <w:p w14:paraId="0980AEEA">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11</w:t>
            </w:r>
            <w:r>
              <w:rPr>
                <w:rFonts w:hint="default"/>
                <w:color w:val="auto"/>
              </w:rPr>
              <w:t>条</w:t>
            </w:r>
          </w:p>
        </w:tc>
        <w:tc>
          <w:tcPr>
            <w:tcW w:w="2370" w:type="dxa"/>
            <w:tcBorders>
              <w:tl2br w:val="nil"/>
              <w:tr2bl w:val="nil"/>
            </w:tcBorders>
            <w:vAlign w:val="center"/>
          </w:tcPr>
          <w:p w14:paraId="0E361C2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color w:val="auto"/>
              </w:rPr>
              <w:t>加油站的爆炸危险区域，未超出可用地界线</w:t>
            </w:r>
            <w:r>
              <w:rPr>
                <w:rFonts w:hint="eastAsia"/>
                <w:color w:val="auto"/>
              </w:rPr>
              <w:t>。</w:t>
            </w:r>
          </w:p>
        </w:tc>
        <w:tc>
          <w:tcPr>
            <w:tcW w:w="959" w:type="dxa"/>
            <w:tcBorders>
              <w:tl2br w:val="nil"/>
              <w:tr2bl w:val="nil"/>
            </w:tcBorders>
            <w:vAlign w:val="center"/>
          </w:tcPr>
          <w:p w14:paraId="2473D63E">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66122B7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2718EDE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9</w:t>
            </w:r>
            <w:r>
              <w:rPr>
                <w:rFonts w:hint="default"/>
                <w:color w:val="auto"/>
              </w:rPr>
              <w:t>.</w:t>
            </w:r>
            <w:r>
              <w:rPr>
                <w:rFonts w:hint="eastAsia"/>
                <w:color w:val="auto"/>
              </w:rPr>
              <w:t>汽车加油加气加氢站的工艺设备与站外建（构）筑物之间，宜设置不燃烧体实体围墙，围墙高度相对于站内和站外地坪均不宜低于</w:t>
            </w:r>
            <w:r>
              <w:rPr>
                <w:rFonts w:hint="eastAsia" w:ascii="Times New Roman" w:hAnsi="Times New Roman"/>
                <w:color w:val="auto"/>
              </w:rPr>
              <w:t>2</w:t>
            </w:r>
            <w:r>
              <w:rPr>
                <w:rFonts w:hint="eastAsia"/>
                <w:color w:val="auto"/>
              </w:rPr>
              <w:t>.</w:t>
            </w:r>
            <w:r>
              <w:rPr>
                <w:rFonts w:hint="eastAsia" w:ascii="Times New Roman" w:hAnsi="Times New Roman"/>
                <w:color w:val="auto"/>
              </w:rPr>
              <w:t>2m</w:t>
            </w:r>
            <w:r>
              <w:rPr>
                <w:rFonts w:hint="eastAsia"/>
                <w:color w:val="auto"/>
              </w:rPr>
              <w:t>。当汽车加油加气加氢站的工艺设备与站外建（构）筑物之间的距离大于本标准表</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4</w:t>
            </w:r>
            <w:r>
              <w:rPr>
                <w:rFonts w:hint="eastAsia"/>
                <w:color w:val="auto"/>
              </w:rPr>
              <w:t>～表</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8</w:t>
            </w:r>
            <w:r>
              <w:rPr>
                <w:rFonts w:hint="eastAsia"/>
                <w:color w:val="auto"/>
              </w:rPr>
              <w:t>中安全间距的</w:t>
            </w:r>
            <w:r>
              <w:rPr>
                <w:rFonts w:hint="eastAsia" w:ascii="Times New Roman" w:hAnsi="Times New Roman"/>
                <w:color w:val="auto"/>
              </w:rPr>
              <w:t>1</w:t>
            </w:r>
            <w:r>
              <w:rPr>
                <w:rFonts w:hint="eastAsia"/>
                <w:color w:val="auto"/>
              </w:rPr>
              <w:t>.</w:t>
            </w:r>
            <w:r>
              <w:rPr>
                <w:rFonts w:hint="eastAsia" w:ascii="Times New Roman" w:hAnsi="Times New Roman"/>
                <w:color w:val="auto"/>
              </w:rPr>
              <w:t>5</w:t>
            </w:r>
            <w:r>
              <w:rPr>
                <w:rFonts w:hint="eastAsia"/>
                <w:color w:val="auto"/>
              </w:rPr>
              <w:t>倍，且大于</w:t>
            </w:r>
            <w:r>
              <w:rPr>
                <w:rFonts w:hint="eastAsia" w:ascii="Times New Roman" w:hAnsi="Times New Roman"/>
                <w:color w:val="auto"/>
              </w:rPr>
              <w:t>25m</w:t>
            </w:r>
            <w:r>
              <w:rPr>
                <w:rFonts w:hint="eastAsia"/>
                <w:color w:val="auto"/>
              </w:rPr>
              <w:t>时，可设置非实体围墙。面向车辆入口和出口道路的一侧可设非实体围墙或不设围墙。与站区限毗邻的一、二级耐火等级的站外建（构）筑物，其面向加油加气加氢站侧无门、窗、孔洞的外墙，可视为站区实体围墙的一部分，但站内工艺设备与其的安全距离应符合本标准表</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4</w:t>
            </w:r>
            <w:r>
              <w:rPr>
                <w:rFonts w:hint="eastAsia"/>
                <w:color w:val="auto"/>
              </w:rPr>
              <w:t>～表</w:t>
            </w:r>
            <w:r>
              <w:rPr>
                <w:rFonts w:hint="eastAsia" w:ascii="Times New Roman" w:hAnsi="Times New Roman"/>
                <w:color w:val="auto"/>
              </w:rPr>
              <w:t>4</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8</w:t>
            </w:r>
            <w:r>
              <w:rPr>
                <w:rFonts w:hint="eastAsia"/>
                <w:color w:val="auto"/>
              </w:rPr>
              <w:t>的相关规定。</w:t>
            </w:r>
          </w:p>
        </w:tc>
        <w:tc>
          <w:tcPr>
            <w:tcW w:w="1861" w:type="dxa"/>
            <w:tcBorders>
              <w:tl2br w:val="nil"/>
              <w:tr2bl w:val="nil"/>
            </w:tcBorders>
            <w:vAlign w:val="center"/>
          </w:tcPr>
          <w:p w14:paraId="194C195B">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12</w:t>
            </w:r>
            <w:r>
              <w:rPr>
                <w:rFonts w:hint="default"/>
                <w:color w:val="auto"/>
              </w:rPr>
              <w:t>条</w:t>
            </w:r>
          </w:p>
        </w:tc>
        <w:tc>
          <w:tcPr>
            <w:tcW w:w="2370" w:type="dxa"/>
            <w:tcBorders>
              <w:tl2br w:val="nil"/>
              <w:tr2bl w:val="nil"/>
            </w:tcBorders>
            <w:vAlign w:val="center"/>
          </w:tcPr>
          <w:p w14:paraId="09179A61">
            <w:pPr>
              <w:pStyle w:val="22"/>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eastAsia="宋体"/>
                <w:color w:val="auto"/>
                <w:lang w:eastAsia="zh-CN"/>
              </w:rPr>
            </w:pPr>
            <w:r>
              <w:rPr>
                <w:rFonts w:hint="eastAsia"/>
                <w:color w:val="auto"/>
                <w:lang w:val="en-US" w:eastAsia="zh-CN"/>
              </w:rPr>
              <w:t>不涉及</w:t>
            </w:r>
          </w:p>
        </w:tc>
        <w:tc>
          <w:tcPr>
            <w:tcW w:w="959" w:type="dxa"/>
            <w:tcBorders>
              <w:tl2br w:val="nil"/>
              <w:tr2bl w:val="nil"/>
            </w:tcBorders>
            <w:vAlign w:val="center"/>
          </w:tcPr>
          <w:p w14:paraId="7CAF5A31">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75805D4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38AFC2A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10</w:t>
            </w:r>
            <w:r>
              <w:rPr>
                <w:rFonts w:hint="default"/>
                <w:color w:val="auto"/>
              </w:rPr>
              <w:t>.加油站埋地油罐与密闭卸油点的防火间距无要求，通气管管口与密闭卸油点的防火距离</w:t>
            </w:r>
            <w:r>
              <w:rPr>
                <w:rFonts w:hint="default" w:ascii="Times New Roman" w:hAnsi="Times New Roman"/>
                <w:color w:val="auto"/>
              </w:rPr>
              <w:t>3m</w:t>
            </w:r>
            <w:r>
              <w:rPr>
                <w:rFonts w:hint="default"/>
                <w:color w:val="auto"/>
              </w:rPr>
              <w:t>。</w:t>
            </w:r>
          </w:p>
        </w:tc>
        <w:tc>
          <w:tcPr>
            <w:tcW w:w="1861" w:type="dxa"/>
            <w:tcBorders>
              <w:tl2br w:val="nil"/>
              <w:tr2bl w:val="nil"/>
            </w:tcBorders>
            <w:vAlign w:val="center"/>
          </w:tcPr>
          <w:p w14:paraId="7D7DD31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13</w:t>
            </w:r>
            <w:r>
              <w:rPr>
                <w:rFonts w:hint="default"/>
                <w:color w:val="auto"/>
              </w:rPr>
              <w:t>条</w:t>
            </w:r>
          </w:p>
        </w:tc>
        <w:tc>
          <w:tcPr>
            <w:tcW w:w="2370" w:type="dxa"/>
            <w:tcBorders>
              <w:tl2br w:val="nil"/>
              <w:tr2bl w:val="nil"/>
            </w:tcBorders>
            <w:vAlign w:val="center"/>
          </w:tcPr>
          <w:p w14:paraId="3E5ECB1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汽油</w:t>
            </w:r>
            <w:r>
              <w:rPr>
                <w:rFonts w:hint="default"/>
                <w:color w:val="auto"/>
              </w:rPr>
              <w:t>通气管管口与密闭卸油点的防火间距</w:t>
            </w:r>
            <w:r>
              <w:rPr>
                <w:rFonts w:hint="eastAsia"/>
                <w:color w:val="auto"/>
                <w:lang w:val="en-US" w:eastAsia="zh-CN"/>
              </w:rPr>
              <w:t>大于3m</w:t>
            </w:r>
            <w:r>
              <w:rPr>
                <w:rFonts w:hint="eastAsia"/>
                <w:color w:val="auto"/>
              </w:rPr>
              <w:t>。</w:t>
            </w:r>
          </w:p>
        </w:tc>
        <w:tc>
          <w:tcPr>
            <w:tcW w:w="959" w:type="dxa"/>
            <w:tcBorders>
              <w:tl2br w:val="nil"/>
              <w:tr2bl w:val="nil"/>
            </w:tcBorders>
            <w:vAlign w:val="center"/>
          </w:tcPr>
          <w:p w14:paraId="75B17B7D">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3F65BFD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1E814EA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w:t>
            </w:r>
            <w:r>
              <w:rPr>
                <w:rFonts w:hint="eastAsia" w:ascii="Times New Roman" w:hAnsi="Times New Roman"/>
                <w:color w:val="auto"/>
              </w:rPr>
              <w:t>1</w:t>
            </w:r>
            <w:r>
              <w:rPr>
                <w:rFonts w:hint="default"/>
                <w:color w:val="auto"/>
              </w:rPr>
              <w:t>.加油站埋地汽油罐、通气管管口与站房的防火距离均要求</w:t>
            </w:r>
            <w:r>
              <w:rPr>
                <w:rFonts w:hint="default" w:ascii="Times New Roman" w:hAnsi="Times New Roman"/>
                <w:color w:val="auto"/>
              </w:rPr>
              <w:t>4m</w:t>
            </w:r>
            <w:r>
              <w:rPr>
                <w:rFonts w:hint="default"/>
                <w:color w:val="auto"/>
              </w:rPr>
              <w:t>。</w:t>
            </w:r>
          </w:p>
        </w:tc>
        <w:tc>
          <w:tcPr>
            <w:tcW w:w="1861" w:type="dxa"/>
            <w:tcBorders>
              <w:tl2br w:val="nil"/>
              <w:tr2bl w:val="nil"/>
            </w:tcBorders>
            <w:vAlign w:val="center"/>
          </w:tcPr>
          <w:p w14:paraId="7380194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13</w:t>
            </w:r>
            <w:r>
              <w:rPr>
                <w:rFonts w:hint="default"/>
                <w:color w:val="auto"/>
              </w:rPr>
              <w:t>条</w:t>
            </w:r>
          </w:p>
        </w:tc>
        <w:tc>
          <w:tcPr>
            <w:tcW w:w="2370" w:type="dxa"/>
            <w:tcBorders>
              <w:tl2br w:val="nil"/>
              <w:tr2bl w:val="nil"/>
            </w:tcBorders>
            <w:vAlign w:val="center"/>
          </w:tcPr>
          <w:p w14:paraId="0BE6195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color w:val="auto"/>
              </w:rPr>
              <w:t>埋地</w:t>
            </w:r>
            <w:r>
              <w:rPr>
                <w:rFonts w:hint="eastAsia"/>
                <w:color w:val="auto"/>
              </w:rPr>
              <w:t>汽</w:t>
            </w:r>
            <w:r>
              <w:rPr>
                <w:rFonts w:hint="default"/>
                <w:color w:val="auto"/>
              </w:rPr>
              <w:t>油罐</w:t>
            </w:r>
            <w:r>
              <w:rPr>
                <w:rFonts w:hint="eastAsia"/>
                <w:color w:val="auto"/>
              </w:rPr>
              <w:t>与站房的防火间距</w:t>
            </w:r>
            <w:r>
              <w:rPr>
                <w:rFonts w:hint="eastAsia"/>
                <w:color w:val="auto"/>
                <w:lang w:val="en-US" w:eastAsia="zh-CN"/>
              </w:rPr>
              <w:t>大于4</w:t>
            </w:r>
            <w:r>
              <w:rPr>
                <w:rFonts w:hint="eastAsia" w:ascii="Times New Roman" w:hAnsi="Times New Roman"/>
                <w:color w:val="auto"/>
              </w:rPr>
              <w:t>m</w:t>
            </w:r>
            <w:r>
              <w:rPr>
                <w:rFonts w:hint="eastAsia"/>
                <w:color w:val="auto"/>
              </w:rPr>
              <w:t>，</w:t>
            </w:r>
            <w:r>
              <w:rPr>
                <w:rFonts w:hint="default"/>
                <w:color w:val="auto"/>
              </w:rPr>
              <w:t>通气管管口与站房的防火间距</w:t>
            </w:r>
            <w:r>
              <w:rPr>
                <w:rFonts w:hint="eastAsia"/>
                <w:color w:val="auto"/>
                <w:lang w:val="en-US" w:eastAsia="zh-CN"/>
              </w:rPr>
              <w:t>大于4</w:t>
            </w:r>
            <w:r>
              <w:rPr>
                <w:rFonts w:hint="eastAsia" w:ascii="Times New Roman" w:hAnsi="Times New Roman"/>
                <w:color w:val="auto"/>
              </w:rPr>
              <w:t>m</w:t>
            </w:r>
            <w:r>
              <w:rPr>
                <w:rFonts w:hint="eastAsia"/>
                <w:color w:val="auto"/>
              </w:rPr>
              <w:t>。</w:t>
            </w:r>
          </w:p>
        </w:tc>
        <w:tc>
          <w:tcPr>
            <w:tcW w:w="959" w:type="dxa"/>
            <w:tcBorders>
              <w:tl2br w:val="nil"/>
              <w:tr2bl w:val="nil"/>
            </w:tcBorders>
            <w:vAlign w:val="center"/>
          </w:tcPr>
          <w:p w14:paraId="13338AE5">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6F7B51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77B1A65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w:t>
            </w:r>
            <w:r>
              <w:rPr>
                <w:rFonts w:hint="eastAsia" w:ascii="Times New Roman" w:hAnsi="Times New Roman"/>
                <w:color w:val="auto"/>
              </w:rPr>
              <w:t>2</w:t>
            </w:r>
            <w:r>
              <w:rPr>
                <w:rFonts w:hint="default"/>
                <w:color w:val="auto"/>
              </w:rPr>
              <w:t>.加油站埋地汽油罐、通气管管口与站区围墙的防火间距均要求不少于</w:t>
            </w:r>
            <w:r>
              <w:rPr>
                <w:rFonts w:hint="eastAsia" w:ascii="Times New Roman" w:hAnsi="Times New Roman"/>
                <w:color w:val="auto"/>
              </w:rPr>
              <w:t>2</w:t>
            </w:r>
            <w:r>
              <w:rPr>
                <w:rFonts w:hint="default" w:ascii="Times New Roman" w:hAnsi="Times New Roman"/>
                <w:color w:val="auto"/>
              </w:rPr>
              <w:t>m</w:t>
            </w:r>
            <w:r>
              <w:rPr>
                <w:rFonts w:hint="default"/>
                <w:color w:val="auto"/>
              </w:rPr>
              <w:t>。</w:t>
            </w:r>
          </w:p>
        </w:tc>
        <w:tc>
          <w:tcPr>
            <w:tcW w:w="1861" w:type="dxa"/>
            <w:tcBorders>
              <w:tl2br w:val="nil"/>
              <w:tr2bl w:val="nil"/>
            </w:tcBorders>
            <w:vAlign w:val="center"/>
          </w:tcPr>
          <w:p w14:paraId="10F25EF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13</w:t>
            </w:r>
            <w:r>
              <w:rPr>
                <w:rFonts w:hint="default"/>
                <w:color w:val="auto"/>
              </w:rPr>
              <w:t>条</w:t>
            </w:r>
          </w:p>
        </w:tc>
        <w:tc>
          <w:tcPr>
            <w:tcW w:w="2370" w:type="dxa"/>
            <w:tcBorders>
              <w:tl2br w:val="nil"/>
              <w:tr2bl w:val="nil"/>
            </w:tcBorders>
            <w:vAlign w:val="center"/>
          </w:tcPr>
          <w:p w14:paraId="26BA9080">
            <w:pPr>
              <w:pStyle w:val="22"/>
              <w:keepNext w:val="0"/>
              <w:keepLines w:val="0"/>
              <w:widowControl/>
              <w:suppressLineNumbers w:val="0"/>
              <w:spacing w:before="0" w:beforeAutospacing="0" w:after="0" w:afterAutospacing="0" w:line="240" w:lineRule="auto"/>
              <w:ind w:left="0" w:right="0"/>
              <w:jc w:val="both"/>
              <w:rPr>
                <w:rFonts w:hint="default" w:eastAsia="宋体"/>
                <w:color w:val="auto"/>
                <w:lang w:val="en-US" w:eastAsia="zh-CN"/>
              </w:rPr>
            </w:pPr>
            <w:r>
              <w:rPr>
                <w:rFonts w:hint="eastAsia"/>
                <w:color w:val="auto"/>
                <w:lang w:val="en-US" w:eastAsia="zh-CN"/>
              </w:rPr>
              <w:t>不涉及</w:t>
            </w:r>
          </w:p>
        </w:tc>
        <w:tc>
          <w:tcPr>
            <w:tcW w:w="959" w:type="dxa"/>
            <w:tcBorders>
              <w:tl2br w:val="nil"/>
              <w:tr2bl w:val="nil"/>
            </w:tcBorders>
            <w:vAlign w:val="center"/>
          </w:tcPr>
          <w:p w14:paraId="3138AD00">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190B25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4211" w:type="dxa"/>
            <w:tcBorders>
              <w:tl2br w:val="nil"/>
              <w:tr2bl w:val="nil"/>
            </w:tcBorders>
            <w:vAlign w:val="center"/>
          </w:tcPr>
          <w:p w14:paraId="21274DB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w:t>
            </w:r>
            <w:r>
              <w:rPr>
                <w:rFonts w:hint="eastAsia" w:ascii="Times New Roman" w:hAnsi="Times New Roman"/>
                <w:color w:val="auto"/>
              </w:rPr>
              <w:t>3</w:t>
            </w:r>
            <w:r>
              <w:rPr>
                <w:rFonts w:hint="default"/>
                <w:color w:val="auto"/>
              </w:rPr>
              <w:t>.密闭卸油点与站房之间的防火间距要求不少于</w:t>
            </w:r>
            <w:r>
              <w:rPr>
                <w:rFonts w:hint="default" w:ascii="Times New Roman" w:hAnsi="Times New Roman"/>
                <w:color w:val="auto"/>
              </w:rPr>
              <w:t>5m</w:t>
            </w:r>
            <w:r>
              <w:rPr>
                <w:rFonts w:hint="default"/>
                <w:color w:val="auto"/>
              </w:rPr>
              <w:t>。</w:t>
            </w:r>
          </w:p>
        </w:tc>
        <w:tc>
          <w:tcPr>
            <w:tcW w:w="1861" w:type="dxa"/>
            <w:tcBorders>
              <w:tl2br w:val="nil"/>
              <w:tr2bl w:val="nil"/>
            </w:tcBorders>
            <w:vAlign w:val="center"/>
          </w:tcPr>
          <w:p w14:paraId="04E286DE">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13</w:t>
            </w:r>
            <w:r>
              <w:rPr>
                <w:rFonts w:hint="default"/>
                <w:color w:val="auto"/>
              </w:rPr>
              <w:t>条</w:t>
            </w:r>
          </w:p>
        </w:tc>
        <w:tc>
          <w:tcPr>
            <w:tcW w:w="2370" w:type="dxa"/>
            <w:tcBorders>
              <w:tl2br w:val="nil"/>
              <w:tr2bl w:val="nil"/>
            </w:tcBorders>
            <w:vAlign w:val="center"/>
          </w:tcPr>
          <w:p w14:paraId="1602B08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防火间距</w:t>
            </w:r>
            <w:r>
              <w:rPr>
                <w:rFonts w:hint="eastAsia"/>
                <w:color w:val="auto"/>
                <w:lang w:val="en-US" w:eastAsia="zh-CN"/>
              </w:rPr>
              <w:t>大于5</w:t>
            </w:r>
            <w:r>
              <w:rPr>
                <w:rFonts w:hint="eastAsia" w:ascii="Times New Roman" w:hAnsi="Times New Roman"/>
                <w:color w:val="auto"/>
              </w:rPr>
              <w:t>m</w:t>
            </w:r>
            <w:r>
              <w:rPr>
                <w:rFonts w:hint="eastAsia"/>
                <w:color w:val="auto"/>
              </w:rPr>
              <w:t>。</w:t>
            </w:r>
          </w:p>
        </w:tc>
        <w:tc>
          <w:tcPr>
            <w:tcW w:w="959" w:type="dxa"/>
            <w:tcBorders>
              <w:tl2br w:val="nil"/>
              <w:tr2bl w:val="nil"/>
            </w:tcBorders>
            <w:vAlign w:val="center"/>
          </w:tcPr>
          <w:p w14:paraId="77A359B4">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r w14:paraId="34C951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86" w:hRule="atLeast"/>
        </w:trPr>
        <w:tc>
          <w:tcPr>
            <w:tcW w:w="4211" w:type="dxa"/>
            <w:tcBorders>
              <w:tl2br w:val="nil"/>
              <w:tr2bl w:val="nil"/>
            </w:tcBorders>
            <w:vAlign w:val="center"/>
          </w:tcPr>
          <w:p w14:paraId="2329FD6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w:t>
            </w:r>
            <w:r>
              <w:rPr>
                <w:rFonts w:hint="eastAsia" w:ascii="Times New Roman" w:hAnsi="Times New Roman"/>
                <w:color w:val="auto"/>
              </w:rPr>
              <w:t>4</w:t>
            </w:r>
            <w:r>
              <w:rPr>
                <w:rFonts w:hint="default"/>
                <w:color w:val="auto"/>
              </w:rPr>
              <w:t>.加油机与站房之间的防火间距要求不少于</w:t>
            </w:r>
            <w:r>
              <w:rPr>
                <w:rFonts w:hint="default" w:ascii="Times New Roman" w:hAnsi="Times New Roman"/>
                <w:color w:val="auto"/>
              </w:rPr>
              <w:t>5m</w:t>
            </w:r>
            <w:r>
              <w:rPr>
                <w:rFonts w:hint="default"/>
                <w:color w:val="auto"/>
              </w:rPr>
              <w:t>。</w:t>
            </w:r>
          </w:p>
        </w:tc>
        <w:tc>
          <w:tcPr>
            <w:tcW w:w="1861" w:type="dxa"/>
            <w:tcBorders>
              <w:tl2br w:val="nil"/>
              <w:tr2bl w:val="nil"/>
            </w:tcBorders>
            <w:vAlign w:val="center"/>
          </w:tcPr>
          <w:p w14:paraId="35DC255B">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default"/>
                <w:color w:val="auto"/>
              </w:rPr>
              <w:t>第</w:t>
            </w:r>
            <w:r>
              <w:rPr>
                <w:rFonts w:hint="default" w:ascii="Times New Roman" w:hAnsi="Times New Roman"/>
                <w:color w:val="auto"/>
              </w:rPr>
              <w:t>5</w:t>
            </w:r>
            <w:r>
              <w:rPr>
                <w:rFonts w:hint="default"/>
                <w:color w:val="auto"/>
              </w:rPr>
              <w:t>.</w:t>
            </w:r>
            <w:r>
              <w:rPr>
                <w:rFonts w:hint="default" w:ascii="Times New Roman" w:hAnsi="Times New Roman"/>
                <w:color w:val="auto"/>
              </w:rPr>
              <w:t>0</w:t>
            </w:r>
            <w:r>
              <w:rPr>
                <w:rFonts w:hint="default"/>
                <w:color w:val="auto"/>
              </w:rPr>
              <w:t>.</w:t>
            </w:r>
            <w:r>
              <w:rPr>
                <w:rFonts w:hint="default" w:ascii="Times New Roman" w:hAnsi="Times New Roman"/>
                <w:color w:val="auto"/>
              </w:rPr>
              <w:t>13</w:t>
            </w:r>
            <w:r>
              <w:rPr>
                <w:rFonts w:hint="default"/>
                <w:color w:val="auto"/>
              </w:rPr>
              <w:t>条</w:t>
            </w:r>
          </w:p>
        </w:tc>
        <w:tc>
          <w:tcPr>
            <w:tcW w:w="2370" w:type="dxa"/>
            <w:tcBorders>
              <w:tl2br w:val="nil"/>
              <w:tr2bl w:val="nil"/>
            </w:tcBorders>
            <w:vAlign w:val="center"/>
          </w:tcPr>
          <w:p w14:paraId="3A1A2D0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防火间距</w:t>
            </w:r>
            <w:r>
              <w:rPr>
                <w:rFonts w:hint="eastAsia"/>
                <w:color w:val="auto"/>
                <w:lang w:val="en-US" w:eastAsia="zh-CN"/>
              </w:rPr>
              <w:t>大于5</w:t>
            </w:r>
            <w:r>
              <w:rPr>
                <w:rFonts w:hint="default" w:ascii="Times New Roman" w:hAnsi="Times New Roman"/>
                <w:color w:val="auto"/>
              </w:rPr>
              <w:t>m</w:t>
            </w:r>
            <w:r>
              <w:rPr>
                <w:rFonts w:hint="eastAsia"/>
                <w:color w:val="auto"/>
              </w:rPr>
              <w:t>。</w:t>
            </w:r>
          </w:p>
        </w:tc>
        <w:tc>
          <w:tcPr>
            <w:tcW w:w="959" w:type="dxa"/>
            <w:tcBorders>
              <w:tl2br w:val="nil"/>
              <w:tr2bl w:val="nil"/>
            </w:tcBorders>
            <w:vAlign w:val="center"/>
          </w:tcPr>
          <w:p w14:paraId="7897697F">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color w:val="auto"/>
              </w:rPr>
              <w:t>符合</w:t>
            </w:r>
          </w:p>
        </w:tc>
      </w:tr>
    </w:tbl>
    <w:p w14:paraId="55715003">
      <w:pPr>
        <w:snapToGrid w:val="0"/>
        <w:spacing w:line="360" w:lineRule="auto"/>
        <w:ind w:firstLine="560"/>
        <w:rPr>
          <w:color w:val="auto"/>
        </w:rPr>
      </w:pPr>
      <w:r>
        <w:rPr>
          <w:color w:val="auto"/>
        </w:rPr>
        <w:t>从上表可以看出，</w:t>
      </w:r>
      <w:r>
        <w:rPr>
          <w:rFonts w:hint="eastAsia"/>
          <w:color w:val="auto"/>
        </w:rPr>
        <w:t>该加油站在总平面布置方面</w:t>
      </w:r>
      <w:r>
        <w:rPr>
          <w:color w:val="auto"/>
        </w:rPr>
        <w:t>能够满足现行国家标准</w:t>
      </w:r>
      <w:r>
        <w:rPr>
          <w:rFonts w:hint="eastAsia"/>
          <w:color w:val="auto"/>
        </w:rPr>
        <w:t>《汽车加油加气加氢站技术标准》（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w:t>
      </w:r>
      <w:r>
        <w:rPr>
          <w:color w:val="auto"/>
        </w:rPr>
        <w:t>中有关加油站</w:t>
      </w:r>
      <w:r>
        <w:rPr>
          <w:rFonts w:hint="eastAsia"/>
          <w:color w:val="auto"/>
        </w:rPr>
        <w:t>平面布置</w:t>
      </w:r>
      <w:r>
        <w:rPr>
          <w:color w:val="auto"/>
        </w:rPr>
        <w:t>的要求。</w:t>
      </w:r>
    </w:p>
    <w:p w14:paraId="4D9FA424">
      <w:pPr>
        <w:snapToGrid w:val="0"/>
        <w:spacing w:line="360" w:lineRule="auto"/>
        <w:ind w:firstLine="560"/>
        <w:rPr>
          <w:b/>
          <w:bCs/>
          <w:color w:val="auto"/>
        </w:rPr>
      </w:pPr>
      <w:r>
        <w:rPr>
          <w:rFonts w:hint="default" w:ascii="Times New Roman" w:hAnsi="Times New Roman" w:cs="Times New Roman"/>
          <w:b/>
          <w:bCs/>
          <w:color w:val="auto"/>
          <w:lang w:val="en-US" w:eastAsia="zh-CN"/>
        </w:rPr>
        <w:t>3）</w:t>
      </w:r>
      <w:r>
        <w:rPr>
          <w:rFonts w:hint="default" w:ascii="Times New Roman" w:hAnsi="Times New Roman" w:cs="Times New Roman"/>
          <w:b/>
          <w:bCs/>
          <w:color w:val="auto"/>
        </w:rPr>
        <w:t>加油工艺及其他相</w:t>
      </w:r>
      <w:r>
        <w:rPr>
          <w:rFonts w:hint="eastAsia"/>
          <w:b/>
          <w:bCs/>
          <w:color w:val="auto"/>
        </w:rPr>
        <w:t>关设施</w:t>
      </w:r>
    </w:p>
    <w:p w14:paraId="07DC65AC">
      <w:pPr>
        <w:pStyle w:val="21"/>
        <w:rPr>
          <w:rFonts w:ascii="黑体" w:hAnsi="黑体"/>
          <w:color w:val="auto"/>
          <w:szCs w:val="21"/>
        </w:rPr>
      </w:pPr>
      <w:bookmarkStart w:id="700" w:name="OLE_LINK314"/>
      <w:bookmarkStart w:id="701" w:name="OLE_LINK313"/>
      <w:r>
        <w:rPr>
          <w:rFonts w:hint="default" w:ascii="Times New Roman" w:hAnsi="Times New Roman" w:cs="Times New Roman"/>
          <w:color w:val="auto"/>
          <w:szCs w:val="21"/>
        </w:rPr>
        <w:t>F表</w:t>
      </w: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w:t>
      </w:r>
      <w:bookmarkStart w:id="702" w:name="OLE_LINK235"/>
      <w:bookmarkStart w:id="703" w:name="OLE_LINK378"/>
      <w:bookmarkStart w:id="704" w:name="OLE_LINK236"/>
      <w:bookmarkStart w:id="705" w:name="OLE_LINK237"/>
      <w:bookmarkStart w:id="706" w:name="OLE_LINK377"/>
      <w:bookmarkStart w:id="707" w:name="OLE_LINK312"/>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3 加油工艺及</w:t>
      </w:r>
      <w:r>
        <w:rPr>
          <w:rFonts w:hint="default" w:ascii="Times New Roman" w:hAnsi="Times New Roman" w:cs="Times New Roman"/>
          <w:color w:val="auto"/>
          <w:szCs w:val="21"/>
          <w:lang w:val="en-US" w:eastAsia="zh-CN"/>
        </w:rPr>
        <w:t>其他相关</w:t>
      </w:r>
      <w:r>
        <w:rPr>
          <w:rFonts w:hint="default" w:ascii="Times New Roman" w:hAnsi="Times New Roman" w:cs="Times New Roman"/>
          <w:color w:val="auto"/>
          <w:szCs w:val="21"/>
        </w:rPr>
        <w:t>设施</w:t>
      </w:r>
      <w:bookmarkEnd w:id="702"/>
      <w:bookmarkEnd w:id="703"/>
      <w:bookmarkEnd w:id="704"/>
      <w:bookmarkEnd w:id="705"/>
      <w:bookmarkEnd w:id="706"/>
      <w:bookmarkEnd w:id="707"/>
      <w:r>
        <w:rPr>
          <w:rFonts w:hint="default" w:ascii="Times New Roman" w:hAnsi="Times New Roman" w:cs="Times New Roman"/>
          <w:color w:val="auto"/>
          <w:szCs w:val="21"/>
        </w:rPr>
        <w:t>安全检</w:t>
      </w:r>
      <w:r>
        <w:rPr>
          <w:rFonts w:ascii="黑体" w:hAnsi="黑体"/>
          <w:color w:val="auto"/>
          <w:szCs w:val="21"/>
        </w:rPr>
        <w:t>查表</w:t>
      </w:r>
    </w:p>
    <w:tbl>
      <w:tblPr>
        <w:tblStyle w:val="48"/>
        <w:tblW w:w="93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5295"/>
        <w:gridCol w:w="1530"/>
        <w:gridCol w:w="1539"/>
        <w:gridCol w:w="967"/>
      </w:tblGrid>
      <w:tr w14:paraId="27ADEE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tblHeader/>
          <w:jc w:val="center"/>
        </w:trPr>
        <w:tc>
          <w:tcPr>
            <w:tcW w:w="5295" w:type="dxa"/>
            <w:tcBorders>
              <w:tl2br w:val="nil"/>
              <w:tr2bl w:val="nil"/>
            </w:tcBorders>
            <w:vAlign w:val="center"/>
          </w:tcPr>
          <w:p w14:paraId="32F77B96">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eastAsia"/>
                <w:b/>
                <w:bCs/>
                <w:color w:val="auto"/>
              </w:rPr>
              <w:t>加油工艺及设施</w:t>
            </w:r>
            <w:r>
              <w:rPr>
                <w:rFonts w:hint="default"/>
                <w:b/>
                <w:bCs/>
                <w:color w:val="auto"/>
              </w:rPr>
              <w:t>规范要求</w:t>
            </w:r>
          </w:p>
        </w:tc>
        <w:tc>
          <w:tcPr>
            <w:tcW w:w="1530" w:type="dxa"/>
            <w:tcBorders>
              <w:tl2br w:val="nil"/>
              <w:tr2bl w:val="nil"/>
            </w:tcBorders>
            <w:vAlign w:val="center"/>
          </w:tcPr>
          <w:p w14:paraId="0B380ADB">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eastAsia"/>
                <w:b/>
                <w:bCs/>
                <w:color w:val="auto"/>
              </w:rPr>
              <w:t>依据标准</w:t>
            </w:r>
          </w:p>
        </w:tc>
        <w:tc>
          <w:tcPr>
            <w:tcW w:w="1539" w:type="dxa"/>
            <w:tcBorders>
              <w:tl2br w:val="nil"/>
              <w:tr2bl w:val="nil"/>
            </w:tcBorders>
            <w:vAlign w:val="center"/>
          </w:tcPr>
          <w:p w14:paraId="4706F082">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default"/>
                <w:b/>
                <w:bCs/>
                <w:color w:val="auto"/>
              </w:rPr>
              <w:t>检查情况</w:t>
            </w:r>
          </w:p>
        </w:tc>
        <w:tc>
          <w:tcPr>
            <w:tcW w:w="967" w:type="dxa"/>
            <w:tcBorders>
              <w:tl2br w:val="nil"/>
              <w:tr2bl w:val="nil"/>
            </w:tcBorders>
            <w:vAlign w:val="center"/>
          </w:tcPr>
          <w:p w14:paraId="6062F62E">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default"/>
                <w:b/>
                <w:bCs/>
                <w:color w:val="auto"/>
              </w:rPr>
              <w:t>结论</w:t>
            </w:r>
          </w:p>
        </w:tc>
      </w:tr>
      <w:tr w14:paraId="12AD9BC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7C785CB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1</w:t>
            </w:r>
            <w:r>
              <w:rPr>
                <w:rFonts w:hint="default"/>
                <w:color w:val="auto"/>
              </w:rPr>
              <w:t>.</w:t>
            </w:r>
            <w:r>
              <w:rPr>
                <w:rFonts w:hint="eastAsia"/>
                <w:color w:val="auto"/>
              </w:rPr>
              <w:t>除</w:t>
            </w:r>
            <w:r>
              <w:rPr>
                <w:rFonts w:hint="eastAsia"/>
                <w:color w:val="auto"/>
                <w:lang w:eastAsia="zh-CN"/>
              </w:rPr>
              <w:t>撬装式</w:t>
            </w:r>
            <w:r>
              <w:rPr>
                <w:rFonts w:hint="eastAsia"/>
                <w:color w:val="auto"/>
              </w:rPr>
              <w:t>加油装置所配置的防火防爆油罐外，加油站的汽油罐和柴油罐应埋地设置，严禁设在室内或地下室内。</w:t>
            </w:r>
          </w:p>
        </w:tc>
        <w:tc>
          <w:tcPr>
            <w:tcW w:w="1530" w:type="dxa"/>
            <w:tcBorders>
              <w:tl2br w:val="nil"/>
              <w:tr2bl w:val="nil"/>
            </w:tcBorders>
            <w:vAlign w:val="center"/>
          </w:tcPr>
          <w:p w14:paraId="42A5008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color w:val="auto"/>
              </w:rPr>
              <w:t>条</w:t>
            </w:r>
          </w:p>
        </w:tc>
        <w:tc>
          <w:tcPr>
            <w:tcW w:w="1539" w:type="dxa"/>
            <w:tcBorders>
              <w:tl2br w:val="nil"/>
              <w:tr2bl w:val="nil"/>
            </w:tcBorders>
            <w:vAlign w:val="center"/>
          </w:tcPr>
          <w:p w14:paraId="65F687D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油罐为室外埋地设置。</w:t>
            </w:r>
          </w:p>
        </w:tc>
        <w:tc>
          <w:tcPr>
            <w:tcW w:w="967" w:type="dxa"/>
            <w:tcBorders>
              <w:tl2br w:val="nil"/>
              <w:tr2bl w:val="nil"/>
            </w:tcBorders>
            <w:vAlign w:val="center"/>
          </w:tcPr>
          <w:p w14:paraId="601AE77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204A5D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5295" w:type="dxa"/>
            <w:tcBorders>
              <w:tl2br w:val="nil"/>
              <w:tr2bl w:val="nil"/>
            </w:tcBorders>
            <w:vAlign w:val="center"/>
          </w:tcPr>
          <w:p w14:paraId="69ED7B3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ascii="Times New Roman" w:hAnsi="Times New Roman"/>
                <w:color w:val="auto"/>
              </w:rPr>
              <w:t>2</w:t>
            </w:r>
            <w:r>
              <w:rPr>
                <w:rFonts w:hint="eastAsia"/>
                <w:color w:val="auto"/>
              </w:rPr>
              <w:t>.汽车加油站的储油罐应采用卧式油罐。</w:t>
            </w:r>
          </w:p>
        </w:tc>
        <w:tc>
          <w:tcPr>
            <w:tcW w:w="1530" w:type="dxa"/>
            <w:tcBorders>
              <w:tl2br w:val="nil"/>
              <w:tr2bl w:val="nil"/>
            </w:tcBorders>
            <w:vAlign w:val="center"/>
          </w:tcPr>
          <w:p w14:paraId="46FC0D1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2</w:t>
            </w:r>
            <w:r>
              <w:rPr>
                <w:rFonts w:hint="eastAsia"/>
                <w:color w:val="auto"/>
              </w:rPr>
              <w:t>条</w:t>
            </w:r>
          </w:p>
        </w:tc>
        <w:tc>
          <w:tcPr>
            <w:tcW w:w="1539" w:type="dxa"/>
            <w:tcBorders>
              <w:tl2br w:val="nil"/>
              <w:tr2bl w:val="nil"/>
            </w:tcBorders>
            <w:vAlign w:val="center"/>
          </w:tcPr>
          <w:p w14:paraId="6136BE9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油罐为卧式油罐。</w:t>
            </w:r>
          </w:p>
        </w:tc>
        <w:tc>
          <w:tcPr>
            <w:tcW w:w="967" w:type="dxa"/>
            <w:tcBorders>
              <w:tl2br w:val="nil"/>
              <w:tr2bl w:val="nil"/>
            </w:tcBorders>
            <w:vAlign w:val="center"/>
          </w:tcPr>
          <w:p w14:paraId="4AE94A2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276ABD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2532940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3</w:t>
            </w:r>
            <w:r>
              <w:rPr>
                <w:rFonts w:hint="default"/>
                <w:color w:val="auto"/>
              </w:rPr>
              <w:t>.</w:t>
            </w:r>
            <w:r>
              <w:rPr>
                <w:rFonts w:hint="eastAsia"/>
                <w:color w:val="auto"/>
              </w:rPr>
              <w:t>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530" w:type="dxa"/>
            <w:tcBorders>
              <w:tl2br w:val="nil"/>
              <w:tr2bl w:val="nil"/>
            </w:tcBorders>
            <w:vAlign w:val="center"/>
          </w:tcPr>
          <w:p w14:paraId="78E0A84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3</w:t>
            </w:r>
            <w:r>
              <w:rPr>
                <w:rFonts w:hint="eastAsia"/>
                <w:color w:val="auto"/>
              </w:rPr>
              <w:t>条</w:t>
            </w:r>
          </w:p>
        </w:tc>
        <w:tc>
          <w:tcPr>
            <w:tcW w:w="1539" w:type="dxa"/>
            <w:tcBorders>
              <w:tl2br w:val="nil"/>
              <w:tr2bl w:val="nil"/>
            </w:tcBorders>
            <w:vAlign w:val="center"/>
          </w:tcPr>
          <w:p w14:paraId="040F8AB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埋地油罐采用双层油罐</w:t>
            </w:r>
          </w:p>
        </w:tc>
        <w:tc>
          <w:tcPr>
            <w:tcW w:w="967" w:type="dxa"/>
            <w:tcBorders>
              <w:tl2br w:val="nil"/>
              <w:tr2bl w:val="nil"/>
            </w:tcBorders>
            <w:vAlign w:val="center"/>
          </w:tcPr>
          <w:p w14:paraId="0E7B8D1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684F67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5CAEA09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4</w:t>
            </w:r>
            <w:r>
              <w:rPr>
                <w:rFonts w:hint="default"/>
                <w:color w:val="auto"/>
              </w:rPr>
              <w:t>.</w:t>
            </w:r>
            <w:r>
              <w:rPr>
                <w:rFonts w:hint="eastAsia"/>
                <w:color w:val="auto"/>
              </w:rPr>
              <w:t>单层钢制油罐、双层钢制油罐和内钢外玻璃纤维增强塑料双层油罐的内层罐的罐体结构设计，可按现行行业标准《</w:t>
            </w:r>
            <w:r>
              <w:rPr>
                <w:rFonts w:hint="eastAsia"/>
                <w:color w:val="auto"/>
                <w:lang w:eastAsia="zh-CN"/>
              </w:rPr>
              <w:t>钢制常压储罐 第</w:t>
            </w:r>
            <w:r>
              <w:rPr>
                <w:rFonts w:hint="eastAsia" w:ascii="Times New Roman" w:hAnsi="Times New Roman"/>
                <w:color w:val="auto"/>
                <w:lang w:eastAsia="zh-CN"/>
              </w:rPr>
              <w:t>1</w:t>
            </w:r>
            <w:r>
              <w:rPr>
                <w:rFonts w:hint="eastAsia"/>
                <w:color w:val="auto"/>
                <w:lang w:eastAsia="zh-CN"/>
              </w:rPr>
              <w:t>部分：储存对水有污染的易燃和不易燃液体的埋地卧式圆筒形单层和双层储罐</w:t>
            </w:r>
            <w:r>
              <w:rPr>
                <w:rFonts w:hint="eastAsia"/>
                <w:color w:val="auto"/>
              </w:rPr>
              <w:t>》</w:t>
            </w:r>
            <w:r>
              <w:rPr>
                <w:rFonts w:hint="eastAsia" w:ascii="Times New Roman" w:hAnsi="Times New Roman"/>
                <w:color w:val="auto"/>
                <w:lang w:eastAsia="zh-CN"/>
              </w:rPr>
              <w:t>AQ</w:t>
            </w:r>
            <w:r>
              <w:rPr>
                <w:rFonts w:hint="eastAsia"/>
                <w:color w:val="auto"/>
                <w:lang w:eastAsia="zh-CN"/>
              </w:rPr>
              <w:t xml:space="preserve"> </w:t>
            </w:r>
            <w:r>
              <w:rPr>
                <w:rFonts w:hint="eastAsia" w:ascii="Times New Roman" w:hAnsi="Times New Roman"/>
                <w:color w:val="auto"/>
                <w:lang w:eastAsia="zh-CN"/>
              </w:rPr>
              <w:t>3020</w:t>
            </w:r>
            <w:r>
              <w:rPr>
                <w:rFonts w:hint="eastAsia"/>
                <w:color w:val="auto"/>
                <w:lang w:eastAsia="zh-CN"/>
              </w:rPr>
              <w:t>-</w:t>
            </w:r>
            <w:r>
              <w:rPr>
                <w:rFonts w:hint="eastAsia" w:ascii="Times New Roman" w:hAnsi="Times New Roman"/>
                <w:color w:val="auto"/>
                <w:lang w:eastAsia="zh-CN"/>
              </w:rPr>
              <w:t>2008</w:t>
            </w:r>
            <w:r>
              <w:rPr>
                <w:rFonts w:hint="eastAsia"/>
                <w:color w:val="auto"/>
              </w:rPr>
              <w:t>的有关规定执行，并应符合下列规定：</w:t>
            </w:r>
          </w:p>
          <w:p w14:paraId="1C9E051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1</w:t>
            </w:r>
            <w:r>
              <w:rPr>
                <w:rFonts w:hint="eastAsia"/>
                <w:color w:val="auto"/>
              </w:rPr>
              <w:t>）钢制油罐的罐体和封头所用钢板的公称厚度，不应小于表</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4</w:t>
            </w:r>
            <w:r>
              <w:rPr>
                <w:rFonts w:hint="eastAsia"/>
                <w:color w:val="auto"/>
              </w:rPr>
              <w:t>的规定。</w:t>
            </w:r>
          </w:p>
          <w:p w14:paraId="677532A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2</w:t>
            </w:r>
            <w:r>
              <w:rPr>
                <w:rFonts w:hint="eastAsia"/>
                <w:color w:val="auto"/>
              </w:rPr>
              <w:t>）钢制油罐的设计内压不应低于</w:t>
            </w:r>
            <w:r>
              <w:rPr>
                <w:rFonts w:hint="default" w:ascii="Times New Roman" w:hAnsi="Times New Roman"/>
                <w:color w:val="auto"/>
              </w:rPr>
              <w:t>0</w:t>
            </w:r>
            <w:r>
              <w:rPr>
                <w:rFonts w:hint="default"/>
                <w:color w:val="auto"/>
              </w:rPr>
              <w:t>.</w:t>
            </w:r>
            <w:r>
              <w:rPr>
                <w:rFonts w:hint="default" w:ascii="Times New Roman" w:hAnsi="Times New Roman"/>
                <w:color w:val="auto"/>
              </w:rPr>
              <w:t>08MPa</w:t>
            </w:r>
            <w:r>
              <w:rPr>
                <w:rFonts w:hint="eastAsia"/>
                <w:color w:val="auto"/>
              </w:rPr>
              <w:t>。</w:t>
            </w:r>
          </w:p>
        </w:tc>
        <w:tc>
          <w:tcPr>
            <w:tcW w:w="1530" w:type="dxa"/>
            <w:tcBorders>
              <w:tl2br w:val="nil"/>
              <w:tr2bl w:val="nil"/>
            </w:tcBorders>
            <w:vAlign w:val="center"/>
          </w:tcPr>
          <w:p w14:paraId="614498A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4</w:t>
            </w:r>
            <w:r>
              <w:rPr>
                <w:rFonts w:hint="eastAsia"/>
                <w:color w:val="auto"/>
              </w:rPr>
              <w:t>条</w:t>
            </w:r>
          </w:p>
        </w:tc>
        <w:tc>
          <w:tcPr>
            <w:tcW w:w="1539" w:type="dxa"/>
            <w:tcBorders>
              <w:tl2br w:val="nil"/>
              <w:tr2bl w:val="nil"/>
            </w:tcBorders>
            <w:vAlign w:val="center"/>
          </w:tcPr>
          <w:p w14:paraId="2F4798C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埋地油罐采用</w:t>
            </w:r>
            <w:r>
              <w:rPr>
                <w:rFonts w:hint="eastAsia"/>
                <w:color w:val="auto"/>
                <w:lang w:val="en-US" w:eastAsia="zh-CN"/>
              </w:rPr>
              <w:t>SF型</w:t>
            </w:r>
            <w:r>
              <w:rPr>
                <w:rFonts w:hint="eastAsia"/>
                <w:color w:val="auto"/>
              </w:rPr>
              <w:t>双层油罐</w:t>
            </w:r>
            <w:r>
              <w:rPr>
                <w:rFonts w:hint="eastAsia"/>
                <w:color w:val="auto"/>
                <w:lang w:eastAsia="zh-CN"/>
              </w:rPr>
              <w:t>，</w:t>
            </w:r>
            <w:r>
              <w:rPr>
                <w:rFonts w:hint="eastAsia"/>
                <w:color w:val="auto"/>
              </w:rPr>
              <w:t>符合左侧规定。</w:t>
            </w:r>
          </w:p>
        </w:tc>
        <w:tc>
          <w:tcPr>
            <w:tcW w:w="967" w:type="dxa"/>
            <w:tcBorders>
              <w:tl2br w:val="nil"/>
              <w:tr2bl w:val="nil"/>
            </w:tcBorders>
            <w:vAlign w:val="center"/>
          </w:tcPr>
          <w:p w14:paraId="01D1B69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17D718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0A9343F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5</w:t>
            </w:r>
            <w:r>
              <w:rPr>
                <w:rFonts w:hint="default"/>
                <w:color w:val="auto"/>
              </w:rPr>
              <w:t>.</w:t>
            </w:r>
            <w:r>
              <w:rPr>
                <w:rFonts w:hint="eastAsia"/>
                <w:color w:val="auto"/>
              </w:rPr>
              <w:t>选用的双层玻璃纤维增强塑料油罐应符合现行行业标准《加油站用埋地玻璃纤维增强塑料双层油罐工程技术规范》</w:t>
            </w:r>
            <w:r>
              <w:rPr>
                <w:rFonts w:hint="eastAsia" w:ascii="Times New Roman" w:hAnsi="Times New Roman"/>
                <w:color w:val="auto"/>
              </w:rPr>
              <w:t>SH</w:t>
            </w:r>
            <w:r>
              <w:rPr>
                <w:rFonts w:hint="eastAsia"/>
                <w:color w:val="auto"/>
              </w:rPr>
              <w:t>/</w:t>
            </w:r>
            <w:r>
              <w:rPr>
                <w:rFonts w:hint="eastAsia" w:ascii="Times New Roman" w:hAnsi="Times New Roman"/>
                <w:color w:val="auto"/>
              </w:rPr>
              <w:t>T3177</w:t>
            </w:r>
            <w:r>
              <w:rPr>
                <w:rFonts w:hint="eastAsia"/>
                <w:color w:val="auto"/>
              </w:rPr>
              <w:t>的有关规定；选用的钢-玻璃纤维增强塑料双层油罐应符合现行行业标准《加油站用埋地钢-玻璃纤维增强塑料双层油罐工程技术规范》</w:t>
            </w:r>
            <w:r>
              <w:rPr>
                <w:rFonts w:hint="eastAsia" w:ascii="Times New Roman" w:hAnsi="Times New Roman"/>
                <w:color w:val="auto"/>
              </w:rPr>
              <w:t>SH</w:t>
            </w:r>
            <w:r>
              <w:rPr>
                <w:rFonts w:hint="eastAsia"/>
                <w:color w:val="auto"/>
              </w:rPr>
              <w:t>/</w:t>
            </w:r>
            <w:r>
              <w:rPr>
                <w:rFonts w:hint="eastAsia" w:ascii="Times New Roman" w:hAnsi="Times New Roman"/>
                <w:color w:val="auto"/>
              </w:rPr>
              <w:t>T3178</w:t>
            </w:r>
            <w:r>
              <w:rPr>
                <w:rFonts w:hint="eastAsia"/>
                <w:color w:val="auto"/>
              </w:rPr>
              <w:t>的有关规定。</w:t>
            </w:r>
          </w:p>
        </w:tc>
        <w:tc>
          <w:tcPr>
            <w:tcW w:w="1530" w:type="dxa"/>
            <w:tcBorders>
              <w:tl2br w:val="nil"/>
              <w:tr2bl w:val="nil"/>
            </w:tcBorders>
            <w:vAlign w:val="center"/>
          </w:tcPr>
          <w:p w14:paraId="762BEA2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5</w:t>
            </w:r>
            <w:r>
              <w:rPr>
                <w:rFonts w:hint="eastAsia"/>
                <w:color w:val="auto"/>
              </w:rPr>
              <w:t>条</w:t>
            </w:r>
          </w:p>
        </w:tc>
        <w:tc>
          <w:tcPr>
            <w:tcW w:w="1539" w:type="dxa"/>
            <w:tcBorders>
              <w:tl2br w:val="nil"/>
              <w:tr2bl w:val="nil"/>
            </w:tcBorders>
            <w:vAlign w:val="center"/>
          </w:tcPr>
          <w:p w14:paraId="76E0D80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埋地油罐为内钢外玻璃纤维增强塑料双层油罐</w:t>
            </w:r>
          </w:p>
        </w:tc>
        <w:tc>
          <w:tcPr>
            <w:tcW w:w="967" w:type="dxa"/>
            <w:tcBorders>
              <w:tl2br w:val="nil"/>
              <w:tr2bl w:val="nil"/>
            </w:tcBorders>
            <w:vAlign w:val="center"/>
          </w:tcPr>
          <w:p w14:paraId="668DF64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53556A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5309C21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6</w:t>
            </w:r>
            <w:r>
              <w:rPr>
                <w:rFonts w:hint="default"/>
                <w:color w:val="auto"/>
              </w:rPr>
              <w:t>.</w:t>
            </w:r>
            <w:r>
              <w:rPr>
                <w:rFonts w:hint="eastAsia"/>
                <w:color w:val="auto"/>
              </w:rPr>
              <w:t>安装在罐内的静电消除物体应接地，接地电阻应符合本标准第</w:t>
            </w:r>
            <w:r>
              <w:rPr>
                <w:rFonts w:hint="eastAsia" w:ascii="Times New Roman" w:hAnsi="Times New Roman"/>
                <w:color w:val="auto"/>
              </w:rPr>
              <w:t>11</w:t>
            </w:r>
            <w:r>
              <w:rPr>
                <w:rFonts w:hint="eastAsia"/>
                <w:color w:val="auto"/>
              </w:rPr>
              <w:t>.</w:t>
            </w:r>
            <w:r>
              <w:rPr>
                <w:rFonts w:hint="eastAsia" w:ascii="Times New Roman" w:hAnsi="Times New Roman"/>
                <w:color w:val="auto"/>
              </w:rPr>
              <w:t>2</w:t>
            </w:r>
            <w:r>
              <w:rPr>
                <w:rFonts w:hint="eastAsia"/>
                <w:color w:val="auto"/>
              </w:rPr>
              <w:t>节的有关规定。</w:t>
            </w:r>
          </w:p>
        </w:tc>
        <w:tc>
          <w:tcPr>
            <w:tcW w:w="1530" w:type="dxa"/>
            <w:tcBorders>
              <w:tl2br w:val="nil"/>
              <w:tr2bl w:val="nil"/>
            </w:tcBorders>
            <w:vAlign w:val="center"/>
          </w:tcPr>
          <w:p w14:paraId="2A84A9C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eastAsia" w:ascii="Times New Roman" w:hAnsi="Times New Roman"/>
                <w:color w:val="auto"/>
              </w:rPr>
              <w:t>8</w:t>
            </w:r>
            <w:r>
              <w:rPr>
                <w:rFonts w:hint="eastAsia"/>
                <w:color w:val="auto"/>
              </w:rPr>
              <w:t>条</w:t>
            </w:r>
          </w:p>
        </w:tc>
        <w:tc>
          <w:tcPr>
            <w:tcW w:w="1539" w:type="dxa"/>
            <w:tcBorders>
              <w:tl2br w:val="nil"/>
              <w:tr2bl w:val="nil"/>
            </w:tcBorders>
            <w:vAlign w:val="center"/>
          </w:tcPr>
          <w:p w14:paraId="3375772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安装在罐内的静电消除物体设计有接地。</w:t>
            </w:r>
          </w:p>
        </w:tc>
        <w:tc>
          <w:tcPr>
            <w:tcW w:w="967" w:type="dxa"/>
            <w:tcBorders>
              <w:tl2br w:val="nil"/>
              <w:tr2bl w:val="nil"/>
            </w:tcBorders>
            <w:vAlign w:val="center"/>
          </w:tcPr>
          <w:p w14:paraId="2FE9A58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20B0619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5295" w:type="dxa"/>
            <w:tcBorders>
              <w:tl2br w:val="nil"/>
              <w:tr2bl w:val="nil"/>
            </w:tcBorders>
            <w:vAlign w:val="center"/>
          </w:tcPr>
          <w:p w14:paraId="6046153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default" w:ascii="Times New Roman" w:hAnsi="Times New Roman"/>
                <w:color w:val="auto"/>
              </w:rPr>
              <w:t>7</w:t>
            </w:r>
            <w:r>
              <w:rPr>
                <w:rFonts w:hint="default"/>
                <w:color w:val="auto"/>
              </w:rPr>
              <w:t>.</w:t>
            </w:r>
            <w:r>
              <w:rPr>
                <w:rFonts w:hint="eastAsia"/>
                <w:color w:val="auto"/>
              </w:rPr>
              <w:t>双层油罐内壁与外壁之间应有满足渗漏检测要求的贯通间隙。</w:t>
            </w:r>
          </w:p>
        </w:tc>
        <w:tc>
          <w:tcPr>
            <w:tcW w:w="1530" w:type="dxa"/>
            <w:tcBorders>
              <w:tl2br w:val="nil"/>
              <w:tr2bl w:val="nil"/>
            </w:tcBorders>
            <w:vAlign w:val="center"/>
          </w:tcPr>
          <w:p w14:paraId="46C5CF1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eastAsia" w:ascii="Times New Roman" w:hAnsi="Times New Roman"/>
                <w:color w:val="auto"/>
              </w:rPr>
              <w:t>9</w:t>
            </w:r>
            <w:r>
              <w:rPr>
                <w:rFonts w:hint="eastAsia"/>
                <w:color w:val="auto"/>
              </w:rPr>
              <w:t>条</w:t>
            </w:r>
          </w:p>
        </w:tc>
        <w:tc>
          <w:tcPr>
            <w:tcW w:w="1539" w:type="dxa"/>
            <w:tcBorders>
              <w:tl2br w:val="nil"/>
              <w:tr2bl w:val="nil"/>
            </w:tcBorders>
            <w:vAlign w:val="center"/>
          </w:tcPr>
          <w:p w14:paraId="26D589E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color w:val="auto"/>
              </w:rPr>
            </w:pPr>
            <w:r>
              <w:rPr>
                <w:rFonts w:hint="eastAsia"/>
                <w:color w:val="auto"/>
              </w:rPr>
              <w:t>有设计满足检测要求的贯通间隙。</w:t>
            </w:r>
          </w:p>
        </w:tc>
        <w:tc>
          <w:tcPr>
            <w:tcW w:w="967" w:type="dxa"/>
            <w:tcBorders>
              <w:tl2br w:val="nil"/>
              <w:tr2bl w:val="nil"/>
            </w:tcBorders>
            <w:vAlign w:val="center"/>
          </w:tcPr>
          <w:p w14:paraId="436F13E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textAlignment w:val="auto"/>
              <w:rPr>
                <w:rFonts w:hint="default"/>
                <w:color w:val="auto"/>
              </w:rPr>
            </w:pPr>
            <w:r>
              <w:rPr>
                <w:rFonts w:hint="eastAsia"/>
                <w:color w:val="auto"/>
              </w:rPr>
              <w:t>符合</w:t>
            </w:r>
          </w:p>
        </w:tc>
      </w:tr>
      <w:tr w14:paraId="38DFC4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158" w:hRule="atLeast"/>
          <w:jc w:val="center"/>
        </w:trPr>
        <w:tc>
          <w:tcPr>
            <w:tcW w:w="5295" w:type="dxa"/>
            <w:tcBorders>
              <w:tl2br w:val="nil"/>
              <w:tr2bl w:val="nil"/>
            </w:tcBorders>
            <w:vAlign w:val="center"/>
          </w:tcPr>
          <w:p w14:paraId="3A88AFE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8</w:t>
            </w:r>
            <w:r>
              <w:rPr>
                <w:rFonts w:hint="default"/>
                <w:color w:val="auto"/>
              </w:rPr>
              <w:t>.</w:t>
            </w:r>
            <w:r>
              <w:rPr>
                <w:rFonts w:hint="eastAsia"/>
                <w:color w:val="auto"/>
              </w:rPr>
              <w:t>双层钢制油罐、内钢外玻璃纤维增强塑料双层油罐和玻璃纤维增强塑料等非金属防渗衬里的双层油罐，应设渗漏检测立管，并应符合下列规定：</w:t>
            </w:r>
          </w:p>
          <w:p w14:paraId="28E3072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）检测立管应采用钢管，直径宜为</w:t>
            </w:r>
            <w:r>
              <w:rPr>
                <w:rFonts w:hint="eastAsia" w:ascii="Times New Roman" w:hAnsi="Times New Roman"/>
                <w:color w:val="auto"/>
              </w:rPr>
              <w:t>80mm</w:t>
            </w:r>
            <w:r>
              <w:rPr>
                <w:rFonts w:hint="eastAsia"/>
                <w:color w:val="auto"/>
              </w:rPr>
              <w:t>，壁厚不宜小于</w:t>
            </w:r>
            <w:r>
              <w:rPr>
                <w:rFonts w:hint="eastAsia" w:ascii="Times New Roman" w:hAnsi="Times New Roman"/>
                <w:color w:val="auto"/>
              </w:rPr>
              <w:t>4mm</w:t>
            </w:r>
            <w:r>
              <w:rPr>
                <w:rFonts w:hint="eastAsia"/>
                <w:color w:val="auto"/>
              </w:rPr>
              <w:t>；</w:t>
            </w:r>
          </w:p>
          <w:p w14:paraId="371E2247">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）检测立管应位于油罐顶部的纵向中心线上；</w:t>
            </w:r>
          </w:p>
          <w:p w14:paraId="18E52F7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）检测立管的底部管口应与油罐内、外壁间隙相连通，顶部管口应装防尘盖；</w:t>
            </w:r>
          </w:p>
          <w:p w14:paraId="7048ED1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）检测立管应满足人工检测和在线监测的要求，并应保证油罐内、外壁任何部位出现渗漏均能被发现。</w:t>
            </w:r>
          </w:p>
        </w:tc>
        <w:tc>
          <w:tcPr>
            <w:tcW w:w="1530" w:type="dxa"/>
            <w:tcBorders>
              <w:tl2br w:val="nil"/>
              <w:tr2bl w:val="nil"/>
            </w:tcBorders>
            <w:vAlign w:val="center"/>
          </w:tcPr>
          <w:p w14:paraId="7C489F92">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eastAsia" w:ascii="Times New Roman" w:hAnsi="Times New Roman"/>
                <w:color w:val="auto"/>
              </w:rPr>
              <w:t>10</w:t>
            </w:r>
            <w:r>
              <w:rPr>
                <w:rFonts w:hint="eastAsia"/>
                <w:color w:val="auto"/>
              </w:rPr>
              <w:t>条</w:t>
            </w:r>
          </w:p>
        </w:tc>
        <w:tc>
          <w:tcPr>
            <w:tcW w:w="1539" w:type="dxa"/>
            <w:tcBorders>
              <w:tl2br w:val="nil"/>
              <w:tr2bl w:val="nil"/>
            </w:tcBorders>
            <w:vAlign w:val="center"/>
          </w:tcPr>
          <w:p w14:paraId="5673312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双层油罐设计有渗漏检测立管。渗漏检测立管设置符合左侧要求。</w:t>
            </w:r>
          </w:p>
        </w:tc>
        <w:tc>
          <w:tcPr>
            <w:tcW w:w="967" w:type="dxa"/>
            <w:tcBorders>
              <w:tl2br w:val="nil"/>
              <w:tr2bl w:val="nil"/>
            </w:tcBorders>
            <w:vAlign w:val="center"/>
          </w:tcPr>
          <w:p w14:paraId="19FB666B">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1D13B9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94" w:hRule="atLeast"/>
          <w:jc w:val="center"/>
        </w:trPr>
        <w:tc>
          <w:tcPr>
            <w:tcW w:w="5295" w:type="dxa"/>
            <w:tcBorders>
              <w:tl2br w:val="nil"/>
              <w:tr2bl w:val="nil"/>
            </w:tcBorders>
            <w:vAlign w:val="center"/>
          </w:tcPr>
          <w:p w14:paraId="76B2DEA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9</w:t>
            </w:r>
            <w:r>
              <w:rPr>
                <w:rFonts w:hint="default"/>
                <w:color w:val="auto"/>
              </w:rPr>
              <w:t>.</w:t>
            </w:r>
            <w:r>
              <w:rPr>
                <w:rFonts w:hint="eastAsia"/>
                <w:color w:val="auto"/>
              </w:rPr>
              <w:t>油罐应采用钢制人孔盖。</w:t>
            </w:r>
          </w:p>
        </w:tc>
        <w:tc>
          <w:tcPr>
            <w:tcW w:w="1530" w:type="dxa"/>
            <w:tcBorders>
              <w:tl2br w:val="nil"/>
              <w:tr2bl w:val="nil"/>
            </w:tcBorders>
            <w:vAlign w:val="center"/>
          </w:tcPr>
          <w:p w14:paraId="0FEFE659">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eastAsia" w:ascii="Times New Roman" w:hAnsi="Times New Roman"/>
                <w:color w:val="auto"/>
              </w:rPr>
              <w:t>11</w:t>
            </w:r>
            <w:r>
              <w:rPr>
                <w:rFonts w:hint="eastAsia"/>
                <w:color w:val="auto"/>
              </w:rPr>
              <w:t>条</w:t>
            </w:r>
          </w:p>
        </w:tc>
        <w:tc>
          <w:tcPr>
            <w:tcW w:w="1539" w:type="dxa"/>
            <w:tcBorders>
              <w:tl2br w:val="nil"/>
              <w:tr2bl w:val="nil"/>
            </w:tcBorders>
            <w:vAlign w:val="center"/>
          </w:tcPr>
          <w:p w14:paraId="747B5A8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油罐采用钢制人孔盖。</w:t>
            </w:r>
          </w:p>
        </w:tc>
        <w:tc>
          <w:tcPr>
            <w:tcW w:w="967" w:type="dxa"/>
            <w:tcBorders>
              <w:tl2br w:val="nil"/>
              <w:tr2bl w:val="nil"/>
            </w:tcBorders>
            <w:vAlign w:val="center"/>
          </w:tcPr>
          <w:p w14:paraId="5E2556E7">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1C115D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6D3A1AA3">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10</w:t>
            </w:r>
            <w:r>
              <w:rPr>
                <w:rFonts w:hint="default"/>
                <w:color w:val="auto"/>
              </w:rPr>
              <w:t>.</w:t>
            </w:r>
            <w:r>
              <w:rPr>
                <w:rFonts w:hint="eastAsia"/>
                <w:color w:val="auto"/>
              </w:rPr>
              <w:t>油罐设在非车行道下面时，罐顶的覆土厚度不应小于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5m</w:t>
            </w:r>
            <w:r>
              <w:rPr>
                <w:rFonts w:hint="eastAsia"/>
                <w:color w:val="auto"/>
              </w:rPr>
              <w:t>；设在车行道下面时，罐顶低于混凝土路面不宜小于</w:t>
            </w:r>
            <w:r>
              <w:rPr>
                <w:rFonts w:hint="eastAsia" w:ascii="Times New Roman" w:hAnsi="Times New Roman"/>
                <w:color w:val="auto"/>
              </w:rPr>
              <w:t>0</w:t>
            </w:r>
            <w:r>
              <w:rPr>
                <w:rFonts w:hint="eastAsia"/>
                <w:color w:val="auto"/>
              </w:rPr>
              <w:t>.</w:t>
            </w:r>
            <w:r>
              <w:rPr>
                <w:rFonts w:hint="eastAsia" w:ascii="Times New Roman" w:hAnsi="Times New Roman"/>
                <w:color w:val="auto"/>
              </w:rPr>
              <w:t>9m</w:t>
            </w:r>
            <w:r>
              <w:rPr>
                <w:rFonts w:hint="eastAsia"/>
                <w:color w:val="auto"/>
              </w:rPr>
              <w:t>。钢制油罐的周围应回填中性沙或细土，其厚度不应小于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3m</w:t>
            </w:r>
            <w:r>
              <w:rPr>
                <w:rFonts w:hint="eastAsia"/>
                <w:color w:val="auto"/>
              </w:rPr>
              <w:t>；外层为玻璃纤维增强塑料材料的油罐，回填料应符合产品说明书的要求。</w:t>
            </w:r>
          </w:p>
        </w:tc>
        <w:tc>
          <w:tcPr>
            <w:tcW w:w="1530" w:type="dxa"/>
            <w:tcBorders>
              <w:tl2br w:val="nil"/>
              <w:tr2bl w:val="nil"/>
            </w:tcBorders>
            <w:vAlign w:val="center"/>
          </w:tcPr>
          <w:p w14:paraId="72311A0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eastAsia" w:ascii="Times New Roman" w:hAnsi="Times New Roman"/>
                <w:color w:val="auto"/>
              </w:rPr>
              <w:t>12</w:t>
            </w:r>
            <w:r>
              <w:rPr>
                <w:rFonts w:hint="eastAsia"/>
                <w:color w:val="auto"/>
              </w:rPr>
              <w:t>条</w:t>
            </w:r>
          </w:p>
        </w:tc>
        <w:tc>
          <w:tcPr>
            <w:tcW w:w="1539" w:type="dxa"/>
            <w:tcBorders>
              <w:tl2br w:val="nil"/>
              <w:tr2bl w:val="nil"/>
            </w:tcBorders>
            <w:vAlign w:val="center"/>
          </w:tcPr>
          <w:p w14:paraId="720662F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油罐设在车行道下面，罐顶的覆土厚大于</w:t>
            </w:r>
            <w:r>
              <w:rPr>
                <w:rFonts w:hint="default" w:ascii="Times New Roman" w:hAnsi="Times New Roman"/>
                <w:color w:val="auto"/>
              </w:rPr>
              <w:t>0</w:t>
            </w:r>
            <w:r>
              <w:rPr>
                <w:rFonts w:hint="default"/>
                <w:color w:val="auto"/>
              </w:rPr>
              <w:t>.</w:t>
            </w:r>
            <w:r>
              <w:rPr>
                <w:rFonts w:hint="eastAsia" w:ascii="Times New Roman" w:hAnsi="Times New Roman"/>
                <w:color w:val="auto"/>
              </w:rPr>
              <w:t>9</w:t>
            </w:r>
            <w:r>
              <w:rPr>
                <w:rFonts w:hint="default" w:ascii="Times New Roman" w:hAnsi="Times New Roman"/>
                <w:color w:val="auto"/>
              </w:rPr>
              <w:t>m</w:t>
            </w:r>
            <w:r>
              <w:rPr>
                <w:rFonts w:hint="eastAsia"/>
                <w:color w:val="auto"/>
              </w:rPr>
              <w:t>。</w:t>
            </w:r>
          </w:p>
        </w:tc>
        <w:tc>
          <w:tcPr>
            <w:tcW w:w="967" w:type="dxa"/>
            <w:tcBorders>
              <w:tl2br w:val="nil"/>
              <w:tr2bl w:val="nil"/>
            </w:tcBorders>
            <w:vAlign w:val="center"/>
          </w:tcPr>
          <w:p w14:paraId="6C9900E7">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2D1E4F8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2" w:hRule="atLeast"/>
          <w:jc w:val="center"/>
        </w:trPr>
        <w:tc>
          <w:tcPr>
            <w:tcW w:w="5295" w:type="dxa"/>
            <w:tcBorders>
              <w:tl2br w:val="nil"/>
              <w:tr2bl w:val="nil"/>
            </w:tcBorders>
            <w:vAlign w:val="center"/>
          </w:tcPr>
          <w:p w14:paraId="26868FEE">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11</w:t>
            </w:r>
            <w:r>
              <w:rPr>
                <w:rFonts w:hint="default"/>
                <w:color w:val="auto"/>
              </w:rPr>
              <w:t>.</w:t>
            </w:r>
            <w:r>
              <w:rPr>
                <w:rFonts w:hint="eastAsia"/>
                <w:color w:val="auto"/>
              </w:rPr>
              <w:t>当埋地油罐受地下水或雨水作用有上浮的可能时，应采取防止油罐上浮的措施。</w:t>
            </w:r>
          </w:p>
        </w:tc>
        <w:tc>
          <w:tcPr>
            <w:tcW w:w="1530" w:type="dxa"/>
            <w:tcBorders>
              <w:tl2br w:val="nil"/>
              <w:tr2bl w:val="nil"/>
            </w:tcBorders>
            <w:vAlign w:val="center"/>
          </w:tcPr>
          <w:p w14:paraId="10CD78A8">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ascii="Times New Roman" w:hAnsi="Times New Roman"/>
                <w:color w:val="auto"/>
              </w:rPr>
              <w:t>3</w:t>
            </w:r>
            <w:r>
              <w:rPr>
                <w:rFonts w:hint="eastAsia"/>
                <w:color w:val="auto"/>
              </w:rPr>
              <w:t>条</w:t>
            </w:r>
          </w:p>
        </w:tc>
        <w:tc>
          <w:tcPr>
            <w:tcW w:w="1539" w:type="dxa"/>
            <w:tcBorders>
              <w:tl2br w:val="nil"/>
              <w:tr2bl w:val="nil"/>
            </w:tcBorders>
            <w:vAlign w:val="center"/>
          </w:tcPr>
          <w:p w14:paraId="3272879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设计采取了整体固定措施防止油罐上浮。</w:t>
            </w:r>
          </w:p>
        </w:tc>
        <w:tc>
          <w:tcPr>
            <w:tcW w:w="967" w:type="dxa"/>
            <w:tcBorders>
              <w:tl2br w:val="nil"/>
              <w:tr2bl w:val="nil"/>
            </w:tcBorders>
            <w:vAlign w:val="center"/>
          </w:tcPr>
          <w:p w14:paraId="0D402989">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4B4173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4E9648F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12</w:t>
            </w:r>
            <w:r>
              <w:rPr>
                <w:rFonts w:hint="default"/>
                <w:color w:val="auto"/>
              </w:rPr>
              <w:t>.</w:t>
            </w:r>
            <w:r>
              <w:rPr>
                <w:rFonts w:hint="eastAsia"/>
                <w:color w:val="auto"/>
              </w:rPr>
              <w:t>埋地油罐的人孔应设操作井。设在行车道下面的人孔井应采用加油站车行道下专用的密闭井盖和井座。</w:t>
            </w:r>
          </w:p>
        </w:tc>
        <w:tc>
          <w:tcPr>
            <w:tcW w:w="1530" w:type="dxa"/>
            <w:tcBorders>
              <w:tl2br w:val="nil"/>
              <w:tr2bl w:val="nil"/>
            </w:tcBorders>
            <w:vAlign w:val="center"/>
          </w:tcPr>
          <w:p w14:paraId="45185406">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ascii="Times New Roman" w:hAnsi="Times New Roman"/>
                <w:color w:val="auto"/>
              </w:rPr>
              <w:t>4</w:t>
            </w:r>
            <w:r>
              <w:rPr>
                <w:rFonts w:hint="eastAsia"/>
                <w:color w:val="auto"/>
              </w:rPr>
              <w:t>条</w:t>
            </w:r>
          </w:p>
        </w:tc>
        <w:tc>
          <w:tcPr>
            <w:tcW w:w="1539" w:type="dxa"/>
            <w:tcBorders>
              <w:tl2br w:val="nil"/>
              <w:tr2bl w:val="nil"/>
            </w:tcBorders>
            <w:vAlign w:val="center"/>
          </w:tcPr>
          <w:p w14:paraId="30E85B0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埋地油罐的人孔均设有操作井，人孔井采用加油站车行道下专用的密闭井盖和井座。</w:t>
            </w:r>
          </w:p>
        </w:tc>
        <w:tc>
          <w:tcPr>
            <w:tcW w:w="967" w:type="dxa"/>
            <w:tcBorders>
              <w:tl2br w:val="nil"/>
              <w:tr2bl w:val="nil"/>
            </w:tcBorders>
            <w:vAlign w:val="center"/>
          </w:tcPr>
          <w:p w14:paraId="29D3350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986D2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513" w:hRule="atLeast"/>
          <w:jc w:val="center"/>
        </w:trPr>
        <w:tc>
          <w:tcPr>
            <w:tcW w:w="5295" w:type="dxa"/>
            <w:tcBorders>
              <w:tl2br w:val="nil"/>
              <w:tr2bl w:val="nil"/>
            </w:tcBorders>
            <w:vAlign w:val="center"/>
          </w:tcPr>
          <w:p w14:paraId="3ADA3FD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13</w:t>
            </w:r>
            <w:r>
              <w:rPr>
                <w:rFonts w:hint="default"/>
                <w:color w:val="auto"/>
              </w:rPr>
              <w:t>.</w:t>
            </w:r>
            <w:r>
              <w:rPr>
                <w:rFonts w:hint="eastAsia"/>
                <w:color w:val="auto"/>
              </w:rPr>
              <w:t>油罐卸油应采取防满溢措施。油料达到油罐容量的</w:t>
            </w:r>
            <w:r>
              <w:rPr>
                <w:rFonts w:hint="eastAsia" w:ascii="Times New Roman" w:hAnsi="Times New Roman"/>
                <w:color w:val="auto"/>
              </w:rPr>
              <w:t>90</w:t>
            </w:r>
            <w:r>
              <w:rPr>
                <w:rFonts w:hint="eastAsia"/>
                <w:color w:val="auto"/>
              </w:rPr>
              <w:t>%时，应能触动高液位报警装置；油料达到油罐容量的</w:t>
            </w:r>
            <w:r>
              <w:rPr>
                <w:rFonts w:hint="eastAsia" w:ascii="Times New Roman" w:hAnsi="Times New Roman"/>
                <w:color w:val="auto"/>
              </w:rPr>
              <w:t>95</w:t>
            </w:r>
            <w:r>
              <w:rPr>
                <w:rFonts w:hint="eastAsia"/>
                <w:color w:val="auto"/>
              </w:rPr>
              <w:t>%时，应能自动停止油料继续进罐。高液位报警装置应位于工作人员便于觉察的地点。</w:t>
            </w:r>
          </w:p>
        </w:tc>
        <w:tc>
          <w:tcPr>
            <w:tcW w:w="1530" w:type="dxa"/>
            <w:tcBorders>
              <w:tl2br w:val="nil"/>
              <w:tr2bl w:val="nil"/>
            </w:tcBorders>
            <w:vAlign w:val="center"/>
          </w:tcPr>
          <w:p w14:paraId="671AE3EF">
            <w:pPr>
              <w:pStyle w:val="22"/>
              <w:keepNext w:val="0"/>
              <w:keepLines w:val="0"/>
              <w:widowControl/>
              <w:suppressLineNumbers w:val="0"/>
              <w:spacing w:before="0" w:beforeAutospacing="0" w:after="0" w:afterAutospacing="0" w:line="240" w:lineRule="auto"/>
              <w:ind w:left="0" w:right="0"/>
              <w:rPr>
                <w:rFonts w:hint="default"/>
                <w:color w:val="auto"/>
              </w:rPr>
            </w:pPr>
            <w:r>
              <w:rPr>
                <w:rFonts w:hint="default" w:ascii="Times New Roman" w:hAnsi="Times New Roman"/>
                <w:color w:val="auto"/>
              </w:rPr>
              <w:t>GB50156</w:t>
            </w:r>
            <w:r>
              <w:rPr>
                <w:rFonts w:hint="default"/>
                <w:color w:val="auto"/>
              </w:rPr>
              <w:t>-</w:t>
            </w:r>
            <w:r>
              <w:rPr>
                <w:rFonts w:hint="default" w:ascii="Times New Roman" w:hAnsi="Times New Roman"/>
                <w:color w:val="auto"/>
              </w:rPr>
              <w:t>20</w:t>
            </w:r>
            <w:r>
              <w:rPr>
                <w:rFonts w:hint="eastAsia" w:ascii="Times New Roman" w:hAnsi="Times New Roman"/>
                <w:color w:val="auto"/>
              </w:rPr>
              <w:t>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ascii="Times New Roman" w:hAnsi="Times New Roman"/>
                <w:color w:val="auto"/>
              </w:rPr>
              <w:t>5</w:t>
            </w:r>
            <w:r>
              <w:rPr>
                <w:rFonts w:hint="eastAsia"/>
                <w:color w:val="auto"/>
              </w:rPr>
              <w:t>条</w:t>
            </w:r>
          </w:p>
        </w:tc>
        <w:tc>
          <w:tcPr>
            <w:tcW w:w="1539" w:type="dxa"/>
            <w:tcBorders>
              <w:tl2br w:val="nil"/>
              <w:tr2bl w:val="nil"/>
            </w:tcBorders>
            <w:vAlign w:val="center"/>
          </w:tcPr>
          <w:p w14:paraId="28FDBD5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该加油站油罐采取了卸油时的防满溢措施，且其高液位报警装置具备油料达到油罐容量</w:t>
            </w:r>
            <w:r>
              <w:rPr>
                <w:rFonts w:hint="default" w:ascii="Times New Roman" w:hAnsi="Times New Roman"/>
                <w:color w:val="auto"/>
              </w:rPr>
              <w:t>95</w:t>
            </w:r>
            <w:r>
              <w:rPr>
                <w:rFonts w:hint="default"/>
                <w:color w:val="auto"/>
              </w:rPr>
              <w:t>%</w:t>
            </w:r>
            <w:r>
              <w:rPr>
                <w:rFonts w:hint="eastAsia"/>
                <w:color w:val="auto"/>
              </w:rPr>
              <w:t>时自动停止油料继续进罐的功能。</w:t>
            </w:r>
          </w:p>
        </w:tc>
        <w:tc>
          <w:tcPr>
            <w:tcW w:w="967" w:type="dxa"/>
            <w:tcBorders>
              <w:tl2br w:val="nil"/>
              <w:tr2bl w:val="nil"/>
            </w:tcBorders>
            <w:vAlign w:val="center"/>
          </w:tcPr>
          <w:p w14:paraId="1FF0424F">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642FBA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78" w:hRule="atLeast"/>
          <w:jc w:val="center"/>
        </w:trPr>
        <w:tc>
          <w:tcPr>
            <w:tcW w:w="5295" w:type="dxa"/>
            <w:tcBorders>
              <w:tl2br w:val="nil"/>
              <w:tr2bl w:val="nil"/>
            </w:tcBorders>
            <w:vAlign w:val="center"/>
          </w:tcPr>
          <w:p w14:paraId="407E573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14</w:t>
            </w:r>
            <w:r>
              <w:rPr>
                <w:rFonts w:hint="default"/>
                <w:color w:val="auto"/>
              </w:rPr>
              <w:t>.</w:t>
            </w:r>
            <w:r>
              <w:rPr>
                <w:rFonts w:hint="eastAsia"/>
                <w:color w:val="auto"/>
              </w:rPr>
              <w:t>设有油气回收系统的加油站，站内油罐应设带有高液位报警功能的液位监测系统。单层油罐的液位监测系统尚应具备渗漏检测功能，渗漏检测分辨率不宜大于</w:t>
            </w:r>
            <w:r>
              <w:rPr>
                <w:rFonts w:hint="eastAsia" w:ascii="Times New Roman" w:hAnsi="Times New Roman"/>
                <w:color w:val="auto"/>
              </w:rPr>
              <w:t>0</w:t>
            </w:r>
            <w:r>
              <w:rPr>
                <w:rFonts w:hint="eastAsia"/>
                <w:color w:val="auto"/>
              </w:rPr>
              <w:t>.</w:t>
            </w:r>
            <w:r>
              <w:rPr>
                <w:rFonts w:hint="eastAsia" w:ascii="Times New Roman" w:hAnsi="Times New Roman"/>
                <w:color w:val="auto"/>
              </w:rPr>
              <w:t>8L</w:t>
            </w:r>
            <w:r>
              <w:rPr>
                <w:rFonts w:hint="eastAsia"/>
                <w:color w:val="auto"/>
              </w:rPr>
              <w:t>/</w:t>
            </w:r>
            <w:r>
              <w:rPr>
                <w:rFonts w:hint="eastAsia" w:ascii="Times New Roman" w:hAnsi="Times New Roman"/>
                <w:color w:val="auto"/>
              </w:rPr>
              <w:t>h</w:t>
            </w:r>
            <w:r>
              <w:rPr>
                <w:rFonts w:hint="eastAsia"/>
                <w:color w:val="auto"/>
              </w:rPr>
              <w:t>。</w:t>
            </w:r>
          </w:p>
        </w:tc>
        <w:tc>
          <w:tcPr>
            <w:tcW w:w="1530" w:type="dxa"/>
            <w:tcBorders>
              <w:tl2br w:val="nil"/>
              <w:tr2bl w:val="nil"/>
            </w:tcBorders>
            <w:vAlign w:val="center"/>
          </w:tcPr>
          <w:p w14:paraId="3A28098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ascii="Times New Roman" w:hAnsi="Times New Roman"/>
                <w:color w:val="auto"/>
              </w:rPr>
              <w:t>6</w:t>
            </w:r>
            <w:r>
              <w:rPr>
                <w:rFonts w:hint="eastAsia"/>
                <w:color w:val="auto"/>
              </w:rPr>
              <w:t>条</w:t>
            </w:r>
          </w:p>
        </w:tc>
        <w:tc>
          <w:tcPr>
            <w:tcW w:w="1539" w:type="dxa"/>
            <w:tcBorders>
              <w:tl2br w:val="nil"/>
              <w:tr2bl w:val="nil"/>
            </w:tcBorders>
            <w:vAlign w:val="center"/>
          </w:tcPr>
          <w:p w14:paraId="6792256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油罐设有高液位报警装置</w:t>
            </w:r>
            <w:r>
              <w:rPr>
                <w:rFonts w:hint="eastAsia"/>
                <w:color w:val="auto"/>
                <w:lang w:val="en-US" w:eastAsia="zh-CN"/>
              </w:rPr>
              <w:t>和</w:t>
            </w:r>
            <w:r>
              <w:rPr>
                <w:rFonts w:hint="eastAsia"/>
                <w:color w:val="auto"/>
              </w:rPr>
              <w:t>渗漏</w:t>
            </w:r>
            <w:r>
              <w:rPr>
                <w:rFonts w:hint="eastAsia"/>
                <w:color w:val="auto"/>
                <w:lang w:val="en-US" w:eastAsia="zh-CN"/>
              </w:rPr>
              <w:t>检测控制器</w:t>
            </w:r>
            <w:r>
              <w:rPr>
                <w:rFonts w:hint="eastAsia"/>
                <w:color w:val="auto"/>
              </w:rPr>
              <w:t>。</w:t>
            </w:r>
          </w:p>
        </w:tc>
        <w:tc>
          <w:tcPr>
            <w:tcW w:w="967" w:type="dxa"/>
            <w:tcBorders>
              <w:tl2br w:val="nil"/>
              <w:tr2bl w:val="nil"/>
            </w:tcBorders>
            <w:vAlign w:val="center"/>
          </w:tcPr>
          <w:p w14:paraId="69862E6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D9B276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2AA218F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15</w:t>
            </w:r>
            <w:r>
              <w:rPr>
                <w:rFonts w:hint="default"/>
                <w:color w:val="auto"/>
              </w:rPr>
              <w:t>.</w:t>
            </w:r>
            <w:r>
              <w:rPr>
                <w:rFonts w:hint="eastAsia"/>
                <w:color w:val="auto"/>
              </w:rPr>
              <w:t>与土壤接触的钢制油罐外表面，防腐设计应符合现行行业标准《石油化工设备和管道涂料防腐蚀设计标准》</w:t>
            </w:r>
            <w:r>
              <w:rPr>
                <w:rFonts w:hint="eastAsia" w:ascii="Times New Roman" w:hAnsi="Times New Roman"/>
                <w:color w:val="auto"/>
              </w:rPr>
              <w:t>SH</w:t>
            </w:r>
            <w:r>
              <w:rPr>
                <w:rFonts w:hint="eastAsia"/>
                <w:color w:val="auto"/>
              </w:rPr>
              <w:t>/</w:t>
            </w:r>
            <w:r>
              <w:rPr>
                <w:rFonts w:hint="eastAsia" w:ascii="Times New Roman" w:hAnsi="Times New Roman"/>
                <w:color w:val="auto"/>
              </w:rPr>
              <w:t>T3022</w:t>
            </w:r>
            <w:r>
              <w:rPr>
                <w:rFonts w:hint="eastAsia"/>
                <w:color w:val="auto"/>
              </w:rPr>
              <w:t>的有关规定，且防腐等级不应低于加强级。</w:t>
            </w:r>
          </w:p>
        </w:tc>
        <w:tc>
          <w:tcPr>
            <w:tcW w:w="1530" w:type="dxa"/>
            <w:tcBorders>
              <w:tl2br w:val="nil"/>
              <w:tr2bl w:val="nil"/>
            </w:tcBorders>
            <w:vAlign w:val="center"/>
          </w:tcPr>
          <w:p w14:paraId="6BEBB15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ascii="Times New Roman" w:hAnsi="Times New Roman"/>
                <w:color w:val="auto"/>
              </w:rPr>
              <w:t>7</w:t>
            </w:r>
            <w:r>
              <w:rPr>
                <w:rFonts w:hint="eastAsia"/>
                <w:color w:val="auto"/>
              </w:rPr>
              <w:t>条</w:t>
            </w:r>
          </w:p>
        </w:tc>
        <w:tc>
          <w:tcPr>
            <w:tcW w:w="1539" w:type="dxa"/>
            <w:tcBorders>
              <w:tl2br w:val="nil"/>
              <w:tr2bl w:val="nil"/>
            </w:tcBorders>
            <w:vAlign w:val="center"/>
          </w:tcPr>
          <w:p w14:paraId="145D26E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油罐的防腐符合规范要求，采用不低于加强级的防腐蚀保护层。</w:t>
            </w:r>
          </w:p>
        </w:tc>
        <w:tc>
          <w:tcPr>
            <w:tcW w:w="967" w:type="dxa"/>
            <w:tcBorders>
              <w:tl2br w:val="nil"/>
              <w:tr2bl w:val="nil"/>
            </w:tcBorders>
            <w:vAlign w:val="center"/>
          </w:tcPr>
          <w:p w14:paraId="2D26A8E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741D1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36BB2CC3">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16</w:t>
            </w:r>
            <w:r>
              <w:rPr>
                <w:rFonts w:hint="default"/>
                <w:color w:val="auto"/>
              </w:rPr>
              <w:t>.</w:t>
            </w:r>
            <w:r>
              <w:rPr>
                <w:rFonts w:hint="eastAsia"/>
                <w:color w:val="auto"/>
              </w:rPr>
              <w:t>加油机不得设置在室内。</w:t>
            </w:r>
          </w:p>
        </w:tc>
        <w:tc>
          <w:tcPr>
            <w:tcW w:w="1530" w:type="dxa"/>
            <w:tcBorders>
              <w:tl2br w:val="nil"/>
              <w:tr2bl w:val="nil"/>
            </w:tcBorders>
            <w:vAlign w:val="center"/>
          </w:tcPr>
          <w:p w14:paraId="51BB13B8">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w:t>
            </w:r>
            <w:r>
              <w:rPr>
                <w:rFonts w:hint="eastAsia"/>
                <w:color w:val="auto"/>
              </w:rPr>
              <w:t>条</w:t>
            </w:r>
          </w:p>
        </w:tc>
        <w:tc>
          <w:tcPr>
            <w:tcW w:w="1539" w:type="dxa"/>
            <w:tcBorders>
              <w:tl2br w:val="nil"/>
              <w:tr2bl w:val="nil"/>
            </w:tcBorders>
            <w:vAlign w:val="center"/>
          </w:tcPr>
          <w:p w14:paraId="51581F1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加油机设于室外加油岛上。</w:t>
            </w:r>
          </w:p>
        </w:tc>
        <w:tc>
          <w:tcPr>
            <w:tcW w:w="967" w:type="dxa"/>
            <w:tcBorders>
              <w:tl2br w:val="nil"/>
              <w:tr2bl w:val="nil"/>
            </w:tcBorders>
            <w:vAlign w:val="center"/>
          </w:tcPr>
          <w:p w14:paraId="64B0108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74545BF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437B6B1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17</w:t>
            </w:r>
            <w:r>
              <w:rPr>
                <w:rFonts w:hint="default"/>
                <w:color w:val="auto"/>
              </w:rPr>
              <w:t>.</w:t>
            </w:r>
            <w:r>
              <w:rPr>
                <w:rFonts w:hint="eastAsia"/>
                <w:color w:val="auto"/>
              </w:rPr>
              <w:t>加油枪应采用自封式加油枪，汽油加油枪的流量不应大于</w:t>
            </w:r>
            <w:r>
              <w:rPr>
                <w:rFonts w:hint="eastAsia" w:ascii="Times New Roman" w:hAnsi="Times New Roman"/>
                <w:color w:val="auto"/>
              </w:rPr>
              <w:t>50L</w:t>
            </w:r>
            <w:r>
              <w:rPr>
                <w:rFonts w:hint="eastAsia"/>
                <w:color w:val="auto"/>
              </w:rPr>
              <w:t>/</w:t>
            </w:r>
            <w:r>
              <w:rPr>
                <w:rFonts w:hint="eastAsia" w:ascii="Times New Roman" w:hAnsi="Times New Roman"/>
                <w:color w:val="auto"/>
              </w:rPr>
              <w:t>min</w:t>
            </w:r>
            <w:r>
              <w:rPr>
                <w:rFonts w:hint="eastAsia"/>
                <w:color w:val="auto"/>
              </w:rPr>
              <w:t>。</w:t>
            </w:r>
          </w:p>
        </w:tc>
        <w:tc>
          <w:tcPr>
            <w:tcW w:w="1530" w:type="dxa"/>
            <w:tcBorders>
              <w:tl2br w:val="nil"/>
              <w:tr2bl w:val="nil"/>
            </w:tcBorders>
            <w:vAlign w:val="center"/>
          </w:tcPr>
          <w:p w14:paraId="52359536">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2</w:t>
            </w:r>
            <w:r>
              <w:rPr>
                <w:rFonts w:hint="default"/>
                <w:color w:val="auto"/>
              </w:rPr>
              <w:t>.</w:t>
            </w:r>
            <w:r>
              <w:rPr>
                <w:rFonts w:hint="eastAsia" w:ascii="Times New Roman" w:hAnsi="Times New Roman"/>
                <w:color w:val="auto"/>
              </w:rPr>
              <w:t>2</w:t>
            </w:r>
            <w:r>
              <w:rPr>
                <w:rFonts w:hint="eastAsia"/>
                <w:color w:val="auto"/>
              </w:rPr>
              <w:t>条</w:t>
            </w:r>
          </w:p>
        </w:tc>
        <w:tc>
          <w:tcPr>
            <w:tcW w:w="1539" w:type="dxa"/>
            <w:tcBorders>
              <w:tl2br w:val="nil"/>
              <w:tr2bl w:val="nil"/>
            </w:tcBorders>
            <w:vAlign w:val="center"/>
          </w:tcPr>
          <w:p w14:paraId="1B5C434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加油机设置自封式加油枪，流量不大于</w:t>
            </w:r>
            <w:r>
              <w:rPr>
                <w:rFonts w:hint="eastAsia" w:ascii="Times New Roman" w:hAnsi="Times New Roman"/>
                <w:color w:val="auto"/>
              </w:rPr>
              <w:t>50L</w:t>
            </w:r>
            <w:r>
              <w:rPr>
                <w:rFonts w:hint="eastAsia"/>
                <w:color w:val="auto"/>
              </w:rPr>
              <w:t>/</w:t>
            </w:r>
            <w:r>
              <w:rPr>
                <w:rFonts w:hint="eastAsia" w:ascii="Times New Roman" w:hAnsi="Times New Roman"/>
                <w:color w:val="auto"/>
              </w:rPr>
              <w:t>min</w:t>
            </w:r>
            <w:r>
              <w:rPr>
                <w:rFonts w:hint="eastAsia"/>
                <w:color w:val="auto"/>
              </w:rPr>
              <w:t>。</w:t>
            </w:r>
          </w:p>
        </w:tc>
        <w:tc>
          <w:tcPr>
            <w:tcW w:w="967" w:type="dxa"/>
            <w:tcBorders>
              <w:tl2br w:val="nil"/>
              <w:tr2bl w:val="nil"/>
            </w:tcBorders>
            <w:vAlign w:val="center"/>
          </w:tcPr>
          <w:p w14:paraId="75BA139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27C2AA3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6BE589B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18</w:t>
            </w:r>
            <w:r>
              <w:rPr>
                <w:rFonts w:hint="eastAsia"/>
                <w:color w:val="auto"/>
              </w:rPr>
              <w:t>.加油软管上宜设安全拉断阀。</w:t>
            </w:r>
          </w:p>
        </w:tc>
        <w:tc>
          <w:tcPr>
            <w:tcW w:w="1530" w:type="dxa"/>
            <w:tcBorders>
              <w:tl2br w:val="nil"/>
              <w:tr2bl w:val="nil"/>
            </w:tcBorders>
            <w:vAlign w:val="center"/>
          </w:tcPr>
          <w:p w14:paraId="0D3280EB">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2</w:t>
            </w:r>
            <w:r>
              <w:rPr>
                <w:rFonts w:hint="default"/>
                <w:color w:val="auto"/>
              </w:rPr>
              <w:t>.</w:t>
            </w:r>
            <w:r>
              <w:rPr>
                <w:rFonts w:hint="eastAsia" w:ascii="Times New Roman" w:hAnsi="Times New Roman"/>
                <w:color w:val="auto"/>
              </w:rPr>
              <w:t>3</w:t>
            </w:r>
            <w:r>
              <w:rPr>
                <w:rFonts w:hint="eastAsia"/>
                <w:color w:val="auto"/>
              </w:rPr>
              <w:t>条</w:t>
            </w:r>
          </w:p>
        </w:tc>
        <w:tc>
          <w:tcPr>
            <w:tcW w:w="1539" w:type="dxa"/>
            <w:tcBorders>
              <w:tl2br w:val="nil"/>
              <w:tr2bl w:val="nil"/>
            </w:tcBorders>
            <w:vAlign w:val="center"/>
          </w:tcPr>
          <w:p w14:paraId="77E6CDED">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加油软管上设置了安全拉断阀。</w:t>
            </w:r>
          </w:p>
        </w:tc>
        <w:tc>
          <w:tcPr>
            <w:tcW w:w="967" w:type="dxa"/>
            <w:tcBorders>
              <w:tl2br w:val="nil"/>
              <w:tr2bl w:val="nil"/>
            </w:tcBorders>
            <w:vAlign w:val="center"/>
          </w:tcPr>
          <w:p w14:paraId="4523716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55629AC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09" w:hRule="atLeast"/>
          <w:jc w:val="center"/>
        </w:trPr>
        <w:tc>
          <w:tcPr>
            <w:tcW w:w="5295" w:type="dxa"/>
            <w:tcBorders>
              <w:tl2br w:val="nil"/>
              <w:tr2bl w:val="nil"/>
            </w:tcBorders>
            <w:vAlign w:val="center"/>
          </w:tcPr>
          <w:p w14:paraId="222E20F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19</w:t>
            </w:r>
            <w:r>
              <w:rPr>
                <w:rFonts w:hint="eastAsia"/>
                <w:color w:val="auto"/>
              </w:rPr>
              <w:t>.以正压（潜油泵）供油的加油机，底部的供油管道上应设剪切阀，当加油机被撞或起火时，剪切阀应能自动关闭。</w:t>
            </w:r>
          </w:p>
        </w:tc>
        <w:tc>
          <w:tcPr>
            <w:tcW w:w="1530" w:type="dxa"/>
            <w:tcBorders>
              <w:tl2br w:val="nil"/>
              <w:tr2bl w:val="nil"/>
            </w:tcBorders>
            <w:vAlign w:val="center"/>
          </w:tcPr>
          <w:p w14:paraId="374115B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2</w:t>
            </w:r>
            <w:r>
              <w:rPr>
                <w:rFonts w:hint="default"/>
                <w:color w:val="auto"/>
              </w:rPr>
              <w:t>.</w:t>
            </w:r>
            <w:r>
              <w:rPr>
                <w:rFonts w:hint="eastAsia" w:ascii="Times New Roman" w:hAnsi="Times New Roman"/>
                <w:color w:val="auto"/>
              </w:rPr>
              <w:t>4</w:t>
            </w:r>
            <w:r>
              <w:rPr>
                <w:rFonts w:hint="eastAsia"/>
                <w:color w:val="auto"/>
              </w:rPr>
              <w:t>条</w:t>
            </w:r>
          </w:p>
        </w:tc>
        <w:tc>
          <w:tcPr>
            <w:tcW w:w="1539" w:type="dxa"/>
            <w:tcBorders>
              <w:tl2br w:val="nil"/>
              <w:tr2bl w:val="nil"/>
            </w:tcBorders>
            <w:vAlign w:val="center"/>
          </w:tcPr>
          <w:p w14:paraId="30E5A64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加油机底部设置了剪切阀。</w:t>
            </w:r>
          </w:p>
        </w:tc>
        <w:tc>
          <w:tcPr>
            <w:tcW w:w="967" w:type="dxa"/>
            <w:tcBorders>
              <w:tl2br w:val="nil"/>
              <w:tr2bl w:val="nil"/>
            </w:tcBorders>
            <w:vAlign w:val="center"/>
          </w:tcPr>
          <w:p w14:paraId="6ACD4CF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6621DF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6725C0B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20</w:t>
            </w:r>
            <w:r>
              <w:rPr>
                <w:rFonts w:hint="eastAsia"/>
                <w:color w:val="auto"/>
              </w:rPr>
              <w:t>.采用一机多油品的加油机时，加油机上的放枪位应有各油品的文字标识，加油枪应有颜色标识。</w:t>
            </w:r>
          </w:p>
        </w:tc>
        <w:tc>
          <w:tcPr>
            <w:tcW w:w="1530" w:type="dxa"/>
            <w:tcBorders>
              <w:tl2br w:val="nil"/>
              <w:tr2bl w:val="nil"/>
            </w:tcBorders>
            <w:vAlign w:val="center"/>
          </w:tcPr>
          <w:p w14:paraId="6330D87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2</w:t>
            </w:r>
            <w:r>
              <w:rPr>
                <w:rFonts w:hint="default"/>
                <w:color w:val="auto"/>
              </w:rPr>
              <w:t>.</w:t>
            </w:r>
            <w:r>
              <w:rPr>
                <w:rFonts w:hint="eastAsia" w:ascii="Times New Roman" w:hAnsi="Times New Roman"/>
                <w:color w:val="auto"/>
              </w:rPr>
              <w:t>5</w:t>
            </w:r>
            <w:r>
              <w:rPr>
                <w:rFonts w:hint="eastAsia"/>
                <w:color w:val="auto"/>
              </w:rPr>
              <w:t>条</w:t>
            </w:r>
          </w:p>
        </w:tc>
        <w:tc>
          <w:tcPr>
            <w:tcW w:w="1539" w:type="dxa"/>
            <w:tcBorders>
              <w:tl2br w:val="nil"/>
              <w:tr2bl w:val="nil"/>
            </w:tcBorders>
            <w:vAlign w:val="center"/>
          </w:tcPr>
          <w:p w14:paraId="00E86B4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加油机上设置了各油品文字标识。</w:t>
            </w:r>
          </w:p>
        </w:tc>
        <w:tc>
          <w:tcPr>
            <w:tcW w:w="967" w:type="dxa"/>
            <w:tcBorders>
              <w:tl2br w:val="nil"/>
              <w:tr2bl w:val="nil"/>
            </w:tcBorders>
            <w:vAlign w:val="center"/>
          </w:tcPr>
          <w:p w14:paraId="178E0027">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6AC9DF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33AFE8F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21</w:t>
            </w:r>
            <w:r>
              <w:rPr>
                <w:rFonts w:hint="default"/>
                <w:color w:val="auto"/>
              </w:rPr>
              <w:t>.</w:t>
            </w:r>
            <w:r>
              <w:rPr>
                <w:rFonts w:hint="eastAsia"/>
                <w:color w:val="auto"/>
              </w:rPr>
              <w:t>汽油和柴油油罐车卸油必须采用密闭卸油方式。汽油油罐车应具有卸油油气回收系统。</w:t>
            </w:r>
          </w:p>
        </w:tc>
        <w:tc>
          <w:tcPr>
            <w:tcW w:w="1530" w:type="dxa"/>
            <w:tcBorders>
              <w:tl2br w:val="nil"/>
              <w:tr2bl w:val="nil"/>
            </w:tcBorders>
            <w:vAlign w:val="center"/>
          </w:tcPr>
          <w:p w14:paraId="3526C29A">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1</w:t>
            </w:r>
            <w:r>
              <w:rPr>
                <w:rFonts w:hint="eastAsia"/>
                <w:color w:val="auto"/>
              </w:rPr>
              <w:t>条</w:t>
            </w:r>
          </w:p>
        </w:tc>
        <w:tc>
          <w:tcPr>
            <w:tcW w:w="1539" w:type="dxa"/>
            <w:tcBorders>
              <w:tl2br w:val="nil"/>
              <w:tr2bl w:val="nil"/>
            </w:tcBorders>
            <w:vAlign w:val="center"/>
          </w:tcPr>
          <w:p w14:paraId="74B7186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油罐车卸油采用密闭卸油方式。</w:t>
            </w:r>
          </w:p>
        </w:tc>
        <w:tc>
          <w:tcPr>
            <w:tcW w:w="967" w:type="dxa"/>
            <w:tcBorders>
              <w:tl2br w:val="nil"/>
              <w:tr2bl w:val="nil"/>
            </w:tcBorders>
            <w:vAlign w:val="center"/>
          </w:tcPr>
          <w:p w14:paraId="7BEB493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5439060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01287D2E">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22</w:t>
            </w:r>
            <w:r>
              <w:rPr>
                <w:rFonts w:hint="eastAsia"/>
                <w:color w:val="auto"/>
              </w:rPr>
              <w:t>.加油站宜采用油罐装设潜油泵的一泵供多机（枪）的加油工艺。采用自吸式加油机时，每台加油机应按加油品种单独设置进油管和罐内底阀。</w:t>
            </w:r>
          </w:p>
        </w:tc>
        <w:tc>
          <w:tcPr>
            <w:tcW w:w="1530" w:type="dxa"/>
            <w:tcBorders>
              <w:tl2br w:val="nil"/>
              <w:tr2bl w:val="nil"/>
            </w:tcBorders>
            <w:vAlign w:val="center"/>
          </w:tcPr>
          <w:p w14:paraId="617CFC8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5</w:t>
            </w:r>
            <w:r>
              <w:rPr>
                <w:rFonts w:hint="eastAsia"/>
                <w:color w:val="auto"/>
              </w:rPr>
              <w:t>条</w:t>
            </w:r>
          </w:p>
        </w:tc>
        <w:tc>
          <w:tcPr>
            <w:tcW w:w="1539" w:type="dxa"/>
            <w:tcBorders>
              <w:tl2br w:val="nil"/>
              <w:tr2bl w:val="nil"/>
            </w:tcBorders>
            <w:vAlign w:val="center"/>
          </w:tcPr>
          <w:p w14:paraId="4CDCBCF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采用油罐装设潜油泵的一泵供多机（枪）的加油工艺。</w:t>
            </w:r>
          </w:p>
        </w:tc>
        <w:tc>
          <w:tcPr>
            <w:tcW w:w="967" w:type="dxa"/>
            <w:tcBorders>
              <w:tl2br w:val="nil"/>
              <w:tr2bl w:val="nil"/>
            </w:tcBorders>
            <w:vAlign w:val="center"/>
          </w:tcPr>
          <w:p w14:paraId="70491D5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503DB6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3165E25E">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23</w:t>
            </w:r>
            <w:r>
              <w:rPr>
                <w:rFonts w:hint="eastAsia"/>
                <w:color w:val="auto"/>
              </w:rPr>
              <w:t>.加油站应采用加油油气回收系统。</w:t>
            </w:r>
          </w:p>
        </w:tc>
        <w:tc>
          <w:tcPr>
            <w:tcW w:w="1530" w:type="dxa"/>
            <w:tcBorders>
              <w:tl2br w:val="nil"/>
              <w:tr2bl w:val="nil"/>
            </w:tcBorders>
            <w:vAlign w:val="center"/>
          </w:tcPr>
          <w:p w14:paraId="72079C58">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eastAsia" w:ascii="Times New Roman" w:hAnsi="Times New Roman"/>
                <w:color w:val="auto"/>
              </w:rPr>
              <w:t>6</w:t>
            </w:r>
            <w:r>
              <w:rPr>
                <w:rFonts w:hint="eastAsia"/>
                <w:color w:val="auto"/>
              </w:rPr>
              <w:t>条</w:t>
            </w:r>
          </w:p>
        </w:tc>
        <w:tc>
          <w:tcPr>
            <w:tcW w:w="1539" w:type="dxa"/>
            <w:tcBorders>
              <w:tl2br w:val="nil"/>
              <w:tr2bl w:val="nil"/>
            </w:tcBorders>
            <w:vAlign w:val="center"/>
          </w:tcPr>
          <w:p w14:paraId="39CE310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设置了加油油气回收系统。</w:t>
            </w:r>
          </w:p>
        </w:tc>
        <w:tc>
          <w:tcPr>
            <w:tcW w:w="967" w:type="dxa"/>
            <w:tcBorders>
              <w:tl2br w:val="nil"/>
              <w:tr2bl w:val="nil"/>
            </w:tcBorders>
            <w:vAlign w:val="center"/>
          </w:tcPr>
          <w:p w14:paraId="10CA96D5">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776534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0A6391A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24</w:t>
            </w:r>
            <w:r>
              <w:rPr>
                <w:rFonts w:hint="eastAsia"/>
                <w:color w:val="auto"/>
              </w:rPr>
              <w:t>.加油油气回收系统的设计应符合下列规定：</w:t>
            </w:r>
          </w:p>
          <w:p w14:paraId="0035990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）应采用真空辅助式油气回收系统；</w:t>
            </w:r>
          </w:p>
          <w:p w14:paraId="66EF477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）汽油加油机与油罐之间应设油气回收管道，多台汽油加油机可共用一根油气回收主管，油气回收主管的公称直径不应小于</w:t>
            </w:r>
            <w:r>
              <w:rPr>
                <w:rFonts w:hint="eastAsia" w:ascii="Times New Roman" w:hAnsi="Times New Roman"/>
                <w:color w:val="auto"/>
              </w:rPr>
              <w:t>50mm</w:t>
            </w:r>
            <w:r>
              <w:rPr>
                <w:rFonts w:hint="eastAsia"/>
                <w:color w:val="auto"/>
              </w:rPr>
              <w:t>；</w:t>
            </w:r>
          </w:p>
          <w:p w14:paraId="63A76843">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）加油油气回收系统应采取防止油气反向流至加油枪的措施；</w:t>
            </w:r>
          </w:p>
          <w:p w14:paraId="2D52BEF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）加油机应具备回收油气功能，其气液比宜设定为</w:t>
            </w:r>
            <w:r>
              <w:rPr>
                <w:rFonts w:hint="eastAsia" w:ascii="Times New Roman" w:hAnsi="Times New Roman"/>
                <w:color w:val="auto"/>
              </w:rPr>
              <w:t>1</w:t>
            </w:r>
            <w:r>
              <w:rPr>
                <w:rFonts w:hint="eastAsia"/>
                <w:color w:val="auto"/>
              </w:rPr>
              <w:t>.</w:t>
            </w:r>
            <w:r>
              <w:rPr>
                <w:rFonts w:hint="eastAsia" w:ascii="Times New Roman" w:hAnsi="Times New Roman"/>
                <w:color w:val="auto"/>
              </w:rPr>
              <w:t>0</w:t>
            </w:r>
            <w:r>
              <w:rPr>
                <w:rFonts w:hint="eastAsia"/>
                <w:color w:val="auto"/>
              </w:rPr>
              <w:t>~</w:t>
            </w:r>
            <w:r>
              <w:rPr>
                <w:rFonts w:hint="eastAsia" w:ascii="Times New Roman" w:hAnsi="Times New Roman"/>
                <w:color w:val="auto"/>
              </w:rPr>
              <w:t>1</w:t>
            </w:r>
            <w:r>
              <w:rPr>
                <w:rFonts w:hint="eastAsia"/>
                <w:color w:val="auto"/>
              </w:rPr>
              <w:t>.</w:t>
            </w:r>
            <w:r>
              <w:rPr>
                <w:rFonts w:hint="eastAsia" w:ascii="Times New Roman" w:hAnsi="Times New Roman"/>
                <w:color w:val="auto"/>
              </w:rPr>
              <w:t>2</w:t>
            </w:r>
            <w:r>
              <w:rPr>
                <w:rFonts w:hint="eastAsia"/>
                <w:color w:val="auto"/>
              </w:rPr>
              <w:t>；</w:t>
            </w:r>
          </w:p>
          <w:p w14:paraId="608738A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5</w:t>
            </w:r>
            <w:r>
              <w:rPr>
                <w:rFonts w:hint="eastAsia"/>
                <w:color w:val="auto"/>
              </w:rPr>
              <w:t>）在加油机底部与油气回收立管的连接处，应安装一个用于检测液阻和系统密闭性的丝接三通，其旁通短管上应设公称直径为</w:t>
            </w:r>
            <w:r>
              <w:rPr>
                <w:rFonts w:hint="eastAsia" w:ascii="Times New Roman" w:hAnsi="Times New Roman"/>
                <w:color w:val="auto"/>
              </w:rPr>
              <w:t>25mm</w:t>
            </w:r>
            <w:r>
              <w:rPr>
                <w:rFonts w:hint="eastAsia"/>
                <w:color w:val="auto"/>
              </w:rPr>
              <w:t>的球阀及丝堵。</w:t>
            </w:r>
          </w:p>
        </w:tc>
        <w:tc>
          <w:tcPr>
            <w:tcW w:w="1530" w:type="dxa"/>
            <w:tcBorders>
              <w:tl2br w:val="nil"/>
              <w:tr2bl w:val="nil"/>
            </w:tcBorders>
            <w:vAlign w:val="center"/>
          </w:tcPr>
          <w:p w14:paraId="7FD5AF17">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eastAsia" w:ascii="Times New Roman" w:hAnsi="Times New Roman"/>
                <w:color w:val="auto"/>
              </w:rPr>
              <w:t>7</w:t>
            </w:r>
            <w:r>
              <w:rPr>
                <w:rFonts w:hint="eastAsia"/>
                <w:color w:val="auto"/>
              </w:rPr>
              <w:t>条</w:t>
            </w:r>
          </w:p>
        </w:tc>
        <w:tc>
          <w:tcPr>
            <w:tcW w:w="1539" w:type="dxa"/>
            <w:tcBorders>
              <w:tl2br w:val="nil"/>
              <w:tr2bl w:val="nil"/>
            </w:tcBorders>
            <w:vAlign w:val="center"/>
          </w:tcPr>
          <w:p w14:paraId="0425235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有加油油气回收系统，符合要求。</w:t>
            </w:r>
          </w:p>
        </w:tc>
        <w:tc>
          <w:tcPr>
            <w:tcW w:w="967" w:type="dxa"/>
            <w:tcBorders>
              <w:tl2br w:val="nil"/>
              <w:tr2bl w:val="nil"/>
            </w:tcBorders>
            <w:vAlign w:val="center"/>
          </w:tcPr>
          <w:p w14:paraId="361F8F9B">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076920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30AC58A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25</w:t>
            </w:r>
            <w:r>
              <w:rPr>
                <w:rFonts w:hint="eastAsia"/>
                <w:color w:val="auto"/>
              </w:rPr>
              <w:t>.汽油罐与柴油罐的通气管应分开设置。通气管管口高出地面的高度不应小于</w:t>
            </w:r>
            <w:r>
              <w:rPr>
                <w:rFonts w:hint="eastAsia" w:ascii="Times New Roman" w:hAnsi="Times New Roman"/>
                <w:color w:val="auto"/>
              </w:rPr>
              <w:t>4m</w:t>
            </w:r>
            <w:r>
              <w:rPr>
                <w:rFonts w:hint="eastAsia"/>
                <w:color w:val="auto"/>
              </w:rPr>
              <w:t>。沿建（构）筑物的墙（柱）向上敷设的通气管，管口应高出建筑物的顶面</w:t>
            </w:r>
            <w:r>
              <w:rPr>
                <w:rFonts w:hint="eastAsia" w:ascii="Times New Roman" w:hAnsi="Times New Roman"/>
                <w:color w:val="auto"/>
              </w:rPr>
              <w:t>2m</w:t>
            </w:r>
            <w:r>
              <w:rPr>
                <w:rFonts w:hint="eastAsia"/>
                <w:color w:val="auto"/>
              </w:rPr>
              <w:t>及以上。通气管管口应设置阻火器。</w:t>
            </w:r>
          </w:p>
        </w:tc>
        <w:tc>
          <w:tcPr>
            <w:tcW w:w="1530" w:type="dxa"/>
            <w:tcBorders>
              <w:tl2br w:val="nil"/>
              <w:tr2bl w:val="nil"/>
            </w:tcBorders>
            <w:vAlign w:val="center"/>
          </w:tcPr>
          <w:p w14:paraId="259DB495">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eastAsia" w:ascii="Times New Roman" w:hAnsi="Times New Roman"/>
                <w:color w:val="auto"/>
              </w:rPr>
              <w:t>9</w:t>
            </w:r>
            <w:r>
              <w:rPr>
                <w:rFonts w:hint="eastAsia"/>
                <w:color w:val="auto"/>
              </w:rPr>
              <w:t>条</w:t>
            </w:r>
          </w:p>
        </w:tc>
        <w:tc>
          <w:tcPr>
            <w:tcW w:w="1539" w:type="dxa"/>
            <w:tcBorders>
              <w:tl2br w:val="nil"/>
              <w:tr2bl w:val="nil"/>
            </w:tcBorders>
            <w:vAlign w:val="center"/>
          </w:tcPr>
          <w:p w14:paraId="72C0BB97">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lang w:val="en-US" w:eastAsia="zh-CN"/>
              </w:rPr>
              <w:t>通气管</w:t>
            </w:r>
            <w:r>
              <w:rPr>
                <w:rFonts w:hint="eastAsia"/>
                <w:color w:val="auto"/>
                <w:kern w:val="0"/>
                <w:szCs w:val="21"/>
                <w:lang w:val="zh-CN"/>
              </w:rPr>
              <w:t>管口高出罩棚2.</w:t>
            </w:r>
            <w:r>
              <w:rPr>
                <w:rFonts w:hint="eastAsia"/>
                <w:color w:val="auto"/>
                <w:kern w:val="0"/>
                <w:szCs w:val="21"/>
                <w:lang w:val="en-US" w:eastAsia="zh-CN"/>
              </w:rPr>
              <w:t>2</w:t>
            </w:r>
            <w:r>
              <w:rPr>
                <w:rFonts w:hint="eastAsia"/>
                <w:color w:val="auto"/>
                <w:kern w:val="0"/>
                <w:szCs w:val="21"/>
                <w:lang w:val="zh-CN"/>
              </w:rPr>
              <w:t>m</w:t>
            </w:r>
            <w:r>
              <w:rPr>
                <w:rFonts w:hint="eastAsia"/>
                <w:color w:val="auto"/>
                <w:kern w:val="0"/>
                <w:szCs w:val="21"/>
              </w:rPr>
              <w:t>。</w:t>
            </w:r>
          </w:p>
        </w:tc>
        <w:tc>
          <w:tcPr>
            <w:tcW w:w="967" w:type="dxa"/>
            <w:tcBorders>
              <w:tl2br w:val="nil"/>
              <w:tr2bl w:val="nil"/>
            </w:tcBorders>
            <w:vAlign w:val="center"/>
          </w:tcPr>
          <w:p w14:paraId="2E17BDD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93006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5295" w:type="dxa"/>
            <w:tcBorders>
              <w:tl2br w:val="nil"/>
              <w:tr2bl w:val="nil"/>
            </w:tcBorders>
            <w:vAlign w:val="center"/>
          </w:tcPr>
          <w:p w14:paraId="23F941F7">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26</w:t>
            </w:r>
            <w:r>
              <w:rPr>
                <w:rFonts w:hint="default"/>
                <w:color w:val="auto"/>
              </w:rPr>
              <w:t>.</w:t>
            </w:r>
            <w:r>
              <w:rPr>
                <w:rFonts w:hint="eastAsia"/>
                <w:color w:val="auto"/>
              </w:rPr>
              <w:t>通气管的公称直径不应小于</w:t>
            </w:r>
            <w:r>
              <w:rPr>
                <w:rFonts w:hint="default" w:ascii="Times New Roman" w:hAnsi="Times New Roman"/>
                <w:color w:val="auto"/>
              </w:rPr>
              <w:t>50mm</w:t>
            </w:r>
            <w:r>
              <w:rPr>
                <w:rFonts w:hint="eastAsia"/>
                <w:color w:val="auto"/>
              </w:rPr>
              <w:t>。</w:t>
            </w:r>
          </w:p>
        </w:tc>
        <w:tc>
          <w:tcPr>
            <w:tcW w:w="1530" w:type="dxa"/>
            <w:tcBorders>
              <w:tl2br w:val="nil"/>
              <w:tr2bl w:val="nil"/>
            </w:tcBorders>
            <w:vAlign w:val="center"/>
          </w:tcPr>
          <w:p w14:paraId="1117E0B0">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eastAsia" w:ascii="Times New Roman" w:hAnsi="Times New Roman"/>
                <w:color w:val="auto"/>
              </w:rPr>
              <w:t>10</w:t>
            </w:r>
            <w:r>
              <w:rPr>
                <w:rFonts w:hint="eastAsia"/>
                <w:color w:val="auto"/>
              </w:rPr>
              <w:t>条</w:t>
            </w:r>
          </w:p>
        </w:tc>
        <w:tc>
          <w:tcPr>
            <w:tcW w:w="1539" w:type="dxa"/>
            <w:tcBorders>
              <w:tl2br w:val="nil"/>
              <w:tr2bl w:val="nil"/>
            </w:tcBorders>
            <w:vAlign w:val="center"/>
          </w:tcPr>
          <w:p w14:paraId="678081A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通气管的公称直径</w:t>
            </w:r>
            <w:r>
              <w:rPr>
                <w:rFonts w:hint="default" w:ascii="Times New Roman" w:hAnsi="Times New Roman"/>
                <w:color w:val="auto"/>
              </w:rPr>
              <w:t>50mm</w:t>
            </w:r>
            <w:r>
              <w:rPr>
                <w:rFonts w:hint="eastAsia"/>
                <w:color w:val="auto"/>
              </w:rPr>
              <w:t>。</w:t>
            </w:r>
          </w:p>
        </w:tc>
        <w:tc>
          <w:tcPr>
            <w:tcW w:w="967" w:type="dxa"/>
            <w:tcBorders>
              <w:tl2br w:val="nil"/>
              <w:tr2bl w:val="nil"/>
            </w:tcBorders>
            <w:vAlign w:val="center"/>
          </w:tcPr>
          <w:p w14:paraId="48B902A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CAC5D8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73D133F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27</w:t>
            </w:r>
            <w:r>
              <w:rPr>
                <w:rFonts w:hint="default"/>
                <w:color w:val="auto"/>
              </w:rPr>
              <w:t>.</w:t>
            </w:r>
            <w:r>
              <w:rPr>
                <w:rFonts w:hint="eastAsia"/>
                <w:color w:val="auto"/>
              </w:rPr>
              <w:t>加油站工艺管道的选用应符合下列规定：</w:t>
            </w:r>
          </w:p>
          <w:p w14:paraId="2AE7CB8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）地面敷设的工艺管道应采用符合现行国家标准《输送流体用无缝钢管》</w:t>
            </w:r>
            <w:r>
              <w:rPr>
                <w:rFonts w:hint="eastAsia" w:ascii="Times New Roman" w:hAnsi="Times New Roman"/>
                <w:color w:val="auto"/>
              </w:rPr>
              <w:t>GB</w:t>
            </w:r>
            <w:r>
              <w:rPr>
                <w:rFonts w:hint="eastAsia"/>
                <w:color w:val="auto"/>
              </w:rPr>
              <w:t>/</w:t>
            </w:r>
            <w:r>
              <w:rPr>
                <w:rFonts w:hint="eastAsia" w:ascii="Times New Roman" w:hAnsi="Times New Roman"/>
                <w:color w:val="auto"/>
              </w:rPr>
              <w:t>T8163</w:t>
            </w:r>
            <w:r>
              <w:rPr>
                <w:rFonts w:hint="eastAsia"/>
                <w:color w:val="auto"/>
              </w:rPr>
              <w:t>的无缝钢管；</w:t>
            </w:r>
          </w:p>
          <w:p w14:paraId="2F07971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）其他管道应采用输送流体用无缝钢管或适于输送油品的热塑性塑料管道，所采用的热塑性塑料管道应有质量证明文件，非烃类车用燃料不得采用不导静电的热塑性塑料管道；</w:t>
            </w:r>
          </w:p>
          <w:p w14:paraId="3697D9E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）无缝钢管的公称壁厚不应小于</w:t>
            </w:r>
            <w:r>
              <w:rPr>
                <w:rFonts w:hint="eastAsia" w:ascii="Times New Roman" w:hAnsi="Times New Roman"/>
                <w:color w:val="auto"/>
              </w:rPr>
              <w:t>4mm</w:t>
            </w:r>
            <w:r>
              <w:rPr>
                <w:rFonts w:hint="eastAsia"/>
                <w:color w:val="auto"/>
              </w:rPr>
              <w:t>，埋地钢管的连接应采用焊接；</w:t>
            </w:r>
          </w:p>
          <w:p w14:paraId="2DEF07E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）热塑性塑料管道的主体结构层应为无孔隙聚乙烯材料，壁厚不应小于</w:t>
            </w:r>
            <w:r>
              <w:rPr>
                <w:rFonts w:hint="eastAsia" w:ascii="Times New Roman" w:hAnsi="Times New Roman"/>
                <w:color w:val="auto"/>
              </w:rPr>
              <w:t>4mm</w:t>
            </w:r>
            <w:r>
              <w:rPr>
                <w:rFonts w:hint="eastAsia"/>
                <w:color w:val="auto"/>
              </w:rPr>
              <w:t>，埋地部分的热塑性塑料管道应采用配套的专用连接管件电熔连接；</w:t>
            </w:r>
          </w:p>
          <w:p w14:paraId="375C6E5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5</w:t>
            </w:r>
            <w:r>
              <w:rPr>
                <w:rFonts w:hint="eastAsia"/>
                <w:color w:val="auto"/>
              </w:rPr>
              <w:t>）导静电热塑性塑料管道导静电衬层的体电阻率应小于</w:t>
            </w:r>
            <w:r>
              <w:rPr>
                <w:rFonts w:hint="eastAsia" w:ascii="Times New Roman" w:hAnsi="Times New Roman"/>
                <w:color w:val="auto"/>
              </w:rPr>
              <w:t>10</w:t>
            </w:r>
            <w:r>
              <w:rPr>
                <w:rFonts w:hint="eastAsia" w:ascii="Times New Roman" w:hAnsi="Times New Roman"/>
                <w:color w:val="auto"/>
                <w:vertAlign w:val="superscript"/>
              </w:rPr>
              <w:t>8</w:t>
            </w:r>
            <w:r>
              <w:rPr>
                <w:rFonts w:hint="eastAsia"/>
                <w:color w:val="auto"/>
              </w:rPr>
              <w:t>Ω·</w:t>
            </w:r>
            <w:r>
              <w:rPr>
                <w:rFonts w:hint="eastAsia" w:ascii="Times New Roman" w:hAnsi="Times New Roman"/>
                <w:color w:val="auto"/>
              </w:rPr>
              <w:t>m</w:t>
            </w:r>
            <w:r>
              <w:rPr>
                <w:rFonts w:hint="eastAsia"/>
                <w:color w:val="auto"/>
              </w:rPr>
              <w:t>，表面电阻率应小于</w:t>
            </w:r>
            <w:r>
              <w:rPr>
                <w:rFonts w:hint="eastAsia" w:ascii="Times New Roman" w:hAnsi="Times New Roman"/>
                <w:color w:val="auto"/>
              </w:rPr>
              <w:t>10</w:t>
            </w:r>
            <w:r>
              <w:rPr>
                <w:rFonts w:hint="eastAsia" w:ascii="Times New Roman" w:hAnsi="Times New Roman"/>
                <w:color w:val="auto"/>
                <w:vertAlign w:val="superscript"/>
              </w:rPr>
              <w:t>10</w:t>
            </w:r>
            <w:r>
              <w:rPr>
                <w:rFonts w:hint="eastAsia"/>
                <w:color w:val="auto"/>
              </w:rPr>
              <w:t>Ω；</w:t>
            </w:r>
          </w:p>
          <w:p w14:paraId="2783C8D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6</w:t>
            </w:r>
            <w:r>
              <w:rPr>
                <w:rFonts w:hint="eastAsia"/>
                <w:color w:val="auto"/>
              </w:rPr>
              <w:t>）不导静电热塑性塑料管道主体结构层的介电击穿强度应大于</w:t>
            </w:r>
            <w:r>
              <w:rPr>
                <w:rFonts w:hint="eastAsia" w:ascii="Times New Roman" w:hAnsi="Times New Roman"/>
                <w:color w:val="auto"/>
              </w:rPr>
              <w:t>100kV</w:t>
            </w:r>
            <w:r>
              <w:rPr>
                <w:rFonts w:hint="eastAsia"/>
                <w:color w:val="auto"/>
              </w:rPr>
              <w:t>；</w:t>
            </w:r>
          </w:p>
          <w:p w14:paraId="4432545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7</w:t>
            </w:r>
            <w:r>
              <w:rPr>
                <w:rFonts w:hint="eastAsia"/>
                <w:color w:val="auto"/>
              </w:rPr>
              <w:t>）柴油尾气处理液加注设备的管道，应采用奥氏体不锈钢管道或能满足输送柴油尾气处理液的其他管道。</w:t>
            </w:r>
          </w:p>
        </w:tc>
        <w:tc>
          <w:tcPr>
            <w:tcW w:w="1530" w:type="dxa"/>
            <w:tcBorders>
              <w:tl2br w:val="nil"/>
              <w:tr2bl w:val="nil"/>
            </w:tcBorders>
            <w:vAlign w:val="center"/>
          </w:tcPr>
          <w:p w14:paraId="2585E76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1</w:t>
            </w:r>
            <w:r>
              <w:rPr>
                <w:rFonts w:hint="eastAsia" w:ascii="Times New Roman" w:hAnsi="Times New Roman"/>
                <w:color w:val="auto"/>
              </w:rPr>
              <w:t>2</w:t>
            </w:r>
            <w:r>
              <w:rPr>
                <w:rFonts w:hint="eastAsia"/>
                <w:color w:val="auto"/>
              </w:rPr>
              <w:t>条</w:t>
            </w:r>
          </w:p>
        </w:tc>
        <w:tc>
          <w:tcPr>
            <w:tcW w:w="1539" w:type="dxa"/>
            <w:tcBorders>
              <w:tl2br w:val="nil"/>
              <w:tr2bl w:val="nil"/>
            </w:tcBorders>
            <w:vAlign w:val="center"/>
          </w:tcPr>
          <w:p w14:paraId="63823A5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按照设计，该加油站地面敷设的工艺管道和埋地的通气管横管采用符合现行国家标准《输送流体用无缝钢管》GB/T 8163的无缝钢管</w:t>
            </w:r>
          </w:p>
        </w:tc>
        <w:tc>
          <w:tcPr>
            <w:tcW w:w="967" w:type="dxa"/>
            <w:tcBorders>
              <w:tl2br w:val="nil"/>
              <w:tr2bl w:val="nil"/>
            </w:tcBorders>
            <w:vAlign w:val="center"/>
          </w:tcPr>
          <w:p w14:paraId="69010ED9">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5D401FB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78109D3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28</w:t>
            </w:r>
            <w:r>
              <w:rPr>
                <w:rFonts w:hint="default"/>
                <w:color w:val="auto"/>
              </w:rPr>
              <w:t>.</w:t>
            </w:r>
            <w:r>
              <w:rPr>
                <w:rFonts w:hint="eastAsia"/>
                <w:color w:val="auto"/>
              </w:rPr>
              <w:t>加油站内的工艺管道除必须露出地面的以外，均应埋地敷设。当采用管沟敷设时，管沟必须用中性沙子或细土填满、填实。</w:t>
            </w:r>
          </w:p>
        </w:tc>
        <w:tc>
          <w:tcPr>
            <w:tcW w:w="1530" w:type="dxa"/>
            <w:tcBorders>
              <w:tl2br w:val="nil"/>
              <w:tr2bl w:val="nil"/>
            </w:tcBorders>
            <w:vAlign w:val="center"/>
          </w:tcPr>
          <w:p w14:paraId="121333B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1</w:t>
            </w:r>
            <w:r>
              <w:rPr>
                <w:rFonts w:hint="eastAsia" w:ascii="Times New Roman" w:hAnsi="Times New Roman"/>
                <w:color w:val="auto"/>
              </w:rPr>
              <w:t>4</w:t>
            </w:r>
            <w:r>
              <w:rPr>
                <w:rFonts w:hint="eastAsia"/>
                <w:color w:val="auto"/>
              </w:rPr>
              <w:t>条</w:t>
            </w:r>
          </w:p>
        </w:tc>
        <w:tc>
          <w:tcPr>
            <w:tcW w:w="1539" w:type="dxa"/>
            <w:tcBorders>
              <w:tl2br w:val="nil"/>
              <w:tr2bl w:val="nil"/>
            </w:tcBorders>
            <w:vAlign w:val="center"/>
          </w:tcPr>
          <w:p w14:paraId="5559DD4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加油站内的工艺管道埋地敷设。</w:t>
            </w:r>
          </w:p>
        </w:tc>
        <w:tc>
          <w:tcPr>
            <w:tcW w:w="967" w:type="dxa"/>
            <w:tcBorders>
              <w:tl2br w:val="nil"/>
              <w:tr2bl w:val="nil"/>
            </w:tcBorders>
            <w:vAlign w:val="center"/>
          </w:tcPr>
          <w:p w14:paraId="64C8A75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符合</w:t>
            </w:r>
          </w:p>
        </w:tc>
      </w:tr>
      <w:tr w14:paraId="725AFF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5783087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29</w:t>
            </w:r>
            <w:r>
              <w:rPr>
                <w:rFonts w:hint="default"/>
                <w:color w:val="auto"/>
              </w:rPr>
              <w:t>.</w:t>
            </w:r>
            <w:r>
              <w:rPr>
                <w:rFonts w:hint="eastAsia"/>
                <w:color w:val="auto"/>
              </w:rPr>
              <w:t>卸油管道、卸油油气回收管道、加油油气回收管道和油罐通气管横管，应坡向埋地油罐。卸油管道的坡度不应小于</w:t>
            </w:r>
            <w:r>
              <w:rPr>
                <w:rFonts w:hint="eastAsia" w:ascii="Times New Roman" w:hAnsi="Times New Roman"/>
                <w:color w:val="auto"/>
              </w:rPr>
              <w:t>2</w:t>
            </w:r>
            <w:r>
              <w:rPr>
                <w:rFonts w:hint="eastAsia"/>
                <w:color w:val="auto"/>
              </w:rPr>
              <w:t>%，卸油油气回收管道、加油油气回收管道和油罐通气管横管的坡度，不应小于</w:t>
            </w:r>
            <w:r>
              <w:rPr>
                <w:rFonts w:hint="eastAsia" w:ascii="Times New Roman" w:hAnsi="Times New Roman"/>
                <w:color w:val="auto"/>
              </w:rPr>
              <w:t>1</w:t>
            </w:r>
            <w:r>
              <w:rPr>
                <w:rFonts w:hint="eastAsia"/>
                <w:color w:val="auto"/>
              </w:rPr>
              <w:t>%。</w:t>
            </w:r>
          </w:p>
        </w:tc>
        <w:tc>
          <w:tcPr>
            <w:tcW w:w="1530" w:type="dxa"/>
            <w:tcBorders>
              <w:tl2br w:val="nil"/>
              <w:tr2bl w:val="nil"/>
            </w:tcBorders>
            <w:vAlign w:val="center"/>
          </w:tcPr>
          <w:p w14:paraId="180B30D5">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eastAsia" w:ascii="Times New Roman" w:hAnsi="Times New Roman"/>
                <w:color w:val="auto"/>
              </w:rPr>
              <w:t>16</w:t>
            </w:r>
            <w:r>
              <w:rPr>
                <w:rFonts w:hint="eastAsia"/>
                <w:color w:val="auto"/>
              </w:rPr>
              <w:t>条</w:t>
            </w:r>
          </w:p>
        </w:tc>
        <w:tc>
          <w:tcPr>
            <w:tcW w:w="1539" w:type="dxa"/>
            <w:tcBorders>
              <w:tl2br w:val="nil"/>
              <w:tr2bl w:val="nil"/>
            </w:tcBorders>
            <w:vAlign w:val="center"/>
          </w:tcPr>
          <w:p w14:paraId="7F2E415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卸油管道、卸油油气回收管道、加油油气回收管道和油罐通气管横管，均坡向油罐，其坡度符合要求。</w:t>
            </w:r>
          </w:p>
        </w:tc>
        <w:tc>
          <w:tcPr>
            <w:tcW w:w="967" w:type="dxa"/>
            <w:tcBorders>
              <w:tl2br w:val="nil"/>
              <w:tr2bl w:val="nil"/>
            </w:tcBorders>
            <w:vAlign w:val="center"/>
          </w:tcPr>
          <w:p w14:paraId="5EBC50E7">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766F55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5686347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30</w:t>
            </w:r>
            <w:r>
              <w:rPr>
                <w:rFonts w:hint="eastAsia"/>
                <w:color w:val="auto"/>
              </w:rPr>
              <w:t>.不导静电热塑性塑料管道的设计和安装，除应符合本标准第</w:t>
            </w:r>
            <w:r>
              <w:rPr>
                <w:rFonts w:hint="eastAsia" w:ascii="Times New Roman" w:hAnsi="Times New Roman"/>
                <w:color w:val="auto"/>
              </w:rPr>
              <w:t>6</w:t>
            </w:r>
            <w:r>
              <w:rPr>
                <w:rFonts w:hint="eastAsia"/>
                <w:color w:val="auto"/>
              </w:rPr>
              <w:t>.</w:t>
            </w:r>
            <w:r>
              <w:rPr>
                <w:rFonts w:hint="eastAsia" w:ascii="Times New Roman" w:hAnsi="Times New Roman"/>
                <w:color w:val="auto"/>
              </w:rPr>
              <w:t>3</w:t>
            </w:r>
            <w:r>
              <w:rPr>
                <w:rFonts w:hint="eastAsia"/>
                <w:color w:val="auto"/>
              </w:rPr>
              <w:t>.</w:t>
            </w:r>
            <w:r>
              <w:rPr>
                <w:rFonts w:hint="eastAsia" w:ascii="Times New Roman" w:hAnsi="Times New Roman"/>
                <w:color w:val="auto"/>
              </w:rPr>
              <w:t>12</w:t>
            </w:r>
            <w:r>
              <w:rPr>
                <w:rFonts w:hint="eastAsia"/>
                <w:color w:val="auto"/>
              </w:rPr>
              <w:t>条的有关规定外，尚应符合下列规定：</w:t>
            </w:r>
          </w:p>
          <w:p w14:paraId="410744A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）管道内油品的流速应小于</w:t>
            </w:r>
            <w:r>
              <w:rPr>
                <w:rFonts w:hint="eastAsia" w:ascii="Times New Roman" w:hAnsi="Times New Roman"/>
                <w:color w:val="auto"/>
              </w:rPr>
              <w:t>2</w:t>
            </w:r>
            <w:r>
              <w:rPr>
                <w:rFonts w:hint="eastAsia"/>
                <w:color w:val="auto"/>
              </w:rPr>
              <w:t>.</w:t>
            </w:r>
            <w:r>
              <w:rPr>
                <w:rFonts w:hint="eastAsia" w:ascii="Times New Roman" w:hAnsi="Times New Roman"/>
                <w:color w:val="auto"/>
              </w:rPr>
              <w:t>8m</w:t>
            </w:r>
            <w:r>
              <w:rPr>
                <w:rFonts w:hint="eastAsia"/>
                <w:color w:val="auto"/>
              </w:rPr>
              <w:t>/</w:t>
            </w:r>
            <w:r>
              <w:rPr>
                <w:rFonts w:hint="eastAsia" w:ascii="Times New Roman" w:hAnsi="Times New Roman"/>
                <w:color w:val="auto"/>
              </w:rPr>
              <w:t>s</w:t>
            </w:r>
            <w:r>
              <w:rPr>
                <w:rFonts w:hint="eastAsia"/>
                <w:color w:val="auto"/>
              </w:rPr>
              <w:t>；</w:t>
            </w:r>
          </w:p>
          <w:p w14:paraId="2108DC9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）管道在人孔井内、加油机底槽和卸油口等处未完全埋地的部分，应在满足管道连接要求的前提下，采用最短的安装长度和最少的接头。</w:t>
            </w:r>
          </w:p>
        </w:tc>
        <w:tc>
          <w:tcPr>
            <w:tcW w:w="1530" w:type="dxa"/>
            <w:tcBorders>
              <w:tl2br w:val="nil"/>
              <w:tr2bl w:val="nil"/>
            </w:tcBorders>
            <w:vAlign w:val="center"/>
          </w:tcPr>
          <w:p w14:paraId="402F2762">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1</w:t>
            </w:r>
            <w:r>
              <w:rPr>
                <w:rFonts w:hint="eastAsia" w:ascii="Times New Roman" w:hAnsi="Times New Roman"/>
                <w:color w:val="auto"/>
              </w:rPr>
              <w:t>9</w:t>
            </w:r>
            <w:r>
              <w:rPr>
                <w:rFonts w:hint="eastAsia"/>
                <w:color w:val="auto"/>
              </w:rPr>
              <w:t>条</w:t>
            </w:r>
          </w:p>
        </w:tc>
        <w:tc>
          <w:tcPr>
            <w:tcW w:w="1539" w:type="dxa"/>
            <w:tcBorders>
              <w:tl2br w:val="nil"/>
              <w:tr2bl w:val="nil"/>
            </w:tcBorders>
            <w:vAlign w:val="center"/>
          </w:tcPr>
          <w:p w14:paraId="2F7CAEE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使用聚乙烯复合材料的双层防渗导静电石油管道。</w:t>
            </w:r>
          </w:p>
        </w:tc>
        <w:tc>
          <w:tcPr>
            <w:tcW w:w="967" w:type="dxa"/>
            <w:tcBorders>
              <w:tl2br w:val="nil"/>
              <w:tr2bl w:val="nil"/>
            </w:tcBorders>
            <w:vAlign w:val="center"/>
          </w:tcPr>
          <w:p w14:paraId="7E25E336">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1F6DA2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235CFA9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31</w:t>
            </w:r>
            <w:r>
              <w:rPr>
                <w:rFonts w:hint="eastAsia"/>
                <w:color w:val="auto"/>
              </w:rPr>
              <w:t>.防渗罐池的设计应符合下列规定：</w:t>
            </w:r>
          </w:p>
          <w:p w14:paraId="2B5AEE10">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）防渗罐池应采用防渗钢筋混凝土整体浇筑，并应符合现行国家标准《地下工程防水技术规范》</w:t>
            </w:r>
            <w:r>
              <w:rPr>
                <w:rFonts w:hint="eastAsia" w:ascii="Times New Roman" w:hAnsi="Times New Roman"/>
                <w:color w:val="auto"/>
              </w:rPr>
              <w:t>GB50108</w:t>
            </w:r>
            <w:r>
              <w:rPr>
                <w:rFonts w:hint="eastAsia"/>
                <w:color w:val="auto"/>
              </w:rPr>
              <w:t>的有关规定；</w:t>
            </w:r>
          </w:p>
          <w:p w14:paraId="6B50B42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）防渗罐池应根据油罐的数量设置隔池，一个隔池内的油罐不应多于两座；</w:t>
            </w:r>
          </w:p>
          <w:p w14:paraId="2662D60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）防渗罐池的池壁顶应高于池内罐顶标高，池底宜低于罐底设计标高</w:t>
            </w:r>
            <w:r>
              <w:rPr>
                <w:rFonts w:hint="eastAsia" w:ascii="Times New Roman" w:hAnsi="Times New Roman"/>
                <w:color w:val="auto"/>
              </w:rPr>
              <w:t>200mm</w:t>
            </w:r>
            <w:r>
              <w:rPr>
                <w:rFonts w:hint="eastAsia"/>
                <w:color w:val="auto"/>
              </w:rPr>
              <w:t>，墙面与罐壁之间的间距不应小于</w:t>
            </w:r>
            <w:r>
              <w:rPr>
                <w:rFonts w:hint="eastAsia" w:ascii="Times New Roman" w:hAnsi="Times New Roman"/>
                <w:color w:val="auto"/>
              </w:rPr>
              <w:t>500mm</w:t>
            </w:r>
            <w:r>
              <w:rPr>
                <w:rFonts w:hint="eastAsia"/>
                <w:color w:val="auto"/>
              </w:rPr>
              <w:t>；</w:t>
            </w:r>
          </w:p>
          <w:p w14:paraId="64864B3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）防渗罐池的内表面应衬玻璃钢或其他材料防渗层；</w:t>
            </w:r>
          </w:p>
          <w:p w14:paraId="61513AA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5</w:t>
            </w:r>
            <w:r>
              <w:rPr>
                <w:rFonts w:hint="eastAsia"/>
                <w:color w:val="auto"/>
              </w:rPr>
              <w:t>）防渗罐池内的空间应采用中性沙回填；</w:t>
            </w:r>
          </w:p>
          <w:p w14:paraId="4F77C536">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6</w:t>
            </w:r>
            <w:r>
              <w:rPr>
                <w:rFonts w:hint="eastAsia"/>
                <w:color w:val="auto"/>
              </w:rPr>
              <w:t>）防渗罐池的上部应采取防止雨水、地表水和外部泄漏油品渗入池内的措施。</w:t>
            </w:r>
          </w:p>
        </w:tc>
        <w:tc>
          <w:tcPr>
            <w:tcW w:w="1530" w:type="dxa"/>
            <w:tcBorders>
              <w:tl2br w:val="nil"/>
              <w:tr2bl w:val="nil"/>
            </w:tcBorders>
            <w:vAlign w:val="center"/>
          </w:tcPr>
          <w:p w14:paraId="55AF0BFF">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5</w:t>
            </w:r>
            <w:r>
              <w:rPr>
                <w:rFonts w:hint="default"/>
                <w:color w:val="auto"/>
              </w:rPr>
              <w:t>.</w:t>
            </w:r>
            <w:r>
              <w:rPr>
                <w:rFonts w:hint="default" w:ascii="Times New Roman" w:hAnsi="Times New Roman"/>
                <w:color w:val="auto"/>
              </w:rPr>
              <w:t>2</w:t>
            </w:r>
            <w:r>
              <w:rPr>
                <w:rFonts w:hint="eastAsia"/>
                <w:color w:val="auto"/>
              </w:rPr>
              <w:t>条</w:t>
            </w:r>
          </w:p>
        </w:tc>
        <w:tc>
          <w:tcPr>
            <w:tcW w:w="1539" w:type="dxa"/>
            <w:tcBorders>
              <w:tl2br w:val="nil"/>
              <w:tr2bl w:val="nil"/>
            </w:tcBorders>
            <w:vAlign w:val="center"/>
          </w:tcPr>
          <w:p w14:paraId="1A79EAC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该加油站采用</w:t>
            </w:r>
            <w:r>
              <w:rPr>
                <w:rFonts w:hint="eastAsia"/>
                <w:color w:val="auto"/>
                <w:lang w:val="en-US" w:eastAsia="zh-CN"/>
              </w:rPr>
              <w:t>SF双层油罐</w:t>
            </w:r>
            <w:r>
              <w:rPr>
                <w:rFonts w:hint="eastAsia"/>
                <w:color w:val="auto"/>
              </w:rPr>
              <w:t>。</w:t>
            </w:r>
          </w:p>
        </w:tc>
        <w:tc>
          <w:tcPr>
            <w:tcW w:w="967" w:type="dxa"/>
            <w:tcBorders>
              <w:tl2br w:val="nil"/>
              <w:tr2bl w:val="nil"/>
            </w:tcBorders>
            <w:vAlign w:val="center"/>
          </w:tcPr>
          <w:p w14:paraId="4C067F5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7F41CA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748C3B5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32</w:t>
            </w:r>
            <w:r>
              <w:rPr>
                <w:rFonts w:hint="eastAsia"/>
                <w:color w:val="auto"/>
              </w:rPr>
              <w:t>.装有潜油泵的油罐人孔操作井、卸油口井、加油机底槽等可能发生油品渗漏的部位，也应采取相应的防渗措施。</w:t>
            </w:r>
          </w:p>
        </w:tc>
        <w:tc>
          <w:tcPr>
            <w:tcW w:w="1530" w:type="dxa"/>
            <w:tcBorders>
              <w:tl2br w:val="nil"/>
              <w:tr2bl w:val="nil"/>
            </w:tcBorders>
            <w:vAlign w:val="center"/>
          </w:tcPr>
          <w:p w14:paraId="1B36CD5A">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5</w:t>
            </w:r>
            <w:r>
              <w:rPr>
                <w:rFonts w:hint="default"/>
                <w:color w:val="auto"/>
              </w:rPr>
              <w:t>.</w:t>
            </w:r>
            <w:r>
              <w:rPr>
                <w:rFonts w:hint="eastAsia" w:ascii="Times New Roman" w:hAnsi="Times New Roman"/>
                <w:color w:val="auto"/>
              </w:rPr>
              <w:t>4</w:t>
            </w:r>
            <w:r>
              <w:rPr>
                <w:rFonts w:hint="eastAsia"/>
                <w:color w:val="auto"/>
              </w:rPr>
              <w:t>条</w:t>
            </w:r>
          </w:p>
        </w:tc>
        <w:tc>
          <w:tcPr>
            <w:tcW w:w="1539" w:type="dxa"/>
            <w:tcBorders>
              <w:tl2br w:val="nil"/>
              <w:tr2bl w:val="nil"/>
            </w:tcBorders>
            <w:vAlign w:val="center"/>
          </w:tcPr>
          <w:p w14:paraId="30B7B4BD">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该加油站人孔操作井、卸油口井、加油机底槽等可能发生油品泄漏的部位，也采取了相应的防渗措施。</w:t>
            </w:r>
          </w:p>
        </w:tc>
        <w:tc>
          <w:tcPr>
            <w:tcW w:w="967" w:type="dxa"/>
            <w:tcBorders>
              <w:tl2br w:val="nil"/>
              <w:tr2bl w:val="nil"/>
            </w:tcBorders>
            <w:vAlign w:val="center"/>
          </w:tcPr>
          <w:p w14:paraId="526FEEA2">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053437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5295" w:type="dxa"/>
            <w:tcBorders>
              <w:tl2br w:val="nil"/>
              <w:tr2bl w:val="nil"/>
            </w:tcBorders>
            <w:vAlign w:val="center"/>
          </w:tcPr>
          <w:p w14:paraId="40F915F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33</w:t>
            </w:r>
            <w:r>
              <w:rPr>
                <w:rFonts w:hint="eastAsia"/>
                <w:color w:val="auto"/>
              </w:rPr>
              <w:t>.加油站埋地加油管道应采用双层管道。双层管道的设计应符合下列规定：</w:t>
            </w:r>
          </w:p>
          <w:p w14:paraId="57E123B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）双层管道的内层管应符合本标准第</w:t>
            </w:r>
            <w:r>
              <w:rPr>
                <w:rFonts w:hint="eastAsia" w:ascii="Times New Roman" w:hAnsi="Times New Roman"/>
                <w:color w:val="auto"/>
              </w:rPr>
              <w:t>6</w:t>
            </w:r>
            <w:r>
              <w:rPr>
                <w:rFonts w:hint="eastAsia"/>
                <w:color w:val="auto"/>
              </w:rPr>
              <w:t>.</w:t>
            </w:r>
            <w:r>
              <w:rPr>
                <w:rFonts w:hint="eastAsia" w:ascii="Times New Roman" w:hAnsi="Times New Roman"/>
                <w:color w:val="auto"/>
              </w:rPr>
              <w:t>3</w:t>
            </w:r>
            <w:r>
              <w:rPr>
                <w:rFonts w:hint="eastAsia"/>
                <w:color w:val="auto"/>
              </w:rPr>
              <w:t>节的有关规定；</w:t>
            </w:r>
          </w:p>
          <w:p w14:paraId="6C4533C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）采用双层非金属管道时，外层管应满足耐油、耐腐蚀、耐老化和系统试验压力的要求；</w:t>
            </w:r>
          </w:p>
          <w:p w14:paraId="6A56E4B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）采用双层钢质管道时，外层管的壁厚不应小于</w:t>
            </w:r>
            <w:r>
              <w:rPr>
                <w:rFonts w:hint="eastAsia" w:ascii="Times New Roman" w:hAnsi="Times New Roman"/>
                <w:color w:val="auto"/>
              </w:rPr>
              <w:t>5mm</w:t>
            </w:r>
            <w:r>
              <w:rPr>
                <w:rFonts w:hint="eastAsia"/>
                <w:color w:val="auto"/>
              </w:rPr>
              <w:t>；</w:t>
            </w:r>
          </w:p>
          <w:p w14:paraId="40B3FC6C">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）双层管道系统的内层管与外层管之间的缝隙应贯通；</w:t>
            </w:r>
          </w:p>
          <w:p w14:paraId="5E6B8F48">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5</w:t>
            </w:r>
            <w:r>
              <w:rPr>
                <w:rFonts w:hint="eastAsia"/>
                <w:color w:val="auto"/>
              </w:rPr>
              <w:t>）双层管道系统的最低点应设检漏点；</w:t>
            </w:r>
          </w:p>
          <w:p w14:paraId="2A2F562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6</w:t>
            </w:r>
            <w:r>
              <w:rPr>
                <w:rFonts w:hint="eastAsia"/>
                <w:color w:val="auto"/>
              </w:rPr>
              <w:t>）双层管道坡向检漏点的坡度不应小于</w:t>
            </w:r>
            <w:r>
              <w:rPr>
                <w:rFonts w:hint="eastAsia" w:ascii="Times New Roman" w:hAnsi="Times New Roman"/>
                <w:color w:val="auto"/>
              </w:rPr>
              <w:t>5</w:t>
            </w:r>
            <w:r>
              <w:rPr>
                <w:rFonts w:hint="eastAsia"/>
                <w:color w:val="auto"/>
              </w:rPr>
              <w:t>‰，并应保证内层管和外层管任何部位出现渗漏均能在检漏点处被发现；</w:t>
            </w:r>
          </w:p>
          <w:p w14:paraId="1D404D82">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7</w:t>
            </w:r>
            <w:r>
              <w:rPr>
                <w:rFonts w:hint="eastAsia"/>
                <w:color w:val="auto"/>
              </w:rPr>
              <w:t>）管道系统的渗漏检测宜采用在线监测系统。</w:t>
            </w:r>
          </w:p>
        </w:tc>
        <w:tc>
          <w:tcPr>
            <w:tcW w:w="1530" w:type="dxa"/>
            <w:tcBorders>
              <w:tl2br w:val="nil"/>
              <w:tr2bl w:val="nil"/>
            </w:tcBorders>
            <w:vAlign w:val="center"/>
          </w:tcPr>
          <w:p w14:paraId="2ED40F1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5</w:t>
            </w:r>
            <w:r>
              <w:rPr>
                <w:rFonts w:hint="default"/>
                <w:color w:val="auto"/>
              </w:rPr>
              <w:t>.</w:t>
            </w:r>
            <w:r>
              <w:rPr>
                <w:rFonts w:hint="eastAsia" w:ascii="Times New Roman" w:hAnsi="Times New Roman"/>
                <w:color w:val="auto"/>
              </w:rPr>
              <w:t>5</w:t>
            </w:r>
            <w:r>
              <w:rPr>
                <w:rFonts w:hint="eastAsia"/>
                <w:color w:val="auto"/>
              </w:rPr>
              <w:t>条</w:t>
            </w:r>
          </w:p>
        </w:tc>
        <w:tc>
          <w:tcPr>
            <w:tcW w:w="1539" w:type="dxa"/>
            <w:tcBorders>
              <w:tl2br w:val="nil"/>
              <w:tr2bl w:val="nil"/>
            </w:tcBorders>
            <w:vAlign w:val="center"/>
          </w:tcPr>
          <w:p w14:paraId="59FA5C4E">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该加油站采用聚乙烯复合材料的双层防渗导静电石油管道。符合左侧要求。</w:t>
            </w:r>
          </w:p>
        </w:tc>
        <w:tc>
          <w:tcPr>
            <w:tcW w:w="967" w:type="dxa"/>
            <w:tcBorders>
              <w:tl2br w:val="nil"/>
              <w:tr2bl w:val="nil"/>
            </w:tcBorders>
            <w:vAlign w:val="center"/>
          </w:tcPr>
          <w:p w14:paraId="5CC36B23">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47A130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99" w:hRule="atLeast"/>
          <w:jc w:val="center"/>
        </w:trPr>
        <w:tc>
          <w:tcPr>
            <w:tcW w:w="5295" w:type="dxa"/>
            <w:tcBorders>
              <w:tl2br w:val="nil"/>
              <w:tr2bl w:val="nil"/>
            </w:tcBorders>
            <w:vAlign w:val="center"/>
          </w:tcPr>
          <w:p w14:paraId="27BF198D">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34</w:t>
            </w:r>
            <w:r>
              <w:rPr>
                <w:rFonts w:hint="default"/>
                <w:color w:val="auto"/>
              </w:rPr>
              <w:t>.</w:t>
            </w:r>
            <w:r>
              <w:rPr>
                <w:rFonts w:hint="eastAsia"/>
                <w:color w:val="auto"/>
              </w:rPr>
              <w:t>双层油罐、防渗罐池的渗漏检测宜采用在线监测系统。采用液体传感器监测时，传感器的检测精度不应大于</w:t>
            </w:r>
            <w:r>
              <w:rPr>
                <w:rFonts w:hint="eastAsia" w:ascii="Times New Roman" w:hAnsi="Times New Roman"/>
                <w:color w:val="auto"/>
              </w:rPr>
              <w:t>3</w:t>
            </w:r>
            <w:r>
              <w:rPr>
                <w:rFonts w:hint="eastAsia"/>
                <w:color w:val="auto"/>
              </w:rPr>
              <w:t>.</w:t>
            </w:r>
            <w:r>
              <w:rPr>
                <w:rFonts w:hint="eastAsia" w:ascii="Times New Roman" w:hAnsi="Times New Roman"/>
                <w:color w:val="auto"/>
              </w:rPr>
              <w:t>5mm</w:t>
            </w:r>
            <w:r>
              <w:rPr>
                <w:rFonts w:hint="eastAsia"/>
                <w:color w:val="auto"/>
              </w:rPr>
              <w:t>。</w:t>
            </w:r>
          </w:p>
        </w:tc>
        <w:tc>
          <w:tcPr>
            <w:tcW w:w="1530" w:type="dxa"/>
            <w:tcBorders>
              <w:tl2br w:val="nil"/>
              <w:tr2bl w:val="nil"/>
            </w:tcBorders>
            <w:vAlign w:val="center"/>
          </w:tcPr>
          <w:p w14:paraId="60F2D871">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6</w:t>
            </w:r>
            <w:r>
              <w:rPr>
                <w:rFonts w:hint="default"/>
                <w:color w:val="auto"/>
              </w:rPr>
              <w:t>.</w:t>
            </w:r>
            <w:r>
              <w:rPr>
                <w:rFonts w:hint="default" w:ascii="Times New Roman" w:hAnsi="Times New Roman"/>
                <w:color w:val="auto"/>
              </w:rPr>
              <w:t>5</w:t>
            </w:r>
            <w:r>
              <w:rPr>
                <w:rFonts w:hint="eastAsia"/>
                <w:color w:val="auto"/>
              </w:rPr>
              <w:t>.</w:t>
            </w:r>
            <w:r>
              <w:rPr>
                <w:rFonts w:hint="eastAsia" w:ascii="Times New Roman" w:hAnsi="Times New Roman"/>
                <w:color w:val="auto"/>
              </w:rPr>
              <w:t>6</w:t>
            </w:r>
            <w:r>
              <w:rPr>
                <w:rFonts w:hint="eastAsia"/>
                <w:color w:val="auto"/>
              </w:rPr>
              <w:t>条</w:t>
            </w:r>
          </w:p>
        </w:tc>
        <w:tc>
          <w:tcPr>
            <w:tcW w:w="1539" w:type="dxa"/>
            <w:tcBorders>
              <w:tl2br w:val="nil"/>
              <w:tr2bl w:val="nil"/>
            </w:tcBorders>
            <w:vAlign w:val="center"/>
          </w:tcPr>
          <w:p w14:paraId="756F9943">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埋地油罐为内钢外玻璃纤维增强塑料双层油罐。该加油站设计有在线监测系统。</w:t>
            </w:r>
          </w:p>
        </w:tc>
        <w:tc>
          <w:tcPr>
            <w:tcW w:w="967" w:type="dxa"/>
            <w:tcBorders>
              <w:tl2br w:val="nil"/>
              <w:tr2bl w:val="nil"/>
            </w:tcBorders>
            <w:vAlign w:val="center"/>
          </w:tcPr>
          <w:p w14:paraId="5184A6DD">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bookmarkEnd w:id="700"/>
      <w:bookmarkEnd w:id="701"/>
    </w:tbl>
    <w:p w14:paraId="7FC1CBB1">
      <w:pPr>
        <w:spacing w:line="360" w:lineRule="auto"/>
        <w:ind w:firstLine="560"/>
        <w:rPr>
          <w:rFonts w:hint="eastAsia"/>
          <w:color w:val="auto"/>
        </w:rPr>
      </w:pPr>
      <w:bookmarkStart w:id="708" w:name="OLE_LINK333"/>
      <w:bookmarkStart w:id="709" w:name="OLE_LINK332"/>
      <w:r>
        <w:rPr>
          <w:rFonts w:hint="eastAsia"/>
          <w:color w:val="auto"/>
        </w:rPr>
        <w:t>从上表可以看出，该加油站在加油工艺及</w:t>
      </w:r>
      <w:r>
        <w:rPr>
          <w:rFonts w:hint="eastAsia"/>
          <w:color w:val="auto"/>
          <w:lang w:val="en-US" w:eastAsia="zh-CN"/>
        </w:rPr>
        <w:t>其他相关</w:t>
      </w:r>
      <w:r>
        <w:rPr>
          <w:rFonts w:hint="eastAsia"/>
          <w:color w:val="auto"/>
        </w:rPr>
        <w:t>设施方面能够满足现行国家标准《汽车加油加气加氢站技术标准》（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）中相关要求。</w:t>
      </w:r>
    </w:p>
    <w:p w14:paraId="060EAAC9">
      <w:pPr>
        <w:spacing w:line="360" w:lineRule="auto"/>
        <w:ind w:firstLine="560"/>
        <w:rPr>
          <w:rFonts w:hint="eastAsia" w:eastAsia="宋体"/>
          <w:b/>
          <w:bCs/>
          <w:color w:val="auto"/>
          <w:lang w:eastAsia="zh-CN"/>
        </w:rPr>
      </w:pPr>
      <w:r>
        <w:rPr>
          <w:rFonts w:hint="eastAsia" w:ascii="Times New Roman" w:hAnsi="Times New Roman"/>
          <w:b/>
          <w:bCs/>
          <w:color w:val="auto"/>
          <w:lang w:val="en-US" w:eastAsia="zh-CN"/>
        </w:rPr>
        <w:t>4</w:t>
      </w:r>
      <w:r>
        <w:rPr>
          <w:rFonts w:hint="eastAsia"/>
          <w:b/>
          <w:bCs/>
          <w:color w:val="auto"/>
          <w:lang w:val="en-US" w:eastAsia="zh-CN"/>
        </w:rPr>
        <w:t>）消防设施和给排水</w:t>
      </w:r>
    </w:p>
    <w:p w14:paraId="73E60D3C">
      <w:pPr>
        <w:pStyle w:val="21"/>
        <w:rPr>
          <w:rFonts w:ascii="黑体" w:hAnsi="黑体"/>
          <w:color w:val="auto"/>
          <w:szCs w:val="21"/>
        </w:rPr>
      </w:pPr>
      <w:bookmarkStart w:id="710" w:name="OLE_LINK478"/>
      <w:bookmarkStart w:id="711" w:name="OLE_LINK320"/>
      <w:bookmarkStart w:id="712" w:name="OLE_LINK319"/>
      <w:bookmarkStart w:id="713" w:name="OLE_LINK381"/>
      <w:bookmarkStart w:id="714" w:name="OLE_LINK477"/>
      <w:bookmarkStart w:id="715" w:name="OLE_LINK321"/>
      <w:bookmarkStart w:id="716" w:name="OLE_LINK338"/>
      <w:bookmarkStart w:id="717" w:name="OLE_LINK339"/>
      <w:r>
        <w:rPr>
          <w:rFonts w:hint="default" w:ascii="Times New Roman" w:hAnsi="Times New Roman" w:cs="Times New Roman"/>
          <w:color w:val="auto"/>
          <w:szCs w:val="21"/>
        </w:rPr>
        <w:t>F表</w:t>
      </w: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-4 消防设施和给排</w:t>
      </w:r>
      <w:r>
        <w:rPr>
          <w:rFonts w:hint="eastAsia" w:ascii="黑体" w:hAnsi="黑体"/>
          <w:color w:val="auto"/>
          <w:szCs w:val="21"/>
        </w:rPr>
        <w:t>水</w:t>
      </w:r>
      <w:bookmarkEnd w:id="710"/>
      <w:bookmarkEnd w:id="711"/>
      <w:bookmarkEnd w:id="712"/>
      <w:bookmarkEnd w:id="713"/>
      <w:bookmarkEnd w:id="714"/>
      <w:bookmarkEnd w:id="715"/>
      <w:r>
        <w:rPr>
          <w:rFonts w:ascii="黑体" w:hAnsi="黑体"/>
          <w:color w:val="auto"/>
          <w:szCs w:val="21"/>
        </w:rPr>
        <w:t>安全检查表</w:t>
      </w:r>
    </w:p>
    <w:bookmarkEnd w:id="716"/>
    <w:bookmarkEnd w:id="717"/>
    <w:tbl>
      <w:tblPr>
        <w:tblStyle w:val="48"/>
        <w:tblW w:w="93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0"/>
        <w:gridCol w:w="1500"/>
        <w:gridCol w:w="1987"/>
        <w:gridCol w:w="950"/>
      </w:tblGrid>
      <w:tr w14:paraId="2F2DF2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02" w:hRule="atLeast"/>
          <w:jc w:val="center"/>
        </w:trPr>
        <w:tc>
          <w:tcPr>
            <w:tcW w:w="4960" w:type="dxa"/>
            <w:vAlign w:val="center"/>
          </w:tcPr>
          <w:p w14:paraId="1966EBC5">
            <w:pPr>
              <w:pStyle w:val="22"/>
              <w:keepNext w:val="0"/>
              <w:keepLines w:val="0"/>
              <w:widowControl/>
              <w:suppressLineNumbers w:val="0"/>
              <w:spacing w:before="0" w:beforeAutospacing="0" w:after="0" w:afterAutospacing="0" w:line="240" w:lineRule="auto"/>
              <w:ind w:left="0" w:right="0"/>
              <w:rPr>
                <w:rFonts w:hint="default"/>
                <w:b/>
                <w:bCs/>
                <w:color w:val="auto"/>
              </w:rPr>
            </w:pPr>
            <w:bookmarkStart w:id="718" w:name="OLE_LINK334"/>
            <w:bookmarkStart w:id="719" w:name="OLE_LINK337"/>
            <w:bookmarkStart w:id="720" w:name="OLE_LINK336"/>
            <w:bookmarkStart w:id="721" w:name="OLE_LINK335"/>
            <w:r>
              <w:rPr>
                <w:rFonts w:hint="eastAsia"/>
                <w:b/>
                <w:bCs/>
                <w:color w:val="auto"/>
              </w:rPr>
              <w:t>消防设施和给排水</w:t>
            </w:r>
            <w:bookmarkEnd w:id="718"/>
            <w:bookmarkEnd w:id="719"/>
            <w:bookmarkEnd w:id="720"/>
            <w:bookmarkEnd w:id="721"/>
            <w:r>
              <w:rPr>
                <w:rFonts w:hint="eastAsia"/>
                <w:b/>
                <w:bCs/>
                <w:color w:val="auto"/>
              </w:rPr>
              <w:t>要求</w:t>
            </w:r>
          </w:p>
        </w:tc>
        <w:tc>
          <w:tcPr>
            <w:tcW w:w="1500" w:type="dxa"/>
            <w:vAlign w:val="center"/>
          </w:tcPr>
          <w:p w14:paraId="3FF74E87">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eastAsia"/>
                <w:b/>
                <w:bCs/>
                <w:color w:val="auto"/>
              </w:rPr>
              <w:t>依据标准</w:t>
            </w:r>
          </w:p>
        </w:tc>
        <w:tc>
          <w:tcPr>
            <w:tcW w:w="1987" w:type="dxa"/>
            <w:vAlign w:val="center"/>
          </w:tcPr>
          <w:p w14:paraId="65914768">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eastAsia"/>
                <w:b/>
                <w:bCs/>
                <w:color w:val="auto"/>
              </w:rPr>
              <w:t>检查结果</w:t>
            </w:r>
          </w:p>
        </w:tc>
        <w:tc>
          <w:tcPr>
            <w:tcW w:w="950" w:type="dxa"/>
            <w:vAlign w:val="center"/>
          </w:tcPr>
          <w:p w14:paraId="1B70198F">
            <w:pPr>
              <w:pStyle w:val="22"/>
              <w:keepNext w:val="0"/>
              <w:keepLines w:val="0"/>
              <w:widowControl/>
              <w:suppressLineNumbers w:val="0"/>
              <w:spacing w:before="0" w:beforeAutospacing="0" w:after="0" w:afterAutospacing="0" w:line="240" w:lineRule="auto"/>
              <w:ind w:left="0" w:right="0"/>
              <w:rPr>
                <w:rFonts w:hint="default"/>
                <w:b/>
                <w:bCs/>
                <w:color w:val="auto"/>
              </w:rPr>
            </w:pPr>
            <w:r>
              <w:rPr>
                <w:rFonts w:hint="eastAsia"/>
                <w:b/>
                <w:bCs/>
                <w:color w:val="auto"/>
              </w:rPr>
              <w:t>备注</w:t>
            </w:r>
          </w:p>
        </w:tc>
      </w:tr>
      <w:tr w14:paraId="002C30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2" w:hRule="atLeast"/>
          <w:jc w:val="center"/>
        </w:trPr>
        <w:tc>
          <w:tcPr>
            <w:tcW w:w="4960" w:type="dxa"/>
            <w:vAlign w:val="center"/>
          </w:tcPr>
          <w:p w14:paraId="2A40DED0">
            <w:pPr>
              <w:pStyle w:val="22"/>
              <w:keepNext w:val="0"/>
              <w:keepLines w:val="0"/>
              <w:widowControl/>
              <w:suppressLineNumbers w:val="0"/>
              <w:spacing w:before="0" w:beforeAutospacing="0" w:after="0" w:afterAutospacing="0" w:line="240" w:lineRule="auto"/>
              <w:ind w:left="0" w:right="0"/>
              <w:jc w:val="left"/>
              <w:rPr>
                <w:rFonts w:hint="default"/>
                <w:color w:val="auto"/>
              </w:rPr>
            </w:pPr>
            <w:r>
              <w:rPr>
                <w:rFonts w:hint="eastAsia" w:ascii="Times New Roman" w:hAnsi="Times New Roman"/>
                <w:color w:val="auto"/>
              </w:rPr>
              <w:t>1</w:t>
            </w:r>
            <w:r>
              <w:rPr>
                <w:rFonts w:hint="eastAsia"/>
                <w:color w:val="auto"/>
              </w:rPr>
              <w:t>.加油加气加氢站工艺设备应配置灭火器材，并应符合下列规定：</w:t>
            </w:r>
          </w:p>
          <w:p w14:paraId="428D1FF5">
            <w:pPr>
              <w:pStyle w:val="22"/>
              <w:keepNext w:val="0"/>
              <w:keepLines w:val="0"/>
              <w:widowControl/>
              <w:suppressLineNumbers w:val="0"/>
              <w:spacing w:before="0" w:beforeAutospacing="0" w:after="0" w:afterAutospacing="0" w:line="240" w:lineRule="auto"/>
              <w:ind w:left="0" w:right="0"/>
              <w:jc w:val="left"/>
              <w:rPr>
                <w:rFonts w:hint="default"/>
                <w:color w:val="auto"/>
              </w:rPr>
            </w:pPr>
            <w:r>
              <w:rPr>
                <w:rFonts w:hint="eastAsia"/>
                <w:color w:val="auto"/>
              </w:rPr>
              <w:t xml:space="preserve">    </w:t>
            </w:r>
            <w:r>
              <w:rPr>
                <w:rFonts w:hint="eastAsia" w:ascii="Times New Roman" w:hAnsi="Times New Roman"/>
                <w:color w:val="auto"/>
              </w:rPr>
              <w:t>1</w:t>
            </w:r>
            <w:r>
              <w:rPr>
                <w:rFonts w:hint="eastAsia"/>
                <w:color w:val="auto"/>
              </w:rPr>
              <w:t xml:space="preserve"> 每</w:t>
            </w:r>
            <w:r>
              <w:rPr>
                <w:rFonts w:hint="eastAsia" w:ascii="Times New Roman" w:hAnsi="Times New Roman"/>
                <w:color w:val="auto"/>
              </w:rPr>
              <w:t>2</w:t>
            </w:r>
            <w:r>
              <w:rPr>
                <w:rFonts w:hint="eastAsia"/>
                <w:color w:val="auto"/>
              </w:rPr>
              <w:t>台加气（氢）机应配置不少于</w:t>
            </w:r>
            <w:r>
              <w:rPr>
                <w:rFonts w:hint="eastAsia" w:ascii="Times New Roman" w:hAnsi="Times New Roman"/>
                <w:color w:val="auto"/>
              </w:rPr>
              <w:t>2</w:t>
            </w:r>
            <w:r>
              <w:rPr>
                <w:rFonts w:hint="eastAsia"/>
                <w:color w:val="auto"/>
              </w:rPr>
              <w:t>具</w:t>
            </w:r>
            <w:r>
              <w:rPr>
                <w:rFonts w:hint="eastAsia" w:ascii="Times New Roman" w:hAnsi="Times New Roman"/>
                <w:color w:val="auto"/>
              </w:rPr>
              <w:t>5kg</w:t>
            </w:r>
            <w:r>
              <w:rPr>
                <w:rFonts w:hint="eastAsia"/>
                <w:color w:val="auto"/>
              </w:rPr>
              <w:t>手提式干粉灭火器，加气（氢）机不足</w:t>
            </w:r>
            <w:r>
              <w:rPr>
                <w:rFonts w:hint="eastAsia" w:ascii="Times New Roman" w:hAnsi="Times New Roman"/>
                <w:color w:val="auto"/>
              </w:rPr>
              <w:t>2</w:t>
            </w:r>
            <w:r>
              <w:rPr>
                <w:rFonts w:hint="eastAsia"/>
                <w:color w:val="auto"/>
              </w:rPr>
              <w:t>台应按</w:t>
            </w:r>
            <w:r>
              <w:rPr>
                <w:rFonts w:hint="eastAsia" w:ascii="Times New Roman" w:hAnsi="Times New Roman"/>
                <w:color w:val="auto"/>
              </w:rPr>
              <w:t>2</w:t>
            </w:r>
            <w:r>
              <w:rPr>
                <w:rFonts w:hint="eastAsia"/>
                <w:color w:val="auto"/>
              </w:rPr>
              <w:t>台配置；</w:t>
            </w:r>
          </w:p>
          <w:p w14:paraId="03582CC3">
            <w:pPr>
              <w:pStyle w:val="22"/>
              <w:keepNext w:val="0"/>
              <w:keepLines w:val="0"/>
              <w:widowControl/>
              <w:suppressLineNumbers w:val="0"/>
              <w:spacing w:before="0" w:beforeAutospacing="0" w:after="0" w:afterAutospacing="0" w:line="240" w:lineRule="auto"/>
              <w:ind w:left="0" w:right="0"/>
              <w:jc w:val="left"/>
              <w:rPr>
                <w:rFonts w:hint="default"/>
                <w:color w:val="auto"/>
              </w:rPr>
            </w:pPr>
            <w:r>
              <w:rPr>
                <w:rFonts w:hint="eastAsia"/>
                <w:color w:val="auto"/>
              </w:rPr>
              <w:t xml:space="preserve">    </w:t>
            </w:r>
            <w:r>
              <w:rPr>
                <w:rFonts w:hint="eastAsia" w:ascii="Times New Roman" w:hAnsi="Times New Roman"/>
                <w:color w:val="auto"/>
              </w:rPr>
              <w:t>2</w:t>
            </w:r>
            <w:r>
              <w:rPr>
                <w:rFonts w:hint="eastAsia"/>
                <w:color w:val="auto"/>
              </w:rPr>
              <w:t xml:space="preserve"> 每</w:t>
            </w:r>
            <w:r>
              <w:rPr>
                <w:rFonts w:hint="eastAsia" w:ascii="Times New Roman" w:hAnsi="Times New Roman"/>
                <w:color w:val="auto"/>
              </w:rPr>
              <w:t>2</w:t>
            </w:r>
            <w:r>
              <w:rPr>
                <w:rFonts w:hint="eastAsia"/>
                <w:color w:val="auto"/>
              </w:rPr>
              <w:t>台加油机应配置不少于</w:t>
            </w:r>
            <w:r>
              <w:rPr>
                <w:rFonts w:hint="eastAsia" w:ascii="Times New Roman" w:hAnsi="Times New Roman"/>
                <w:color w:val="auto"/>
              </w:rPr>
              <w:t>2</w:t>
            </w:r>
            <w:r>
              <w:rPr>
                <w:rFonts w:hint="eastAsia"/>
                <w:color w:val="auto"/>
              </w:rPr>
              <w:t>具</w:t>
            </w:r>
            <w:r>
              <w:rPr>
                <w:rFonts w:hint="eastAsia" w:ascii="Times New Roman" w:hAnsi="Times New Roman"/>
                <w:color w:val="auto"/>
              </w:rPr>
              <w:t>5kg</w:t>
            </w:r>
            <w:r>
              <w:rPr>
                <w:rFonts w:hint="eastAsia"/>
                <w:color w:val="auto"/>
              </w:rPr>
              <w:t>手提式干粉灭火器，或</w:t>
            </w:r>
            <w:r>
              <w:rPr>
                <w:rFonts w:hint="eastAsia" w:ascii="Times New Roman" w:hAnsi="Times New Roman"/>
                <w:color w:val="auto"/>
              </w:rPr>
              <w:t>1</w:t>
            </w:r>
            <w:r>
              <w:rPr>
                <w:rFonts w:hint="eastAsia"/>
                <w:color w:val="auto"/>
              </w:rPr>
              <w:t>具</w:t>
            </w:r>
            <w:r>
              <w:rPr>
                <w:rFonts w:hint="eastAsia" w:ascii="Times New Roman" w:hAnsi="Times New Roman"/>
                <w:color w:val="auto"/>
              </w:rPr>
              <w:t>5kg</w:t>
            </w:r>
            <w:r>
              <w:rPr>
                <w:rFonts w:hint="eastAsia"/>
                <w:color w:val="auto"/>
              </w:rPr>
              <w:t>手提式干粉灭火器和</w:t>
            </w:r>
            <w:r>
              <w:rPr>
                <w:rFonts w:hint="eastAsia" w:ascii="Times New Roman" w:hAnsi="Times New Roman"/>
                <w:color w:val="auto"/>
              </w:rPr>
              <w:t>1</w:t>
            </w:r>
            <w:r>
              <w:rPr>
                <w:rFonts w:hint="eastAsia"/>
                <w:color w:val="auto"/>
              </w:rPr>
              <w:t>具</w:t>
            </w:r>
            <w:r>
              <w:rPr>
                <w:rFonts w:hint="eastAsia" w:ascii="Times New Roman" w:hAnsi="Times New Roman"/>
                <w:color w:val="auto"/>
              </w:rPr>
              <w:t>6L</w:t>
            </w:r>
            <w:r>
              <w:rPr>
                <w:rFonts w:hint="eastAsia"/>
                <w:color w:val="auto"/>
              </w:rPr>
              <w:t>泡沫灭火器，加油机不足</w:t>
            </w:r>
            <w:r>
              <w:rPr>
                <w:rFonts w:hint="eastAsia" w:ascii="Times New Roman" w:hAnsi="Times New Roman"/>
                <w:color w:val="auto"/>
              </w:rPr>
              <w:t>2</w:t>
            </w:r>
            <w:r>
              <w:rPr>
                <w:rFonts w:hint="eastAsia"/>
                <w:color w:val="auto"/>
              </w:rPr>
              <w:t>台应按</w:t>
            </w:r>
            <w:r>
              <w:rPr>
                <w:rFonts w:hint="eastAsia" w:ascii="Times New Roman" w:hAnsi="Times New Roman"/>
                <w:color w:val="auto"/>
              </w:rPr>
              <w:t>2</w:t>
            </w:r>
            <w:r>
              <w:rPr>
                <w:rFonts w:hint="eastAsia"/>
                <w:color w:val="auto"/>
              </w:rPr>
              <w:t>台配置；</w:t>
            </w:r>
          </w:p>
        </w:tc>
        <w:tc>
          <w:tcPr>
            <w:tcW w:w="1500" w:type="dxa"/>
            <w:vAlign w:val="center"/>
          </w:tcPr>
          <w:p w14:paraId="07729CC4">
            <w:pPr>
              <w:pStyle w:val="22"/>
              <w:keepNext w:val="0"/>
              <w:keepLines w:val="0"/>
              <w:widowControl/>
              <w:suppressLineNumbers w:val="0"/>
              <w:spacing w:before="0" w:beforeAutospacing="0" w:after="0" w:afterAutospacing="0" w:line="240" w:lineRule="auto"/>
              <w:ind w:left="0" w:right="0"/>
              <w:jc w:val="left"/>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2</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1</w:t>
            </w:r>
            <w:r>
              <w:rPr>
                <w:rFonts w:hint="eastAsia"/>
                <w:color w:val="auto"/>
              </w:rPr>
              <w:t>条</w:t>
            </w:r>
          </w:p>
        </w:tc>
        <w:tc>
          <w:tcPr>
            <w:tcW w:w="1987" w:type="dxa"/>
            <w:vAlign w:val="center"/>
          </w:tcPr>
          <w:p w14:paraId="615ED147">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1</w:t>
            </w:r>
            <w:r>
              <w:rPr>
                <w:rFonts w:hint="eastAsia"/>
                <w:color w:val="auto"/>
              </w:rPr>
              <w:t>）每台加油机配备</w:t>
            </w:r>
            <w:r>
              <w:rPr>
                <w:rFonts w:hint="eastAsia"/>
                <w:color w:val="auto"/>
                <w:lang w:val="en-US" w:eastAsia="zh-CN"/>
              </w:rPr>
              <w:t>了</w:t>
            </w:r>
            <w:r>
              <w:rPr>
                <w:rFonts w:hint="eastAsia" w:ascii="Times New Roman" w:hAnsi="Times New Roman"/>
                <w:color w:val="auto"/>
                <w:lang w:val="en-US" w:eastAsia="zh-CN"/>
              </w:rPr>
              <w:t>2</w:t>
            </w:r>
            <w:r>
              <w:rPr>
                <w:rFonts w:hint="eastAsia"/>
                <w:color w:val="auto"/>
                <w:lang w:val="en-US" w:eastAsia="zh-CN"/>
              </w:rPr>
              <w:t>具</w:t>
            </w:r>
            <w:r>
              <w:rPr>
                <w:rFonts w:hint="eastAsia" w:ascii="Times New Roman" w:hAnsi="Times New Roman"/>
                <w:color w:val="auto"/>
                <w:lang w:val="en-US" w:eastAsia="zh-CN"/>
              </w:rPr>
              <w:t>5kg</w:t>
            </w:r>
            <w:r>
              <w:rPr>
                <w:rFonts w:hint="eastAsia"/>
                <w:color w:val="auto"/>
                <w:lang w:val="en-US" w:eastAsia="zh-CN"/>
              </w:rPr>
              <w:t>手提式灭火器</w:t>
            </w:r>
            <w:r>
              <w:rPr>
                <w:rFonts w:hint="eastAsia"/>
                <w:color w:val="auto"/>
              </w:rPr>
              <w:t>；</w:t>
            </w:r>
          </w:p>
          <w:p w14:paraId="7CB1B6AF">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2</w:t>
            </w:r>
            <w:r>
              <w:rPr>
                <w:rFonts w:hint="eastAsia"/>
                <w:color w:val="auto"/>
              </w:rPr>
              <w:t>）储罐区设置了</w:t>
            </w:r>
            <w:r>
              <w:rPr>
                <w:rFonts w:hint="eastAsia" w:ascii="Times New Roman" w:hAnsi="Times New Roman"/>
                <w:color w:val="auto"/>
                <w:lang w:val="en-US" w:eastAsia="zh-CN"/>
              </w:rPr>
              <w:t>1</w:t>
            </w:r>
            <w:r>
              <w:rPr>
                <w:rFonts w:hint="eastAsia"/>
                <w:color w:val="auto"/>
              </w:rPr>
              <w:t>台</w:t>
            </w:r>
            <w:r>
              <w:rPr>
                <w:rFonts w:hint="default" w:ascii="Times New Roman" w:hAnsi="Times New Roman"/>
                <w:color w:val="auto"/>
              </w:rPr>
              <w:t>35kg</w:t>
            </w:r>
            <w:r>
              <w:rPr>
                <w:rFonts w:hint="eastAsia"/>
                <w:color w:val="auto"/>
              </w:rPr>
              <w:t>型推车式干粉灭火器；</w:t>
            </w:r>
          </w:p>
          <w:p w14:paraId="7EFD0B9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3</w:t>
            </w:r>
            <w:r>
              <w:rPr>
                <w:rFonts w:hint="eastAsia"/>
                <w:color w:val="auto"/>
              </w:rPr>
              <w:t>）加油站配置</w:t>
            </w:r>
            <w:r>
              <w:rPr>
                <w:rFonts w:hint="eastAsia"/>
                <w:color w:val="auto"/>
                <w:lang w:eastAsia="zh-CN"/>
              </w:rPr>
              <w:t>了</w:t>
            </w:r>
            <w:r>
              <w:rPr>
                <w:rFonts w:hint="eastAsia"/>
                <w:color w:val="auto"/>
                <w:lang w:val="en-US" w:eastAsia="zh-CN"/>
              </w:rPr>
              <w:t>6</w:t>
            </w:r>
            <w:r>
              <w:rPr>
                <w:rFonts w:hint="eastAsia"/>
                <w:color w:val="auto"/>
              </w:rPr>
              <w:t>块灭火毯。</w:t>
            </w:r>
          </w:p>
          <w:p w14:paraId="3433B6E4">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default" w:ascii="Times New Roman" w:hAnsi="Times New Roman"/>
                <w:color w:val="auto"/>
              </w:rPr>
              <w:t>4</w:t>
            </w:r>
            <w:r>
              <w:rPr>
                <w:rFonts w:hint="eastAsia"/>
                <w:color w:val="auto"/>
              </w:rPr>
              <w:t>）消防沙池常备沙量为</w:t>
            </w:r>
            <w:r>
              <w:rPr>
                <w:rFonts w:hint="eastAsia"/>
                <w:color w:val="auto"/>
                <w:lang w:val="en-US" w:eastAsia="zh-CN"/>
              </w:rPr>
              <w:t>2</w:t>
            </w:r>
            <w:r>
              <w:rPr>
                <w:rFonts w:hint="default" w:ascii="Times New Roman" w:hAnsi="Times New Roman"/>
                <w:color w:val="auto"/>
              </w:rPr>
              <w:t>m</w:t>
            </w:r>
            <w:r>
              <w:rPr>
                <w:rFonts w:hint="default" w:ascii="Times New Roman" w:hAnsi="Times New Roman"/>
                <w:color w:val="auto"/>
                <w:vertAlign w:val="superscript"/>
              </w:rPr>
              <w:t>3</w:t>
            </w:r>
            <w:r>
              <w:rPr>
                <w:rFonts w:hint="eastAsia"/>
                <w:color w:val="auto"/>
              </w:rPr>
              <w:t>。</w:t>
            </w:r>
          </w:p>
        </w:tc>
        <w:tc>
          <w:tcPr>
            <w:tcW w:w="950" w:type="dxa"/>
            <w:vAlign w:val="center"/>
          </w:tcPr>
          <w:p w14:paraId="5657886F">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559341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4960" w:type="dxa"/>
            <w:vAlign w:val="center"/>
          </w:tcPr>
          <w:p w14:paraId="1F44F03B">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.其余建筑的灭火器配置，应符合现行国家标准《</w:t>
            </w:r>
            <w:r>
              <w:rPr>
                <w:rFonts w:hint="eastAsia"/>
                <w:color w:val="auto"/>
                <w:lang w:eastAsia="zh-CN"/>
              </w:rPr>
              <w:t>卤代烷</w:t>
            </w:r>
            <w:r>
              <w:rPr>
                <w:rFonts w:hint="eastAsia" w:ascii="Times New Roman" w:hAnsi="Times New Roman"/>
                <w:color w:val="auto"/>
                <w:lang w:eastAsia="zh-CN"/>
              </w:rPr>
              <w:t>1211</w:t>
            </w:r>
            <w:r>
              <w:rPr>
                <w:rFonts w:hint="eastAsia"/>
                <w:color w:val="auto"/>
                <w:lang w:eastAsia="zh-CN"/>
              </w:rPr>
              <w:t>灭火系统设计规范</w:t>
            </w:r>
            <w:r>
              <w:rPr>
                <w:rFonts w:hint="eastAsia"/>
                <w:color w:val="auto"/>
              </w:rPr>
              <w:t>》</w:t>
            </w:r>
            <w:r>
              <w:rPr>
                <w:rFonts w:hint="eastAsia" w:ascii="Times New Roman" w:hAnsi="Times New Roman"/>
                <w:color w:val="auto"/>
                <w:lang w:eastAsia="zh-CN"/>
              </w:rPr>
              <w:t>GB</w:t>
            </w:r>
            <w:r>
              <w:rPr>
                <w:rFonts w:hint="eastAsia"/>
                <w:color w:val="auto"/>
                <w:lang w:eastAsia="zh-CN"/>
              </w:rPr>
              <w:t>/</w:t>
            </w:r>
            <w:r>
              <w:rPr>
                <w:rFonts w:hint="eastAsia" w:ascii="Times New Roman" w:hAnsi="Times New Roman"/>
                <w:color w:val="auto"/>
                <w:lang w:eastAsia="zh-CN"/>
              </w:rPr>
              <w:t>T</w:t>
            </w:r>
            <w:r>
              <w:rPr>
                <w:rFonts w:hint="eastAsia"/>
                <w:color w:val="auto"/>
                <w:lang w:eastAsia="zh-CN"/>
              </w:rPr>
              <w:t xml:space="preserve"> </w:t>
            </w:r>
            <w:r>
              <w:rPr>
                <w:rFonts w:hint="eastAsia" w:ascii="Times New Roman" w:hAnsi="Times New Roman"/>
                <w:color w:val="auto"/>
                <w:lang w:eastAsia="zh-CN"/>
              </w:rPr>
              <w:t>50110</w:t>
            </w:r>
            <w:r>
              <w:rPr>
                <w:rFonts w:hint="eastAsia"/>
                <w:color w:val="auto"/>
                <w:lang w:eastAsia="zh-CN"/>
              </w:rPr>
              <w:t>-</w:t>
            </w:r>
            <w:r>
              <w:rPr>
                <w:rFonts w:hint="eastAsia" w:ascii="Times New Roman" w:hAnsi="Times New Roman"/>
                <w:color w:val="auto"/>
                <w:lang w:eastAsia="zh-CN"/>
              </w:rPr>
              <w:t>1987</w:t>
            </w:r>
            <w:r>
              <w:rPr>
                <w:rFonts w:hint="eastAsia"/>
                <w:color w:val="auto"/>
              </w:rPr>
              <w:t>的有关规定。</w:t>
            </w:r>
          </w:p>
        </w:tc>
        <w:tc>
          <w:tcPr>
            <w:tcW w:w="1500" w:type="dxa"/>
            <w:vAlign w:val="center"/>
          </w:tcPr>
          <w:p w14:paraId="5C633A34">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2</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2</w:t>
            </w:r>
            <w:r>
              <w:rPr>
                <w:rFonts w:hint="eastAsia"/>
                <w:color w:val="auto"/>
              </w:rPr>
              <w:t>条</w:t>
            </w:r>
          </w:p>
        </w:tc>
        <w:tc>
          <w:tcPr>
            <w:tcW w:w="1987" w:type="dxa"/>
            <w:vAlign w:val="center"/>
          </w:tcPr>
          <w:p w14:paraId="7A40ADE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color w:val="auto"/>
              </w:rPr>
              <w:t>站房、</w:t>
            </w:r>
            <w:r>
              <w:rPr>
                <w:rFonts w:hint="eastAsia"/>
                <w:color w:val="auto"/>
                <w:lang w:eastAsia="zh-CN"/>
              </w:rPr>
              <w:t>配电间</w:t>
            </w:r>
            <w:r>
              <w:rPr>
                <w:rFonts w:hint="eastAsia"/>
                <w:color w:val="auto"/>
              </w:rPr>
              <w:t>等处有配置手提式干粉灭火器</w:t>
            </w:r>
            <w:r>
              <w:rPr>
                <w:rFonts w:hint="eastAsia"/>
                <w:color w:val="auto"/>
                <w:lang w:val="en-US" w:eastAsia="zh-CN"/>
              </w:rPr>
              <w:t>和二氧化碳灭火器</w:t>
            </w:r>
            <w:r>
              <w:rPr>
                <w:rFonts w:hint="eastAsia"/>
                <w:color w:val="auto"/>
              </w:rPr>
              <w:t>。</w:t>
            </w:r>
          </w:p>
        </w:tc>
        <w:tc>
          <w:tcPr>
            <w:tcW w:w="950" w:type="dxa"/>
            <w:vAlign w:val="center"/>
          </w:tcPr>
          <w:p w14:paraId="49DDD9DE">
            <w:pPr>
              <w:pStyle w:val="22"/>
              <w:keepNext w:val="0"/>
              <w:keepLines w:val="0"/>
              <w:widowControl/>
              <w:suppressLineNumbers w:val="0"/>
              <w:spacing w:before="0" w:beforeAutospacing="0" w:after="0" w:afterAutospacing="0" w:line="240" w:lineRule="auto"/>
              <w:ind w:left="0" w:right="0"/>
              <w:rPr>
                <w:rFonts w:hint="default"/>
                <w:color w:val="auto"/>
              </w:rPr>
            </w:pPr>
            <w:r>
              <w:rPr>
                <w:rFonts w:hint="eastAsia"/>
                <w:color w:val="auto"/>
              </w:rPr>
              <w:t>符合</w:t>
            </w:r>
          </w:p>
        </w:tc>
      </w:tr>
      <w:tr w14:paraId="3F8D54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5" w:hRule="atLeast"/>
          <w:jc w:val="center"/>
        </w:trPr>
        <w:tc>
          <w:tcPr>
            <w:tcW w:w="4960" w:type="dxa"/>
            <w:shd w:val="clear" w:color="auto" w:fill="auto"/>
            <w:vAlign w:val="top"/>
          </w:tcPr>
          <w:p w14:paraId="68EA049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default"/>
                <w:color w:val="auto"/>
              </w:rPr>
              <w:t>.</w:t>
            </w:r>
            <w:r>
              <w:rPr>
                <w:rFonts w:hint="eastAsia"/>
                <w:color w:val="auto"/>
              </w:rPr>
              <w:t>汽车加油加气加氢站的排水应符合下列规定：</w:t>
            </w:r>
          </w:p>
          <w:p w14:paraId="14BC11F9">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1</w:t>
            </w:r>
            <w:r>
              <w:rPr>
                <w:rFonts w:hint="eastAsia"/>
                <w:color w:val="auto"/>
              </w:rPr>
              <w:t>）站内地面雨水可散流排出站外，当加油站、</w:t>
            </w:r>
            <w:r>
              <w:rPr>
                <w:rFonts w:hint="eastAsia" w:ascii="Times New Roman" w:hAnsi="Times New Roman"/>
                <w:color w:val="auto"/>
              </w:rPr>
              <w:t>LPG</w:t>
            </w:r>
            <w:r>
              <w:rPr>
                <w:rFonts w:hint="eastAsia"/>
                <w:color w:val="auto"/>
              </w:rPr>
              <w:t>加气站或加油与</w:t>
            </w:r>
            <w:r>
              <w:rPr>
                <w:rFonts w:hint="eastAsia" w:ascii="Times New Roman" w:hAnsi="Times New Roman"/>
                <w:color w:val="auto"/>
              </w:rPr>
              <w:t>LPG</w:t>
            </w:r>
            <w:r>
              <w:rPr>
                <w:rFonts w:hint="eastAsia"/>
                <w:color w:val="auto"/>
              </w:rPr>
              <w:t>加气合建站的雨水由明沟排到站外时，应在围墙内设置水封装置；</w:t>
            </w:r>
          </w:p>
          <w:p w14:paraId="0174DEEA">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2</w:t>
            </w:r>
            <w:r>
              <w:rPr>
                <w:rFonts w:hint="eastAsia"/>
                <w:color w:val="auto"/>
              </w:rPr>
              <w:t>）加油站、</w:t>
            </w:r>
            <w:r>
              <w:rPr>
                <w:rFonts w:hint="eastAsia" w:ascii="Times New Roman" w:hAnsi="Times New Roman"/>
                <w:color w:val="auto"/>
              </w:rPr>
              <w:t>LPG</w:t>
            </w:r>
            <w:r>
              <w:rPr>
                <w:rFonts w:hint="eastAsia"/>
                <w:color w:val="auto"/>
              </w:rPr>
              <w:t>加气站或加油与</w:t>
            </w:r>
            <w:r>
              <w:rPr>
                <w:rFonts w:hint="eastAsia" w:ascii="Times New Roman" w:hAnsi="Times New Roman"/>
                <w:color w:val="auto"/>
              </w:rPr>
              <w:t>LPG</w:t>
            </w:r>
            <w:r>
              <w:rPr>
                <w:rFonts w:hint="eastAsia"/>
                <w:color w:val="auto"/>
              </w:rPr>
              <w:t>加气合建站排出建筑物或围墙的污水，在建筑物墙外或围墙内应分别设水封井，水封井的水封高度不应小于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25m</w:t>
            </w:r>
            <w:r>
              <w:rPr>
                <w:rFonts w:hint="eastAsia"/>
                <w:color w:val="auto"/>
              </w:rPr>
              <w:t>，水封井应设沉泥段，沉泥段高度不应小于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25m</w:t>
            </w:r>
            <w:r>
              <w:rPr>
                <w:rFonts w:hint="eastAsia"/>
                <w:color w:val="auto"/>
              </w:rPr>
              <w:t>；</w:t>
            </w:r>
          </w:p>
          <w:p w14:paraId="467F4B81">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3</w:t>
            </w:r>
            <w:r>
              <w:rPr>
                <w:rFonts w:hint="eastAsia"/>
                <w:color w:val="auto"/>
              </w:rPr>
              <w:t>）清洗油罐的污水应集中收集处理，不应直接进入排水管道，</w:t>
            </w:r>
            <w:r>
              <w:rPr>
                <w:rFonts w:hint="eastAsia" w:ascii="Times New Roman" w:hAnsi="Times New Roman"/>
                <w:color w:val="auto"/>
              </w:rPr>
              <w:t>LPG</w:t>
            </w:r>
            <w:r>
              <w:rPr>
                <w:rFonts w:hint="eastAsia"/>
                <w:color w:val="auto"/>
              </w:rPr>
              <w:t>储罐的排污（排水）应采用活动式回收桶集中收集处理，不应直接接入排水管道；</w:t>
            </w:r>
          </w:p>
          <w:p w14:paraId="46281165">
            <w:pPr>
              <w:pStyle w:val="22"/>
              <w:keepNext w:val="0"/>
              <w:keepLines w:val="0"/>
              <w:widowControl/>
              <w:suppressLineNumbers w:val="0"/>
              <w:spacing w:before="0" w:beforeAutospacing="0" w:after="0" w:afterAutospacing="0" w:line="240" w:lineRule="auto"/>
              <w:ind w:left="0" w:right="0"/>
              <w:jc w:val="both"/>
              <w:rPr>
                <w:rFonts w:hint="default"/>
                <w:color w:val="auto"/>
              </w:rPr>
            </w:pPr>
            <w:r>
              <w:rPr>
                <w:rFonts w:hint="eastAsia" w:ascii="Times New Roman" w:hAnsi="Times New Roman"/>
                <w:color w:val="auto"/>
              </w:rPr>
              <w:t>4</w:t>
            </w:r>
            <w:r>
              <w:rPr>
                <w:rFonts w:hint="eastAsia"/>
                <w:color w:val="auto"/>
              </w:rPr>
              <w:t>）排出站外的污水应符合国家现行有关污水排放标准的规定；</w:t>
            </w:r>
          </w:p>
          <w:p w14:paraId="3178EDFF">
            <w:pPr>
              <w:pStyle w:val="22"/>
              <w:keepNext w:val="0"/>
              <w:keepLines w:val="0"/>
              <w:widowControl/>
              <w:suppressLineNumbers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olor w:val="auto"/>
              </w:rPr>
              <w:t>5</w:t>
            </w:r>
            <w:r>
              <w:rPr>
                <w:rFonts w:hint="eastAsia"/>
                <w:color w:val="auto"/>
              </w:rPr>
              <w:t>）加油站、</w:t>
            </w:r>
            <w:r>
              <w:rPr>
                <w:rFonts w:hint="eastAsia" w:ascii="Times New Roman" w:hAnsi="Times New Roman"/>
                <w:color w:val="auto"/>
              </w:rPr>
              <w:t>LPG</w:t>
            </w:r>
            <w:r>
              <w:rPr>
                <w:rFonts w:hint="eastAsia"/>
                <w:color w:val="auto"/>
              </w:rPr>
              <w:t>加气站不应采用暗沟排水。</w:t>
            </w:r>
          </w:p>
        </w:tc>
        <w:tc>
          <w:tcPr>
            <w:tcW w:w="1500" w:type="dxa"/>
            <w:shd w:val="clear" w:color="auto" w:fill="auto"/>
            <w:vAlign w:val="center"/>
          </w:tcPr>
          <w:p w14:paraId="4D78F69E">
            <w:pPr>
              <w:pStyle w:val="22"/>
              <w:keepNext w:val="0"/>
              <w:keepLines w:val="0"/>
              <w:widowControl/>
              <w:suppressLineNumbers w:val="0"/>
              <w:spacing w:before="0" w:beforeAutospacing="0" w:after="0" w:afterAutospacing="0" w:line="240" w:lineRule="auto"/>
              <w:ind w:left="0" w:leftChars="0" w:right="0" w:rightChars="0" w:firstLine="0" w:firstLineChars="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2</w:t>
            </w:r>
            <w:r>
              <w:rPr>
                <w:rFonts w:hint="default"/>
                <w:color w:val="auto"/>
              </w:rPr>
              <w:t>.</w:t>
            </w:r>
            <w:r>
              <w:rPr>
                <w:rFonts w:hint="default" w:ascii="Times New Roman" w:hAnsi="Times New Roman"/>
                <w:color w:val="auto"/>
              </w:rPr>
              <w:t>3</w:t>
            </w:r>
            <w:r>
              <w:rPr>
                <w:rFonts w:hint="default"/>
                <w:color w:val="auto"/>
              </w:rPr>
              <w:t>.</w:t>
            </w:r>
            <w:r>
              <w:rPr>
                <w:rFonts w:hint="default" w:ascii="Times New Roman" w:hAnsi="Times New Roman"/>
                <w:color w:val="auto"/>
              </w:rPr>
              <w:t>2</w:t>
            </w:r>
            <w:r>
              <w:rPr>
                <w:rFonts w:hint="eastAsia"/>
                <w:color w:val="auto"/>
              </w:rPr>
              <w:t>条</w:t>
            </w:r>
          </w:p>
        </w:tc>
        <w:tc>
          <w:tcPr>
            <w:tcW w:w="1987" w:type="dxa"/>
            <w:shd w:val="clear" w:color="auto" w:fill="auto"/>
            <w:vAlign w:val="center"/>
          </w:tcPr>
          <w:p w14:paraId="698F5021">
            <w:pPr>
              <w:pStyle w:val="22"/>
              <w:keepNext w:val="0"/>
              <w:keepLines w:val="0"/>
              <w:widowControl/>
              <w:suppressLineNumbers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color w:val="auto"/>
                <w:kern w:val="2"/>
                <w:sz w:val="21"/>
                <w:szCs w:val="24"/>
                <w:lang w:val="en-US" w:eastAsia="zh-CN" w:bidi="ar-SA"/>
              </w:rPr>
            </w:pPr>
            <w:r>
              <w:rPr>
                <w:rFonts w:hint="eastAsia"/>
                <w:color w:val="auto"/>
              </w:rPr>
              <w:t>该加油站站内地面雨水散流排出站外，生活污水经化粪池无害化处理后排出，清洗油罐的污水收集后集中处理。</w:t>
            </w:r>
          </w:p>
        </w:tc>
        <w:tc>
          <w:tcPr>
            <w:tcW w:w="950" w:type="dxa"/>
            <w:shd w:val="clear" w:color="auto" w:fill="auto"/>
            <w:vAlign w:val="center"/>
          </w:tcPr>
          <w:p w14:paraId="2649C94B">
            <w:pPr>
              <w:pStyle w:val="22"/>
              <w:keepNext w:val="0"/>
              <w:keepLines w:val="0"/>
              <w:widowControl/>
              <w:suppressLineNumbers w:val="0"/>
              <w:spacing w:before="0" w:beforeAutospacing="0" w:after="0" w:afterAutospacing="0" w:line="240" w:lineRule="auto"/>
              <w:ind w:left="0" w:leftChars="0" w:right="0" w:rightChars="0" w:firstLine="0" w:firstLineChars="0"/>
              <w:rPr>
                <w:rFonts w:hint="eastAsia" w:ascii="Times New Roman" w:hAnsi="Times New Roman" w:eastAsia="宋体" w:cs="Times New Roman"/>
                <w:color w:val="auto"/>
                <w:kern w:val="2"/>
                <w:sz w:val="21"/>
                <w:szCs w:val="24"/>
                <w:lang w:val="en-US" w:eastAsia="zh-CN" w:bidi="ar-SA"/>
              </w:rPr>
            </w:pPr>
            <w:r>
              <w:rPr>
                <w:rFonts w:hint="eastAsia"/>
                <w:color w:val="auto"/>
              </w:rPr>
              <w:t>符合</w:t>
            </w:r>
          </w:p>
        </w:tc>
      </w:tr>
    </w:tbl>
    <w:p w14:paraId="1AE137B6">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从表中结果可以看出，该加油站建设项目的消防设施和给排水能够满足《汽车加油加气加氢站技术标准》（GB50156-2021）中有关消防设施和给排水的要求。</w:t>
      </w:r>
    </w:p>
    <w:p w14:paraId="1205CB69">
      <w:pPr>
        <w:spacing w:line="360" w:lineRule="auto"/>
        <w:ind w:firstLine="560"/>
        <w:rPr>
          <w:rFonts w:hint="default" w:ascii="Times New Roman" w:hAnsi="Times New Roman" w:eastAsia="宋体" w:cs="Times New Roman"/>
          <w:b/>
          <w:bCs/>
          <w:color w:val="auto"/>
          <w:lang w:val="en-US" w:eastAsia="zh-CN"/>
        </w:rPr>
      </w:pPr>
      <w:r>
        <w:rPr>
          <w:rFonts w:hint="default" w:ascii="Times New Roman" w:hAnsi="Times New Roman" w:cs="Times New Roman"/>
          <w:b/>
          <w:bCs/>
          <w:color w:val="auto"/>
          <w:lang w:val="en-US" w:eastAsia="zh-CN"/>
        </w:rPr>
        <w:t>5）电气与报警和紧急切断系统</w:t>
      </w:r>
    </w:p>
    <w:p w14:paraId="1AAF28E8">
      <w:pPr>
        <w:pStyle w:val="21"/>
        <w:rPr>
          <w:rFonts w:hint="default" w:ascii="Times New Roman" w:hAnsi="Times New Roman" w:cs="Times New Roman"/>
          <w:color w:val="auto"/>
          <w:szCs w:val="21"/>
        </w:rPr>
      </w:pPr>
      <w:bookmarkStart w:id="722" w:name="OLE_LINK350"/>
      <w:bookmarkStart w:id="723" w:name="OLE_LINK348"/>
      <w:bookmarkStart w:id="724" w:name="OLE_LINK347"/>
      <w:bookmarkStart w:id="725" w:name="OLE_LINK349"/>
      <w:bookmarkStart w:id="726" w:name="OLE_LINK149"/>
      <w:bookmarkStart w:id="727" w:name="OLE_LINK148"/>
      <w:bookmarkStart w:id="728" w:name="OLE_LINK150"/>
      <w:bookmarkStart w:id="729" w:name="OLE_LINK385"/>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-5 电气与报警和紧急切断</w:t>
      </w:r>
      <w:bookmarkEnd w:id="722"/>
      <w:bookmarkEnd w:id="723"/>
      <w:bookmarkEnd w:id="724"/>
      <w:bookmarkEnd w:id="725"/>
      <w:r>
        <w:rPr>
          <w:rFonts w:hint="default" w:ascii="Times New Roman" w:hAnsi="Times New Roman" w:cs="Times New Roman"/>
          <w:color w:val="auto"/>
          <w:szCs w:val="21"/>
        </w:rPr>
        <w:t>系统</w:t>
      </w:r>
      <w:bookmarkEnd w:id="726"/>
      <w:bookmarkEnd w:id="727"/>
      <w:bookmarkEnd w:id="728"/>
      <w:bookmarkEnd w:id="729"/>
      <w:r>
        <w:rPr>
          <w:rFonts w:hint="default" w:ascii="Times New Roman" w:hAnsi="Times New Roman" w:cs="Times New Roman"/>
          <w:color w:val="auto"/>
          <w:szCs w:val="21"/>
        </w:rPr>
        <w:t>安全检查表</w:t>
      </w:r>
    </w:p>
    <w:tbl>
      <w:tblPr>
        <w:tblStyle w:val="48"/>
        <w:tblW w:w="95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86"/>
        <w:gridCol w:w="1529"/>
        <w:gridCol w:w="2704"/>
        <w:gridCol w:w="740"/>
      </w:tblGrid>
      <w:tr w14:paraId="1CCFD3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586" w:type="dxa"/>
            <w:vAlign w:val="center"/>
          </w:tcPr>
          <w:p w14:paraId="78E98BA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bookmarkStart w:id="730" w:name="OLE_LINK144"/>
            <w:bookmarkStart w:id="731" w:name="OLE_LINK138"/>
            <w:bookmarkStart w:id="732" w:name="OLE_LINK137"/>
            <w:r>
              <w:rPr>
                <w:rFonts w:hint="default" w:ascii="Times New Roman" w:hAnsi="Times New Roman" w:cs="Times New Roman"/>
                <w:b/>
                <w:bCs/>
                <w:color w:val="auto"/>
              </w:rPr>
              <w:t>电气与报警和紧急切断系统要求</w:t>
            </w:r>
          </w:p>
        </w:tc>
        <w:tc>
          <w:tcPr>
            <w:tcW w:w="1529" w:type="dxa"/>
            <w:vAlign w:val="center"/>
          </w:tcPr>
          <w:p w14:paraId="7F011E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依据标准</w:t>
            </w:r>
          </w:p>
        </w:tc>
        <w:tc>
          <w:tcPr>
            <w:tcW w:w="2704" w:type="dxa"/>
            <w:vAlign w:val="center"/>
          </w:tcPr>
          <w:p w14:paraId="531B444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检查结果</w:t>
            </w:r>
          </w:p>
        </w:tc>
        <w:tc>
          <w:tcPr>
            <w:tcW w:w="740" w:type="dxa"/>
            <w:vAlign w:val="center"/>
          </w:tcPr>
          <w:p w14:paraId="55F52D3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b/>
                <w:bCs/>
                <w:color w:val="auto"/>
              </w:rPr>
            </w:pPr>
            <w:r>
              <w:rPr>
                <w:rFonts w:hint="default" w:ascii="Times New Roman" w:hAnsi="Times New Roman" w:cs="Times New Roman"/>
                <w:b/>
                <w:bCs/>
                <w:color w:val="auto"/>
              </w:rPr>
              <w:t>备注</w:t>
            </w:r>
          </w:p>
        </w:tc>
      </w:tr>
      <w:tr w14:paraId="2AB8CC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1F51AF4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1.汽车加油加气加氢站的供电负荷等级可分为三级，信息系统应设不间断供电电源。</w:t>
            </w:r>
          </w:p>
        </w:tc>
        <w:tc>
          <w:tcPr>
            <w:tcW w:w="1529" w:type="dxa"/>
            <w:vAlign w:val="center"/>
          </w:tcPr>
          <w:p w14:paraId="1C7B045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color w:val="auto"/>
              </w:rPr>
            </w:pPr>
            <w:r>
              <w:rPr>
                <w:rFonts w:hint="default" w:ascii="Times New Roman" w:hAnsi="Times New Roman" w:cs="Times New Roman"/>
                <w:color w:val="auto"/>
              </w:rPr>
              <w:t>GB50156-2021第13.1.1条</w:t>
            </w:r>
          </w:p>
        </w:tc>
        <w:tc>
          <w:tcPr>
            <w:tcW w:w="2704" w:type="dxa"/>
            <w:vAlign w:val="center"/>
          </w:tcPr>
          <w:p w14:paraId="3041CF6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eastAsia" w:ascii="Times New Roman" w:hAnsi="Times New Roman" w:eastAsia="宋体" w:cs="Times New Roman"/>
                <w:color w:val="auto"/>
                <w:lang w:eastAsia="zh-CN"/>
              </w:rPr>
            </w:pPr>
            <w:r>
              <w:rPr>
                <w:rFonts w:hint="default" w:ascii="Times New Roman" w:hAnsi="Times New Roman" w:cs="Times New Roman"/>
                <w:color w:val="auto"/>
              </w:rPr>
              <w:t>除自控系统为重要负荷外其他用电负荷均为三级；信息系统设置了不间断供电电源</w:t>
            </w:r>
            <w:r>
              <w:rPr>
                <w:rFonts w:hint="eastAsia" w:cs="Times New Roman"/>
                <w:color w:val="auto"/>
                <w:lang w:eastAsia="zh-CN"/>
              </w:rPr>
              <w:t>。</w:t>
            </w:r>
          </w:p>
        </w:tc>
        <w:tc>
          <w:tcPr>
            <w:tcW w:w="740" w:type="dxa"/>
            <w:vAlign w:val="center"/>
          </w:tcPr>
          <w:p w14:paraId="1DA3E89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color w:val="auto"/>
              </w:rPr>
            </w:pPr>
            <w:r>
              <w:rPr>
                <w:rFonts w:hint="default" w:ascii="Times New Roman" w:hAnsi="Times New Roman" w:cs="Times New Roman"/>
                <w:color w:val="auto"/>
              </w:rPr>
              <w:t>符合</w:t>
            </w:r>
          </w:p>
        </w:tc>
      </w:tr>
      <w:tr w14:paraId="0671E3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F6396A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2</w:t>
            </w:r>
            <w:r>
              <w:rPr>
                <w:rFonts w:hint="default"/>
                <w:color w:val="auto"/>
              </w:rPr>
              <w:t>.</w:t>
            </w:r>
            <w:r>
              <w:rPr>
                <w:rFonts w:hint="eastAsia"/>
                <w:color w:val="auto"/>
              </w:rPr>
              <w:t>加油站、</w:t>
            </w:r>
            <w:r>
              <w:rPr>
                <w:rFonts w:hint="eastAsia" w:ascii="Times New Roman" w:hAnsi="Times New Roman"/>
                <w:color w:val="auto"/>
              </w:rPr>
              <w:t>LPG</w:t>
            </w:r>
            <w:r>
              <w:rPr>
                <w:rFonts w:hint="eastAsia"/>
                <w:color w:val="auto"/>
              </w:rPr>
              <w:t>加气站宜采用电压为</w:t>
            </w:r>
            <w:r>
              <w:rPr>
                <w:rFonts w:hint="eastAsia" w:ascii="Times New Roman" w:hAnsi="Times New Roman"/>
                <w:color w:val="auto"/>
              </w:rPr>
              <w:t>380</w:t>
            </w:r>
            <w:r>
              <w:rPr>
                <w:rFonts w:hint="eastAsia"/>
                <w:color w:val="auto"/>
              </w:rPr>
              <w:t>/</w:t>
            </w:r>
            <w:r>
              <w:rPr>
                <w:rFonts w:hint="eastAsia" w:ascii="Times New Roman" w:hAnsi="Times New Roman"/>
                <w:color w:val="auto"/>
              </w:rPr>
              <w:t>220V</w:t>
            </w:r>
            <w:r>
              <w:rPr>
                <w:rFonts w:hint="eastAsia"/>
                <w:color w:val="auto"/>
              </w:rPr>
              <w:t>的外接电源，</w:t>
            </w:r>
            <w:r>
              <w:rPr>
                <w:rFonts w:hint="eastAsia" w:ascii="Times New Roman" w:hAnsi="Times New Roman"/>
                <w:color w:val="auto"/>
              </w:rPr>
              <w:t>CNG</w:t>
            </w:r>
            <w:r>
              <w:rPr>
                <w:rFonts w:hint="eastAsia"/>
                <w:color w:val="auto"/>
              </w:rPr>
              <w:t>加气站、</w:t>
            </w:r>
            <w:r>
              <w:rPr>
                <w:rFonts w:hint="eastAsia" w:ascii="Times New Roman" w:hAnsi="Times New Roman"/>
                <w:color w:val="auto"/>
              </w:rPr>
              <w:t>LNG</w:t>
            </w:r>
            <w:r>
              <w:rPr>
                <w:rFonts w:hint="eastAsia"/>
                <w:color w:val="auto"/>
              </w:rPr>
              <w:t>加气站、加氢合建站宜采用电压为</w:t>
            </w:r>
            <w:r>
              <w:rPr>
                <w:rFonts w:hint="eastAsia" w:ascii="Times New Roman" w:hAnsi="Times New Roman"/>
                <w:color w:val="auto"/>
              </w:rPr>
              <w:t>10kV</w:t>
            </w:r>
            <w:r>
              <w:rPr>
                <w:rFonts w:hint="eastAsia"/>
                <w:color w:val="auto"/>
              </w:rPr>
              <w:t>的外接电源。</w:t>
            </w:r>
          </w:p>
        </w:tc>
        <w:tc>
          <w:tcPr>
            <w:tcW w:w="1529" w:type="dxa"/>
            <w:vAlign w:val="center"/>
          </w:tcPr>
          <w:p w14:paraId="1E97E86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2</w:t>
            </w:r>
            <w:r>
              <w:rPr>
                <w:rFonts w:hint="eastAsia"/>
                <w:color w:val="auto"/>
              </w:rPr>
              <w:t>条</w:t>
            </w:r>
          </w:p>
        </w:tc>
        <w:tc>
          <w:tcPr>
            <w:tcW w:w="2704" w:type="dxa"/>
            <w:vAlign w:val="center"/>
          </w:tcPr>
          <w:p w14:paraId="3F114DF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s="Times New Roman"/>
                <w:bCs/>
                <w:kern w:val="0"/>
                <w:sz w:val="21"/>
                <w:szCs w:val="21"/>
              </w:rPr>
              <w:t>采用380/220V外接电源</w:t>
            </w:r>
          </w:p>
        </w:tc>
        <w:tc>
          <w:tcPr>
            <w:tcW w:w="740" w:type="dxa"/>
            <w:vAlign w:val="center"/>
          </w:tcPr>
          <w:p w14:paraId="693AB0B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29A112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52426FE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3</w:t>
            </w:r>
            <w:r>
              <w:rPr>
                <w:rFonts w:hint="default"/>
                <w:color w:val="auto"/>
              </w:rPr>
              <w:t>.</w:t>
            </w:r>
            <w:r>
              <w:rPr>
                <w:rFonts w:hint="eastAsia"/>
                <w:color w:val="auto"/>
              </w:rPr>
              <w:t>汽车加油加气加氢站的消防泵房、罩棚、营业室、</w:t>
            </w:r>
            <w:r>
              <w:rPr>
                <w:rFonts w:hint="eastAsia" w:ascii="Times New Roman" w:hAnsi="Times New Roman"/>
                <w:color w:val="auto"/>
              </w:rPr>
              <w:t>LPG</w:t>
            </w:r>
            <w:r>
              <w:rPr>
                <w:rFonts w:hint="eastAsia"/>
                <w:color w:val="auto"/>
              </w:rPr>
              <w:t>泵房、压缩机间等处均应设应急照明，连续供</w:t>
            </w:r>
            <w:r>
              <w:rPr>
                <w:rFonts w:hint="eastAsia"/>
                <w:color w:val="auto"/>
                <w:lang w:eastAsia="zh-CN"/>
              </w:rPr>
              <w:t>电时</w:t>
            </w:r>
            <w:r>
              <w:rPr>
                <w:rFonts w:hint="eastAsia"/>
                <w:color w:val="auto"/>
              </w:rPr>
              <w:t>间不应少于</w:t>
            </w:r>
            <w:r>
              <w:rPr>
                <w:rFonts w:hint="eastAsia" w:ascii="Times New Roman" w:hAnsi="Times New Roman"/>
                <w:color w:val="auto"/>
              </w:rPr>
              <w:t>90min</w:t>
            </w:r>
            <w:r>
              <w:rPr>
                <w:rFonts w:hint="eastAsia"/>
                <w:color w:val="auto"/>
              </w:rPr>
              <w:t>。</w:t>
            </w:r>
          </w:p>
        </w:tc>
        <w:tc>
          <w:tcPr>
            <w:tcW w:w="1529" w:type="dxa"/>
            <w:vAlign w:val="center"/>
          </w:tcPr>
          <w:p w14:paraId="79D90DB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3</w:t>
            </w:r>
            <w:r>
              <w:rPr>
                <w:rFonts w:hint="eastAsia"/>
                <w:color w:val="auto"/>
              </w:rPr>
              <w:t>条</w:t>
            </w:r>
          </w:p>
        </w:tc>
        <w:tc>
          <w:tcPr>
            <w:tcW w:w="2704" w:type="dxa"/>
            <w:vAlign w:val="center"/>
          </w:tcPr>
          <w:p w14:paraId="1357319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营业厅、</w:t>
            </w:r>
            <w:r>
              <w:rPr>
                <w:rFonts w:hint="eastAsia"/>
                <w:color w:val="auto"/>
                <w:lang w:eastAsia="zh-CN"/>
              </w:rPr>
              <w:t>配电间</w:t>
            </w:r>
            <w:r>
              <w:rPr>
                <w:rFonts w:hint="eastAsia"/>
                <w:color w:val="auto"/>
              </w:rPr>
              <w:t>、罩棚等均设有</w:t>
            </w:r>
            <w:r>
              <w:rPr>
                <w:rFonts w:hint="eastAsia"/>
                <w:color w:val="auto"/>
                <w:lang w:val="en-US" w:eastAsia="zh-CN"/>
              </w:rPr>
              <w:t>应急</w:t>
            </w:r>
            <w:r>
              <w:rPr>
                <w:rFonts w:hint="eastAsia"/>
                <w:color w:val="auto"/>
              </w:rPr>
              <w:t>照明。</w:t>
            </w:r>
          </w:p>
        </w:tc>
        <w:tc>
          <w:tcPr>
            <w:tcW w:w="740" w:type="dxa"/>
            <w:vAlign w:val="center"/>
          </w:tcPr>
          <w:p w14:paraId="75930E5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2C7455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281DAB9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4</w:t>
            </w:r>
            <w:r>
              <w:rPr>
                <w:rFonts w:hint="default"/>
                <w:color w:val="auto"/>
              </w:rPr>
              <w:t>.</w:t>
            </w:r>
            <w:r>
              <w:rPr>
                <w:rFonts w:hint="eastAsia"/>
                <w:color w:val="auto"/>
              </w:rPr>
              <w:t>当引用外源有困难时，汽车加油加气加氢站可设置小型内燃发电机组。内燃机的排烟管口应安装阻火器。排烟管口至各爆炸危险区域边界的水平距离，应符合下列规定：</w:t>
            </w:r>
          </w:p>
          <w:p w14:paraId="43BDA28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w:t>
            </w:r>
            <w:r>
              <w:rPr>
                <w:rFonts w:hint="eastAsia"/>
                <w:color w:val="auto"/>
              </w:rPr>
              <w:t>）排烟口高出地面</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以下时，不应小于</w:t>
            </w:r>
            <w:r>
              <w:rPr>
                <w:rFonts w:hint="eastAsia" w:ascii="Times New Roman" w:hAnsi="Times New Roman"/>
                <w:color w:val="auto"/>
              </w:rPr>
              <w:t>5m</w:t>
            </w:r>
            <w:r>
              <w:rPr>
                <w:rFonts w:hint="eastAsia"/>
                <w:color w:val="auto"/>
              </w:rPr>
              <w:t>；</w:t>
            </w:r>
          </w:p>
          <w:p w14:paraId="30026C7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w:t>
            </w:r>
            <w:r>
              <w:rPr>
                <w:rFonts w:hint="eastAsia"/>
                <w:color w:val="auto"/>
              </w:rPr>
              <w:t>）排烟口高出地面</w:t>
            </w:r>
            <w:r>
              <w:rPr>
                <w:rFonts w:hint="eastAsia" w:ascii="Times New Roman" w:hAnsi="Times New Roman"/>
                <w:color w:val="auto"/>
              </w:rPr>
              <w:t>4</w:t>
            </w:r>
            <w:r>
              <w:rPr>
                <w:rFonts w:hint="eastAsia"/>
                <w:color w:val="auto"/>
              </w:rPr>
              <w:t>.</w:t>
            </w:r>
            <w:r>
              <w:rPr>
                <w:rFonts w:hint="eastAsia" w:ascii="Times New Roman" w:hAnsi="Times New Roman"/>
                <w:color w:val="auto"/>
              </w:rPr>
              <w:t>5m</w:t>
            </w:r>
            <w:r>
              <w:rPr>
                <w:rFonts w:hint="eastAsia"/>
                <w:color w:val="auto"/>
              </w:rPr>
              <w:t>及以上时，不应小于</w:t>
            </w:r>
            <w:r>
              <w:rPr>
                <w:rFonts w:hint="eastAsia" w:ascii="Times New Roman" w:hAnsi="Times New Roman"/>
                <w:color w:val="auto"/>
              </w:rPr>
              <w:t>3m</w:t>
            </w:r>
            <w:r>
              <w:rPr>
                <w:rFonts w:hint="eastAsia"/>
                <w:color w:val="auto"/>
              </w:rPr>
              <w:t>。</w:t>
            </w:r>
          </w:p>
        </w:tc>
        <w:tc>
          <w:tcPr>
            <w:tcW w:w="1529" w:type="dxa"/>
            <w:vAlign w:val="center"/>
          </w:tcPr>
          <w:p w14:paraId="17E2350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4</w:t>
            </w:r>
            <w:r>
              <w:rPr>
                <w:rFonts w:hint="eastAsia"/>
                <w:color w:val="auto"/>
              </w:rPr>
              <w:t>条</w:t>
            </w:r>
          </w:p>
        </w:tc>
        <w:tc>
          <w:tcPr>
            <w:tcW w:w="2704" w:type="dxa"/>
            <w:vAlign w:val="center"/>
          </w:tcPr>
          <w:p w14:paraId="5711135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s="Times New Roman"/>
                <w:bCs/>
                <w:kern w:val="0"/>
                <w:sz w:val="21"/>
                <w:szCs w:val="21"/>
                <w:lang w:val="en-US" w:eastAsia="zh-CN"/>
              </w:rPr>
              <w:t>安全条件符合</w:t>
            </w:r>
          </w:p>
        </w:tc>
        <w:tc>
          <w:tcPr>
            <w:tcW w:w="740" w:type="dxa"/>
            <w:vAlign w:val="center"/>
          </w:tcPr>
          <w:p w14:paraId="4F92080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399083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6C73869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5</w:t>
            </w:r>
            <w:r>
              <w:rPr>
                <w:rFonts w:hint="default"/>
                <w:color w:val="auto"/>
              </w:rPr>
              <w:t>.</w:t>
            </w:r>
            <w:r>
              <w:rPr>
                <w:rFonts w:hint="eastAsia"/>
                <w:color w:val="auto"/>
              </w:rPr>
              <w:t>汽车加油加气加氢站的电缆宜采用直埋或电缆穿管敷设。电缆穿越行车道部分应穿钢管保护。</w:t>
            </w:r>
          </w:p>
        </w:tc>
        <w:tc>
          <w:tcPr>
            <w:tcW w:w="1529" w:type="dxa"/>
            <w:vAlign w:val="center"/>
          </w:tcPr>
          <w:p w14:paraId="641FA74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5</w:t>
            </w:r>
            <w:r>
              <w:rPr>
                <w:rFonts w:hint="eastAsia"/>
                <w:color w:val="auto"/>
              </w:rPr>
              <w:t>条</w:t>
            </w:r>
          </w:p>
        </w:tc>
        <w:tc>
          <w:tcPr>
            <w:tcW w:w="2704" w:type="dxa"/>
            <w:vAlign w:val="center"/>
          </w:tcPr>
          <w:p w14:paraId="46A8EEE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加油站内电缆采取直埋敷设，穿越行车道部分穿钢管保护。</w:t>
            </w:r>
          </w:p>
        </w:tc>
        <w:tc>
          <w:tcPr>
            <w:tcW w:w="740" w:type="dxa"/>
            <w:vAlign w:val="center"/>
          </w:tcPr>
          <w:p w14:paraId="584177F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1DBF4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8CD7C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spacing w:val="-6"/>
                <w:sz w:val="21"/>
              </w:rPr>
              <w:t>6</w:t>
            </w:r>
            <w:r>
              <w:rPr>
                <w:rFonts w:hint="default"/>
                <w:color w:val="auto"/>
                <w:spacing w:val="-6"/>
                <w:sz w:val="21"/>
              </w:rPr>
              <w:t>.</w:t>
            </w:r>
            <w:r>
              <w:rPr>
                <w:rFonts w:hint="eastAsia"/>
                <w:color w:val="auto"/>
                <w:spacing w:val="-6"/>
                <w:sz w:val="21"/>
              </w:rPr>
              <w:t>当采用电缆沟敷设电缆时，作业区内的电缆沟内必须充沙填实。电缆不得与氢气、油品、</w:t>
            </w:r>
            <w:r>
              <w:rPr>
                <w:rFonts w:hint="eastAsia" w:ascii="Times New Roman" w:hAnsi="Times New Roman"/>
                <w:color w:val="auto"/>
                <w:spacing w:val="-6"/>
                <w:sz w:val="21"/>
              </w:rPr>
              <w:t>LPG</w:t>
            </w:r>
            <w:r>
              <w:rPr>
                <w:rFonts w:hint="eastAsia"/>
                <w:color w:val="auto"/>
                <w:spacing w:val="-6"/>
                <w:sz w:val="21"/>
              </w:rPr>
              <w:t>、</w:t>
            </w:r>
            <w:r>
              <w:rPr>
                <w:rFonts w:hint="eastAsia" w:ascii="Times New Roman" w:hAnsi="Times New Roman"/>
                <w:color w:val="auto"/>
                <w:spacing w:val="-6"/>
                <w:sz w:val="21"/>
              </w:rPr>
              <w:t>LNG</w:t>
            </w:r>
            <w:r>
              <w:rPr>
                <w:rFonts w:hint="eastAsia"/>
                <w:color w:val="auto"/>
                <w:spacing w:val="-6"/>
                <w:sz w:val="21"/>
              </w:rPr>
              <w:t>和</w:t>
            </w:r>
            <w:r>
              <w:rPr>
                <w:rFonts w:hint="eastAsia" w:ascii="Times New Roman" w:hAnsi="Times New Roman"/>
                <w:color w:val="auto"/>
                <w:spacing w:val="-6"/>
                <w:sz w:val="21"/>
              </w:rPr>
              <w:t>CNG</w:t>
            </w:r>
            <w:r>
              <w:rPr>
                <w:rFonts w:hint="eastAsia"/>
                <w:color w:val="auto"/>
                <w:spacing w:val="-6"/>
                <w:sz w:val="21"/>
              </w:rPr>
              <w:t>管道以及热力管道敷设在同一沟内。</w:t>
            </w:r>
          </w:p>
        </w:tc>
        <w:tc>
          <w:tcPr>
            <w:tcW w:w="1529" w:type="dxa"/>
            <w:vAlign w:val="center"/>
          </w:tcPr>
          <w:p w14:paraId="4E1654F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6</w:t>
            </w:r>
            <w:r>
              <w:rPr>
                <w:rFonts w:hint="eastAsia"/>
                <w:color w:val="auto"/>
              </w:rPr>
              <w:t>条</w:t>
            </w:r>
          </w:p>
        </w:tc>
        <w:tc>
          <w:tcPr>
            <w:tcW w:w="2704" w:type="dxa"/>
            <w:vAlign w:val="center"/>
          </w:tcPr>
          <w:p w14:paraId="6629572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加油作业区内的电缆充沙填实。电缆没有与油品管道敷设在同一沟内。</w:t>
            </w:r>
          </w:p>
        </w:tc>
        <w:tc>
          <w:tcPr>
            <w:tcW w:w="740" w:type="dxa"/>
            <w:vAlign w:val="center"/>
          </w:tcPr>
          <w:p w14:paraId="408981A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2A1C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528C5A2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7</w:t>
            </w:r>
            <w:r>
              <w:rPr>
                <w:rFonts w:hint="default"/>
                <w:color w:val="auto"/>
              </w:rPr>
              <w:t>.</w:t>
            </w:r>
            <w:r>
              <w:rPr>
                <w:rFonts w:hint="eastAsia"/>
                <w:color w:val="auto"/>
              </w:rPr>
              <w:t>爆炸危险区域内的电气设备选型安装、电力线路敷设等，应符合现行国家标准《爆炸危险环境电力装置设计规范》</w:t>
            </w:r>
            <w:r>
              <w:rPr>
                <w:rFonts w:hint="default" w:ascii="Times New Roman" w:hAnsi="Times New Roman"/>
                <w:color w:val="auto"/>
              </w:rPr>
              <w:t>GB50058</w:t>
            </w:r>
            <w:r>
              <w:rPr>
                <w:rFonts w:hint="eastAsia"/>
                <w:color w:val="auto"/>
              </w:rPr>
              <w:t>的规定。</w:t>
            </w:r>
          </w:p>
        </w:tc>
        <w:tc>
          <w:tcPr>
            <w:tcW w:w="1529" w:type="dxa"/>
            <w:vAlign w:val="center"/>
          </w:tcPr>
          <w:p w14:paraId="0199619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7</w:t>
            </w:r>
            <w:r>
              <w:rPr>
                <w:rFonts w:hint="eastAsia"/>
                <w:color w:val="auto"/>
              </w:rPr>
              <w:t>条</w:t>
            </w:r>
          </w:p>
        </w:tc>
        <w:tc>
          <w:tcPr>
            <w:tcW w:w="2704" w:type="dxa"/>
            <w:vAlign w:val="center"/>
          </w:tcPr>
          <w:p w14:paraId="49C8C6F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选型符合国家标准。</w:t>
            </w:r>
          </w:p>
        </w:tc>
        <w:tc>
          <w:tcPr>
            <w:tcW w:w="740" w:type="dxa"/>
            <w:vAlign w:val="center"/>
          </w:tcPr>
          <w:p w14:paraId="17A488B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F5E7E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325CD1B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8</w:t>
            </w:r>
            <w:r>
              <w:rPr>
                <w:rFonts w:hint="default"/>
                <w:color w:val="auto"/>
              </w:rPr>
              <w:t>.</w:t>
            </w:r>
            <w:r>
              <w:rPr>
                <w:rFonts w:hint="eastAsia"/>
                <w:color w:val="auto"/>
              </w:rPr>
              <w:t>汽车加油加气加氢站内爆炸危险区域以外的照明灯具可选用非防爆型。罩棚下处于非爆炸危险区域的灯具应选用防护等级不低于</w:t>
            </w:r>
            <w:r>
              <w:rPr>
                <w:rFonts w:hint="eastAsia" w:ascii="Times New Roman" w:hAnsi="Times New Roman"/>
                <w:color w:val="auto"/>
              </w:rPr>
              <w:t>IP44</w:t>
            </w:r>
            <w:r>
              <w:rPr>
                <w:rFonts w:hint="eastAsia"/>
                <w:color w:val="auto"/>
              </w:rPr>
              <w:t>级的照明灯具。</w:t>
            </w:r>
          </w:p>
        </w:tc>
        <w:tc>
          <w:tcPr>
            <w:tcW w:w="1529" w:type="dxa"/>
            <w:vAlign w:val="center"/>
          </w:tcPr>
          <w:p w14:paraId="174B77F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1</w:t>
            </w:r>
            <w:r>
              <w:rPr>
                <w:rFonts w:hint="default"/>
                <w:color w:val="auto"/>
              </w:rPr>
              <w:t>.</w:t>
            </w:r>
            <w:r>
              <w:rPr>
                <w:rFonts w:hint="default" w:ascii="Times New Roman" w:hAnsi="Times New Roman"/>
                <w:color w:val="auto"/>
              </w:rPr>
              <w:t>8</w:t>
            </w:r>
            <w:r>
              <w:rPr>
                <w:rFonts w:hint="eastAsia"/>
                <w:color w:val="auto"/>
              </w:rPr>
              <w:t>条</w:t>
            </w:r>
          </w:p>
        </w:tc>
        <w:tc>
          <w:tcPr>
            <w:tcW w:w="2704" w:type="dxa"/>
            <w:vAlign w:val="center"/>
          </w:tcPr>
          <w:p w14:paraId="373E558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加油罩棚处于非爆炸危险区域的灯具，选用防护等级不低于</w:t>
            </w:r>
            <w:r>
              <w:rPr>
                <w:rFonts w:hint="default" w:ascii="Times New Roman" w:hAnsi="Times New Roman"/>
                <w:color w:val="auto"/>
              </w:rPr>
              <w:t>IP44</w:t>
            </w:r>
            <w:r>
              <w:rPr>
                <w:rFonts w:hint="eastAsia"/>
                <w:color w:val="auto"/>
              </w:rPr>
              <w:t>级的照明灯具。</w:t>
            </w:r>
          </w:p>
        </w:tc>
        <w:tc>
          <w:tcPr>
            <w:tcW w:w="740" w:type="dxa"/>
            <w:vAlign w:val="center"/>
          </w:tcPr>
          <w:p w14:paraId="1BA7C23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388121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884CAC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9</w:t>
            </w:r>
            <w:r>
              <w:rPr>
                <w:rFonts w:hint="default"/>
                <w:color w:val="auto"/>
              </w:rPr>
              <w:t>.</w:t>
            </w:r>
            <w:r>
              <w:rPr>
                <w:rFonts w:hint="eastAsia"/>
                <w:color w:val="auto"/>
              </w:rPr>
              <w:t>钢制油罐、</w:t>
            </w:r>
            <w:r>
              <w:rPr>
                <w:rFonts w:hint="eastAsia" w:ascii="Times New Roman" w:hAnsi="Times New Roman"/>
                <w:color w:val="auto"/>
              </w:rPr>
              <w:t>LPG</w:t>
            </w:r>
            <w:r>
              <w:rPr>
                <w:rFonts w:hint="eastAsia"/>
                <w:color w:val="auto"/>
              </w:rPr>
              <w:t>储罐、</w:t>
            </w:r>
            <w:r>
              <w:rPr>
                <w:rFonts w:hint="eastAsia" w:ascii="Times New Roman" w:hAnsi="Times New Roman"/>
                <w:color w:val="auto"/>
              </w:rPr>
              <w:t>LNG</w:t>
            </w:r>
            <w:r>
              <w:rPr>
                <w:rFonts w:hint="eastAsia"/>
                <w:color w:val="auto"/>
              </w:rPr>
              <w:t>储罐、</w:t>
            </w:r>
            <w:r>
              <w:rPr>
                <w:rFonts w:hint="eastAsia" w:ascii="Times New Roman" w:hAnsi="Times New Roman"/>
                <w:color w:val="auto"/>
              </w:rPr>
              <w:t>CNG</w:t>
            </w:r>
            <w:r>
              <w:rPr>
                <w:rFonts w:hint="eastAsia"/>
                <w:color w:val="auto"/>
              </w:rPr>
              <w:t>储气瓶（组）、储氢容器和液氢储罐必须进行防雷接地，接地点不应少于两处。</w:t>
            </w:r>
          </w:p>
        </w:tc>
        <w:tc>
          <w:tcPr>
            <w:tcW w:w="1529" w:type="dxa"/>
            <w:vAlign w:val="center"/>
          </w:tcPr>
          <w:p w14:paraId="2DE2051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w:t>
            </w:r>
            <w:r>
              <w:rPr>
                <w:rFonts w:hint="eastAsia"/>
                <w:color w:val="auto"/>
              </w:rPr>
              <w:t>条</w:t>
            </w:r>
          </w:p>
        </w:tc>
        <w:tc>
          <w:tcPr>
            <w:tcW w:w="2704" w:type="dxa"/>
            <w:vAlign w:val="center"/>
          </w:tcPr>
          <w:p w14:paraId="2C405F8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油罐进行防雷接地，</w:t>
            </w:r>
            <w:bookmarkStart w:id="733" w:name="OLE_LINK125"/>
            <w:bookmarkStart w:id="734" w:name="OLE_LINK126"/>
            <w:r>
              <w:rPr>
                <w:rFonts w:hint="eastAsia"/>
                <w:color w:val="auto"/>
              </w:rPr>
              <w:t>防雷设施定期检测合格</w:t>
            </w:r>
            <w:bookmarkEnd w:id="733"/>
            <w:bookmarkEnd w:id="734"/>
            <w:r>
              <w:rPr>
                <w:rFonts w:hint="eastAsia"/>
                <w:color w:val="auto"/>
              </w:rPr>
              <w:t>。</w:t>
            </w:r>
          </w:p>
        </w:tc>
        <w:tc>
          <w:tcPr>
            <w:tcW w:w="740" w:type="dxa"/>
            <w:vAlign w:val="center"/>
          </w:tcPr>
          <w:p w14:paraId="3517039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395AE7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573DDB5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10</w:t>
            </w:r>
            <w:r>
              <w:rPr>
                <w:rFonts w:hint="default"/>
                <w:color w:val="auto"/>
              </w:rPr>
              <w:t>.</w:t>
            </w:r>
            <w:r>
              <w:rPr>
                <w:rFonts w:hint="eastAsia"/>
                <w:color w:val="auto"/>
              </w:rPr>
              <w:t>汽车加油加气加氢站的防雷接地、防静电接地、电气设备的工作接地、保护接地及信息系统的接地等宜共用接地装置，接地电阻不应大于</w:t>
            </w:r>
            <w:r>
              <w:rPr>
                <w:rFonts w:hint="eastAsia" w:ascii="Times New Roman" w:hAnsi="Times New Roman"/>
                <w:color w:val="auto"/>
              </w:rPr>
              <w:t>4</w:t>
            </w:r>
            <w:r>
              <w:rPr>
                <w:rFonts w:hint="eastAsia"/>
                <w:color w:val="auto"/>
              </w:rPr>
              <w:t>Ω。</w:t>
            </w:r>
          </w:p>
        </w:tc>
        <w:tc>
          <w:tcPr>
            <w:tcW w:w="1529" w:type="dxa"/>
            <w:vAlign w:val="center"/>
          </w:tcPr>
          <w:p w14:paraId="448CEE1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2</w:t>
            </w:r>
            <w:r>
              <w:rPr>
                <w:rFonts w:hint="eastAsia"/>
                <w:color w:val="auto"/>
              </w:rPr>
              <w:t>条</w:t>
            </w:r>
          </w:p>
        </w:tc>
        <w:tc>
          <w:tcPr>
            <w:tcW w:w="2704" w:type="dxa"/>
            <w:vAlign w:val="center"/>
          </w:tcPr>
          <w:p w14:paraId="2545BDA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防雷设施定期检测合格。</w:t>
            </w:r>
          </w:p>
        </w:tc>
        <w:tc>
          <w:tcPr>
            <w:tcW w:w="740" w:type="dxa"/>
            <w:vAlign w:val="center"/>
          </w:tcPr>
          <w:p w14:paraId="69BE46A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95C3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3EB8119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11</w:t>
            </w:r>
            <w:r>
              <w:rPr>
                <w:rFonts w:hint="default"/>
                <w:color w:val="auto"/>
              </w:rPr>
              <w:t>.</w:t>
            </w:r>
            <w:r>
              <w:rPr>
                <w:rFonts w:hint="eastAsia"/>
                <w:color w:val="auto"/>
              </w:rPr>
              <w:t>埋地钢制油罐、埋地</w:t>
            </w:r>
            <w:r>
              <w:rPr>
                <w:rFonts w:hint="eastAsia" w:ascii="Times New Roman" w:hAnsi="Times New Roman"/>
                <w:color w:val="auto"/>
              </w:rPr>
              <w:t>LPG</w:t>
            </w:r>
            <w:r>
              <w:rPr>
                <w:rFonts w:hint="eastAsia"/>
                <w:color w:val="auto"/>
              </w:rPr>
              <w:t>储罐以及非金属油罐顶部的金属部件和罐内的各金属部件，必须与非埋地部分的工艺金属管道相互做电气连接并接地。</w:t>
            </w:r>
          </w:p>
        </w:tc>
        <w:tc>
          <w:tcPr>
            <w:tcW w:w="1529" w:type="dxa"/>
            <w:vAlign w:val="center"/>
          </w:tcPr>
          <w:p w14:paraId="59FD1D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4</w:t>
            </w:r>
            <w:r>
              <w:rPr>
                <w:rFonts w:hint="eastAsia"/>
                <w:color w:val="auto"/>
              </w:rPr>
              <w:t>条</w:t>
            </w:r>
          </w:p>
        </w:tc>
        <w:tc>
          <w:tcPr>
            <w:tcW w:w="2704" w:type="dxa"/>
            <w:vAlign w:val="center"/>
          </w:tcPr>
          <w:p w14:paraId="1EBDBB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埋地油罐与非埋地部分的工艺管道相互做电气连接并接地。</w:t>
            </w:r>
          </w:p>
        </w:tc>
        <w:tc>
          <w:tcPr>
            <w:tcW w:w="740" w:type="dxa"/>
            <w:vAlign w:val="center"/>
          </w:tcPr>
          <w:p w14:paraId="69ACD9B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24CA24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669D1C3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12</w:t>
            </w:r>
            <w:r>
              <w:rPr>
                <w:rFonts w:hint="default"/>
                <w:color w:val="auto"/>
              </w:rPr>
              <w:t>.</w:t>
            </w:r>
            <w:r>
              <w:rPr>
                <w:rFonts w:hint="eastAsia"/>
                <w:color w:val="auto"/>
              </w:rPr>
              <w:t>汽车加油加气加氢站内油气放空管在接入全站共用接地装置后，可不单独做防雷接地。</w:t>
            </w:r>
          </w:p>
        </w:tc>
        <w:tc>
          <w:tcPr>
            <w:tcW w:w="1529" w:type="dxa"/>
            <w:vAlign w:val="center"/>
          </w:tcPr>
          <w:p w14:paraId="735E7B2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5</w:t>
            </w:r>
            <w:r>
              <w:rPr>
                <w:rFonts w:hint="eastAsia"/>
                <w:color w:val="auto"/>
              </w:rPr>
              <w:t>条</w:t>
            </w:r>
          </w:p>
        </w:tc>
        <w:tc>
          <w:tcPr>
            <w:tcW w:w="2704" w:type="dxa"/>
            <w:vAlign w:val="center"/>
          </w:tcPr>
          <w:p w14:paraId="1176610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加油站油气放散管接入全站共用接地装置。</w:t>
            </w:r>
          </w:p>
        </w:tc>
        <w:tc>
          <w:tcPr>
            <w:tcW w:w="740" w:type="dxa"/>
            <w:vAlign w:val="center"/>
          </w:tcPr>
          <w:p w14:paraId="236226C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27EA7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68B23FA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13</w:t>
            </w:r>
            <w:r>
              <w:rPr>
                <w:rFonts w:hint="default"/>
                <w:color w:val="auto"/>
              </w:rPr>
              <w:t>.</w:t>
            </w:r>
            <w:r>
              <w:rPr>
                <w:rFonts w:hint="eastAsia"/>
                <w:color w:val="auto"/>
              </w:rPr>
              <w:t>当汽车加油加气加氢站内的站房和罩棚等建筑物需要防直击雷时，应采用接闪带（网）保护。当罩棚采用金属屋面时，宜利用屋面作为接闪器，但应符合下列规定：</w:t>
            </w:r>
          </w:p>
          <w:p w14:paraId="4F002E4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w:t>
            </w:r>
            <w:r>
              <w:rPr>
                <w:rFonts w:hint="eastAsia"/>
                <w:color w:val="auto"/>
              </w:rPr>
              <w:t>）板间的连接应是持久的电气贯通，可采用铜锌合金焊、熔焊、卷边压接、缝接、螺钉或螺栓连接；</w:t>
            </w:r>
          </w:p>
          <w:p w14:paraId="69DA11C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w:t>
            </w:r>
            <w:r>
              <w:rPr>
                <w:rFonts w:hint="eastAsia"/>
                <w:color w:val="auto"/>
              </w:rPr>
              <w:t>）金属板下面不应有易燃物品，热镀锌钢板的厚度不应小于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5mm</w:t>
            </w:r>
            <w:r>
              <w:rPr>
                <w:rFonts w:hint="eastAsia"/>
                <w:color w:val="auto"/>
              </w:rPr>
              <w:t>，铝板的厚度不应小于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65mm</w:t>
            </w:r>
            <w:r>
              <w:rPr>
                <w:rFonts w:hint="eastAsia"/>
                <w:color w:val="auto"/>
              </w:rPr>
              <w:t>，锌板的厚度不应小于</w:t>
            </w:r>
            <w:r>
              <w:rPr>
                <w:rFonts w:hint="eastAsia" w:ascii="Times New Roman" w:hAnsi="Times New Roman"/>
                <w:color w:val="auto"/>
              </w:rPr>
              <w:t>0</w:t>
            </w:r>
            <w:r>
              <w:rPr>
                <w:rFonts w:hint="eastAsia"/>
                <w:color w:val="auto"/>
              </w:rPr>
              <w:t>.</w:t>
            </w:r>
            <w:r>
              <w:rPr>
                <w:rFonts w:hint="eastAsia" w:ascii="Times New Roman" w:hAnsi="Times New Roman"/>
                <w:color w:val="auto"/>
              </w:rPr>
              <w:t>7mm</w:t>
            </w:r>
            <w:r>
              <w:rPr>
                <w:rFonts w:hint="eastAsia"/>
                <w:color w:val="auto"/>
              </w:rPr>
              <w:t>；</w:t>
            </w:r>
          </w:p>
          <w:p w14:paraId="0D179AB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3</w:t>
            </w:r>
            <w:r>
              <w:rPr>
                <w:rFonts w:hint="eastAsia"/>
                <w:color w:val="auto"/>
              </w:rPr>
              <w:t>）金属板应无绝缘被覆层。</w:t>
            </w:r>
          </w:p>
        </w:tc>
        <w:tc>
          <w:tcPr>
            <w:tcW w:w="1529" w:type="dxa"/>
            <w:vAlign w:val="center"/>
          </w:tcPr>
          <w:p w14:paraId="75DC370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6</w:t>
            </w:r>
            <w:r>
              <w:rPr>
                <w:rFonts w:hint="eastAsia"/>
                <w:color w:val="auto"/>
              </w:rPr>
              <w:t>条</w:t>
            </w:r>
          </w:p>
        </w:tc>
        <w:tc>
          <w:tcPr>
            <w:tcW w:w="2704" w:type="dxa"/>
            <w:vAlign w:val="center"/>
          </w:tcPr>
          <w:p w14:paraId="6143FE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lang w:val="en-US" w:eastAsia="zh-CN"/>
              </w:rPr>
              <w:t>站房设</w:t>
            </w:r>
            <w:r>
              <w:rPr>
                <w:rFonts w:hint="eastAsia"/>
                <w:color w:val="auto"/>
              </w:rPr>
              <w:t>有接闪带保护措施</w:t>
            </w:r>
            <w:r>
              <w:rPr>
                <w:rFonts w:hint="eastAsia"/>
                <w:color w:val="auto"/>
                <w:lang w:eastAsia="zh-CN"/>
              </w:rPr>
              <w:t>，</w:t>
            </w:r>
            <w:r>
              <w:rPr>
                <w:rFonts w:hint="eastAsia"/>
                <w:color w:val="auto"/>
                <w:lang w:val="en-US" w:eastAsia="zh-CN"/>
              </w:rPr>
              <w:t>罩棚利用金属罩棚作为接闪带，详见防雷检测报告</w:t>
            </w:r>
            <w:r>
              <w:rPr>
                <w:rFonts w:hint="eastAsia"/>
                <w:color w:val="auto"/>
              </w:rPr>
              <w:t>。</w:t>
            </w:r>
          </w:p>
        </w:tc>
        <w:tc>
          <w:tcPr>
            <w:tcW w:w="740" w:type="dxa"/>
            <w:vAlign w:val="center"/>
          </w:tcPr>
          <w:p w14:paraId="477BC27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76C731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33C600F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14</w:t>
            </w:r>
            <w:r>
              <w:rPr>
                <w:rFonts w:hint="default"/>
                <w:color w:val="auto"/>
              </w:rPr>
              <w:t>.</w:t>
            </w:r>
            <w:r>
              <w:rPr>
                <w:rFonts w:hint="eastAsia"/>
                <w:color w:val="auto"/>
              </w:rPr>
              <w:t>汽车加油加气加氢站的信息系统应采用铠装电缆或导线穿钢管配线。配线电缆铠装金属层两端、保护钢管两端均应接地。</w:t>
            </w:r>
          </w:p>
        </w:tc>
        <w:tc>
          <w:tcPr>
            <w:tcW w:w="1529" w:type="dxa"/>
            <w:vAlign w:val="center"/>
          </w:tcPr>
          <w:p w14:paraId="28EE29E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11</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7</w:t>
            </w:r>
            <w:r>
              <w:rPr>
                <w:rFonts w:hint="eastAsia"/>
                <w:color w:val="auto"/>
              </w:rPr>
              <w:t>条</w:t>
            </w:r>
          </w:p>
        </w:tc>
        <w:tc>
          <w:tcPr>
            <w:tcW w:w="2704" w:type="dxa"/>
            <w:vAlign w:val="center"/>
          </w:tcPr>
          <w:p w14:paraId="6A27B5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加油站的信息系统采用导线穿钢管配线。</w:t>
            </w:r>
            <w:r>
              <w:rPr>
                <w:rFonts w:hint="eastAsia" w:ascii="宋体" w:hAnsi="宋体" w:cs="宋体"/>
                <w:color w:val="auto"/>
              </w:rPr>
              <w:t>加油机盖板和壳体进行了等电位跨接。</w:t>
            </w:r>
          </w:p>
        </w:tc>
        <w:tc>
          <w:tcPr>
            <w:tcW w:w="740" w:type="dxa"/>
            <w:vAlign w:val="center"/>
          </w:tcPr>
          <w:p w14:paraId="4B81529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498008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FE8471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15</w:t>
            </w:r>
            <w:r>
              <w:rPr>
                <w:rFonts w:hint="default"/>
                <w:color w:val="auto"/>
              </w:rPr>
              <w:t>.</w:t>
            </w:r>
            <w:r>
              <w:rPr>
                <w:rFonts w:hint="eastAsia"/>
                <w:color w:val="auto"/>
              </w:rPr>
              <w:t>汽车加油加气加氢站信息系统的配电线路首、末端与电子器件连接时，应装设与电子器件耐压水平相适应的过电压（电涌）保护器。</w:t>
            </w:r>
          </w:p>
        </w:tc>
        <w:tc>
          <w:tcPr>
            <w:tcW w:w="1529" w:type="dxa"/>
            <w:vAlign w:val="center"/>
          </w:tcPr>
          <w:p w14:paraId="07B9866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8</w:t>
            </w:r>
            <w:r>
              <w:rPr>
                <w:rFonts w:hint="eastAsia"/>
                <w:color w:val="auto"/>
              </w:rPr>
              <w:t>条</w:t>
            </w:r>
          </w:p>
        </w:tc>
        <w:tc>
          <w:tcPr>
            <w:tcW w:w="2704" w:type="dxa"/>
            <w:vAlign w:val="center"/>
          </w:tcPr>
          <w:p w14:paraId="5A7B1BC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eastAsia="宋体"/>
                <w:color w:val="auto"/>
                <w:lang w:val="en-US" w:eastAsia="zh-CN"/>
              </w:rPr>
            </w:pPr>
            <w:r>
              <w:rPr>
                <w:rFonts w:hint="eastAsia"/>
                <w:color w:val="auto"/>
                <w:lang w:val="en-US" w:eastAsia="zh-CN"/>
              </w:rPr>
              <w:t>符合要求</w:t>
            </w:r>
          </w:p>
        </w:tc>
        <w:tc>
          <w:tcPr>
            <w:tcW w:w="740" w:type="dxa"/>
            <w:vAlign w:val="center"/>
          </w:tcPr>
          <w:p w14:paraId="3C55A12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245C28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0C16DAD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16</w:t>
            </w:r>
            <w:r>
              <w:rPr>
                <w:rFonts w:hint="default"/>
                <w:color w:val="auto"/>
              </w:rPr>
              <w:t>.</w:t>
            </w:r>
            <w:r>
              <w:rPr>
                <w:rFonts w:hint="eastAsia" w:ascii="Times New Roman" w:hAnsi="Times New Roman"/>
                <w:color w:val="auto"/>
              </w:rPr>
              <w:t>380</w:t>
            </w:r>
            <w:r>
              <w:rPr>
                <w:rFonts w:hint="eastAsia"/>
                <w:color w:val="auto"/>
              </w:rPr>
              <w:t>/</w:t>
            </w:r>
            <w:r>
              <w:rPr>
                <w:rFonts w:hint="eastAsia" w:ascii="Times New Roman" w:hAnsi="Times New Roman"/>
                <w:color w:val="auto"/>
              </w:rPr>
              <w:t>220V</w:t>
            </w:r>
            <w:r>
              <w:rPr>
                <w:rFonts w:hint="eastAsia"/>
                <w:color w:val="auto"/>
              </w:rPr>
              <w:t>供配电系统宜采用</w:t>
            </w:r>
            <w:r>
              <w:rPr>
                <w:rFonts w:hint="eastAsia" w:ascii="Times New Roman" w:hAnsi="Times New Roman"/>
                <w:color w:val="auto"/>
              </w:rPr>
              <w:t>TN</w:t>
            </w:r>
            <w:r>
              <w:rPr>
                <w:rFonts w:hint="eastAsia"/>
                <w:color w:val="auto"/>
              </w:rPr>
              <w:t>-</w:t>
            </w:r>
            <w:r>
              <w:rPr>
                <w:rFonts w:hint="eastAsia" w:ascii="Times New Roman" w:hAnsi="Times New Roman"/>
                <w:color w:val="auto"/>
              </w:rPr>
              <w:t>S</w:t>
            </w:r>
            <w:r>
              <w:rPr>
                <w:rFonts w:hint="eastAsia"/>
                <w:color w:val="auto"/>
              </w:rPr>
              <w:t>系统，当外供电源为</w:t>
            </w:r>
            <w:r>
              <w:rPr>
                <w:rFonts w:hint="eastAsia" w:ascii="Times New Roman" w:hAnsi="Times New Roman"/>
                <w:color w:val="auto"/>
              </w:rPr>
              <w:t>380V</w:t>
            </w:r>
            <w:r>
              <w:rPr>
                <w:rFonts w:hint="eastAsia"/>
                <w:color w:val="auto"/>
              </w:rPr>
              <w:t>时，可采用</w:t>
            </w:r>
            <w:r>
              <w:rPr>
                <w:rFonts w:hint="eastAsia" w:ascii="Times New Roman" w:hAnsi="Times New Roman"/>
                <w:color w:val="auto"/>
              </w:rPr>
              <w:t>TN</w:t>
            </w:r>
            <w:r>
              <w:rPr>
                <w:rFonts w:hint="eastAsia"/>
                <w:color w:val="auto"/>
              </w:rPr>
              <w:t>-</w:t>
            </w:r>
            <w:r>
              <w:rPr>
                <w:rFonts w:hint="eastAsia" w:ascii="Times New Roman" w:hAnsi="Times New Roman"/>
                <w:color w:val="auto"/>
              </w:rPr>
              <w:t>C</w:t>
            </w:r>
            <w:r>
              <w:rPr>
                <w:rFonts w:hint="eastAsia"/>
                <w:color w:val="auto"/>
              </w:rPr>
              <w:t>-</w:t>
            </w:r>
            <w:r>
              <w:rPr>
                <w:rFonts w:hint="eastAsia" w:ascii="Times New Roman" w:hAnsi="Times New Roman"/>
                <w:color w:val="auto"/>
              </w:rPr>
              <w:t>S</w:t>
            </w:r>
            <w:r>
              <w:rPr>
                <w:rFonts w:hint="eastAsia"/>
                <w:color w:val="auto"/>
              </w:rPr>
              <w:t>系统。供电系统的电缆金属外皮或电缆金属保护管两端均应接地，在供配电系统的电源端应安装与设备耐压水平相适应的过电压（电涌）保护器。</w:t>
            </w:r>
          </w:p>
        </w:tc>
        <w:tc>
          <w:tcPr>
            <w:tcW w:w="1529" w:type="dxa"/>
            <w:vAlign w:val="center"/>
          </w:tcPr>
          <w:p w14:paraId="1856ECF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9</w:t>
            </w:r>
            <w:r>
              <w:rPr>
                <w:rFonts w:hint="eastAsia"/>
                <w:color w:val="auto"/>
              </w:rPr>
              <w:t>条</w:t>
            </w:r>
          </w:p>
        </w:tc>
        <w:tc>
          <w:tcPr>
            <w:tcW w:w="2704" w:type="dxa"/>
            <w:vAlign w:val="center"/>
          </w:tcPr>
          <w:p w14:paraId="4290DA6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s="Times New Roman"/>
                <w:bCs/>
                <w:kern w:val="0"/>
                <w:sz w:val="21"/>
                <w:szCs w:val="21"/>
              </w:rPr>
              <w:t>采用过电压（电）保护器</w:t>
            </w:r>
            <w:r>
              <w:rPr>
                <w:rFonts w:hint="eastAsia"/>
                <w:color w:val="auto"/>
              </w:rPr>
              <w:t>。</w:t>
            </w:r>
          </w:p>
        </w:tc>
        <w:tc>
          <w:tcPr>
            <w:tcW w:w="740" w:type="dxa"/>
            <w:vAlign w:val="center"/>
          </w:tcPr>
          <w:p w14:paraId="36E0AE1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47F77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1A8DA3D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17</w:t>
            </w:r>
            <w:r>
              <w:rPr>
                <w:rFonts w:hint="default"/>
                <w:color w:val="auto"/>
              </w:rPr>
              <w:t>.</w:t>
            </w:r>
            <w:r>
              <w:rPr>
                <w:rFonts w:hint="eastAsia"/>
                <w:color w:val="auto"/>
              </w:rPr>
              <w:t>地上或管沟敷设的油品管道、</w:t>
            </w:r>
            <w:r>
              <w:rPr>
                <w:rFonts w:hint="eastAsia" w:ascii="Times New Roman" w:hAnsi="Times New Roman"/>
                <w:color w:val="auto"/>
              </w:rPr>
              <w:t>LPG</w:t>
            </w:r>
            <w:r>
              <w:rPr>
                <w:rFonts w:hint="eastAsia"/>
                <w:color w:val="auto"/>
              </w:rPr>
              <w:t>管道、</w:t>
            </w:r>
            <w:r>
              <w:rPr>
                <w:rFonts w:hint="eastAsia" w:ascii="Times New Roman" w:hAnsi="Times New Roman"/>
                <w:color w:val="auto"/>
              </w:rPr>
              <w:t>LNG</w:t>
            </w:r>
            <w:r>
              <w:rPr>
                <w:rFonts w:hint="eastAsia"/>
                <w:color w:val="auto"/>
              </w:rPr>
              <w:t>管道、</w:t>
            </w:r>
            <w:r>
              <w:rPr>
                <w:rFonts w:hint="eastAsia" w:ascii="Times New Roman" w:hAnsi="Times New Roman"/>
                <w:color w:val="auto"/>
              </w:rPr>
              <w:t>CNG</w:t>
            </w:r>
            <w:r>
              <w:rPr>
                <w:rFonts w:hint="eastAsia"/>
                <w:color w:val="auto"/>
              </w:rPr>
              <w:t>管道、氢气管道和液氢管道应设防静电和防感应雷的共用接地装置，接地电阻不应大于</w:t>
            </w:r>
            <w:r>
              <w:rPr>
                <w:rFonts w:hint="eastAsia" w:ascii="Times New Roman" w:hAnsi="Times New Roman"/>
                <w:color w:val="auto"/>
              </w:rPr>
              <w:t>30</w:t>
            </w:r>
            <w:r>
              <w:rPr>
                <w:rFonts w:hint="eastAsia"/>
                <w:color w:val="auto"/>
              </w:rPr>
              <w:t>Ω。</w:t>
            </w:r>
          </w:p>
        </w:tc>
        <w:tc>
          <w:tcPr>
            <w:tcW w:w="1529" w:type="dxa"/>
            <w:vAlign w:val="center"/>
          </w:tcPr>
          <w:p w14:paraId="1EFB0F1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10</w:t>
            </w:r>
            <w:r>
              <w:rPr>
                <w:rFonts w:hint="eastAsia"/>
                <w:color w:val="auto"/>
              </w:rPr>
              <w:t>条</w:t>
            </w:r>
          </w:p>
        </w:tc>
        <w:tc>
          <w:tcPr>
            <w:tcW w:w="2704" w:type="dxa"/>
            <w:vAlign w:val="center"/>
          </w:tcPr>
          <w:p w14:paraId="26760FB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油品管道均埋地敷设。</w:t>
            </w:r>
          </w:p>
        </w:tc>
        <w:tc>
          <w:tcPr>
            <w:tcW w:w="740" w:type="dxa"/>
            <w:vAlign w:val="center"/>
          </w:tcPr>
          <w:p w14:paraId="0CCBC66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6044BE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E4F3D2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1</w:t>
            </w:r>
            <w:r>
              <w:rPr>
                <w:rFonts w:hint="eastAsia" w:ascii="Times New Roman" w:hAnsi="Times New Roman"/>
                <w:color w:val="auto"/>
              </w:rPr>
              <w:t>8</w:t>
            </w:r>
            <w:r>
              <w:rPr>
                <w:rFonts w:hint="default"/>
                <w:color w:val="auto"/>
              </w:rPr>
              <w:t>.</w:t>
            </w:r>
            <w:r>
              <w:rPr>
                <w:rFonts w:hint="eastAsia"/>
                <w:color w:val="auto"/>
              </w:rPr>
              <w:t>加油加气加氢站的油罐车</w:t>
            </w:r>
            <w:r>
              <w:rPr>
                <w:rFonts w:hint="eastAsia" w:ascii="Times New Roman" w:hAnsi="Times New Roman"/>
                <w:color w:val="auto"/>
              </w:rPr>
              <w:t>1PG</w:t>
            </w:r>
            <w:r>
              <w:rPr>
                <w:rFonts w:hint="eastAsia"/>
                <w:color w:val="auto"/>
              </w:rPr>
              <w:t>罐车、</w:t>
            </w:r>
            <w:r>
              <w:rPr>
                <w:rFonts w:hint="eastAsia" w:ascii="Times New Roman" w:hAnsi="Times New Roman"/>
                <w:color w:val="auto"/>
              </w:rPr>
              <w:t>LNG</w:t>
            </w:r>
            <w:r>
              <w:rPr>
                <w:rFonts w:hint="eastAsia"/>
                <w:color w:val="auto"/>
              </w:rPr>
              <w:t>罐车和液氢罐车卸车场地应设卸车或卸气临时用的防静电接地装置，并应设置能检测跨接线及监视接地装置状态的静电接地仪。</w:t>
            </w:r>
          </w:p>
        </w:tc>
        <w:tc>
          <w:tcPr>
            <w:tcW w:w="1529" w:type="dxa"/>
            <w:vAlign w:val="center"/>
          </w:tcPr>
          <w:p w14:paraId="7152300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11</w:t>
            </w:r>
            <w:r>
              <w:rPr>
                <w:rFonts w:hint="eastAsia"/>
                <w:color w:val="auto"/>
              </w:rPr>
              <w:t>条</w:t>
            </w:r>
          </w:p>
        </w:tc>
        <w:tc>
          <w:tcPr>
            <w:tcW w:w="2704" w:type="dxa"/>
            <w:vAlign w:val="center"/>
          </w:tcPr>
          <w:p w14:paraId="64A2D34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汽油罐车卸车场地</w:t>
            </w:r>
            <w:r>
              <w:rPr>
                <w:rFonts w:hint="eastAsia"/>
                <w:color w:val="auto"/>
                <w:lang w:eastAsia="zh-CN"/>
              </w:rPr>
              <w:t>设有</w:t>
            </w:r>
            <w:r>
              <w:rPr>
                <w:rFonts w:hint="eastAsia"/>
                <w:color w:val="auto"/>
              </w:rPr>
              <w:t>卸车时用的静电接地</w:t>
            </w:r>
            <w:r>
              <w:rPr>
                <w:rFonts w:hint="eastAsia"/>
                <w:color w:val="auto"/>
                <w:lang w:val="en-US" w:eastAsia="zh-CN"/>
              </w:rPr>
              <w:t>报警仪</w:t>
            </w:r>
            <w:r>
              <w:rPr>
                <w:rFonts w:hint="eastAsia"/>
                <w:color w:val="auto"/>
              </w:rPr>
              <w:t>。</w:t>
            </w:r>
          </w:p>
        </w:tc>
        <w:tc>
          <w:tcPr>
            <w:tcW w:w="740" w:type="dxa"/>
            <w:vAlign w:val="center"/>
          </w:tcPr>
          <w:p w14:paraId="36602BD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1D382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1BB2163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rPr>
              <w:t>1</w:t>
            </w:r>
            <w:r>
              <w:rPr>
                <w:rFonts w:hint="eastAsia" w:ascii="Times New Roman" w:hAnsi="Times New Roman"/>
                <w:color w:val="auto"/>
              </w:rPr>
              <w:t>9</w:t>
            </w:r>
            <w:r>
              <w:rPr>
                <w:rFonts w:hint="default"/>
                <w:color w:val="auto"/>
              </w:rPr>
              <w:t>.</w:t>
            </w:r>
            <w:r>
              <w:rPr>
                <w:rFonts w:hint="eastAsia"/>
                <w:color w:val="auto"/>
              </w:rPr>
              <w:t>在爆炸危险区域内工艺管道上的法兰、胶管两端等连接处应用金属线跨接。当法兰的连接螺栓不少于</w:t>
            </w:r>
            <w:r>
              <w:rPr>
                <w:rFonts w:hint="eastAsia" w:ascii="Times New Roman" w:hAnsi="Times New Roman"/>
                <w:color w:val="auto"/>
              </w:rPr>
              <w:t>5</w:t>
            </w:r>
            <w:r>
              <w:rPr>
                <w:rFonts w:hint="eastAsia"/>
                <w:color w:val="auto"/>
              </w:rPr>
              <w:t>根时，在非腐蚀环境下可不跨接。</w:t>
            </w:r>
          </w:p>
        </w:tc>
        <w:tc>
          <w:tcPr>
            <w:tcW w:w="1529" w:type="dxa"/>
            <w:vAlign w:val="center"/>
          </w:tcPr>
          <w:p w14:paraId="36B2B2A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12</w:t>
            </w:r>
            <w:r>
              <w:rPr>
                <w:rFonts w:hint="eastAsia"/>
                <w:color w:val="auto"/>
              </w:rPr>
              <w:t>条</w:t>
            </w:r>
          </w:p>
        </w:tc>
        <w:tc>
          <w:tcPr>
            <w:tcW w:w="2704" w:type="dxa"/>
            <w:vAlign w:val="center"/>
          </w:tcPr>
          <w:p w14:paraId="06011FF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eastAsia" w:eastAsia="宋体"/>
                <w:color w:val="auto"/>
                <w:lang w:val="en-US" w:eastAsia="zh-CN"/>
              </w:rPr>
            </w:pPr>
            <w:r>
              <w:rPr>
                <w:rFonts w:hint="default" w:ascii="Times New Roman" w:hAnsi="Times New Roman" w:cs="Times New Roman"/>
                <w:bCs/>
                <w:kern w:val="0"/>
                <w:sz w:val="21"/>
                <w:szCs w:val="21"/>
              </w:rPr>
              <w:t>按要求跨接</w:t>
            </w:r>
            <w:r>
              <w:rPr>
                <w:rFonts w:hint="eastAsia" w:ascii="Times New Roman" w:hAnsi="Times New Roman" w:cs="Times New Roman"/>
                <w:bCs/>
                <w:kern w:val="0"/>
                <w:sz w:val="21"/>
                <w:szCs w:val="21"/>
                <w:lang w:eastAsia="zh-CN"/>
              </w:rPr>
              <w:t>。</w:t>
            </w:r>
          </w:p>
        </w:tc>
        <w:tc>
          <w:tcPr>
            <w:tcW w:w="740" w:type="dxa"/>
            <w:vAlign w:val="center"/>
          </w:tcPr>
          <w:p w14:paraId="2B4BEF2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0DDAC9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6C3FE7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20</w:t>
            </w:r>
            <w:r>
              <w:rPr>
                <w:rFonts w:hint="default"/>
                <w:color w:val="auto"/>
              </w:rPr>
              <w:t>.</w:t>
            </w:r>
            <w:r>
              <w:rPr>
                <w:rFonts w:hint="eastAsia"/>
                <w:color w:val="auto"/>
              </w:rPr>
              <w:t>油罐车卸油用的卸油软管、油气回收软管与两端接头，应保证可靠的电气连接。油罐车卸油用的卸油软管、油气回收软管与两端接头，应保证可靠的电气连接。</w:t>
            </w:r>
          </w:p>
        </w:tc>
        <w:tc>
          <w:tcPr>
            <w:tcW w:w="1529" w:type="dxa"/>
            <w:vAlign w:val="center"/>
          </w:tcPr>
          <w:p w14:paraId="0817BC0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13</w:t>
            </w:r>
            <w:r>
              <w:rPr>
                <w:rFonts w:hint="eastAsia"/>
                <w:color w:val="auto"/>
              </w:rPr>
              <w:t>条</w:t>
            </w:r>
          </w:p>
        </w:tc>
        <w:tc>
          <w:tcPr>
            <w:tcW w:w="2704" w:type="dxa"/>
            <w:vAlign w:val="center"/>
          </w:tcPr>
          <w:p w14:paraId="7D70A7D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油罐车卸油用的卸油软管、油气回收软管与两端接头，保证可靠的电气连接。</w:t>
            </w:r>
          </w:p>
        </w:tc>
        <w:tc>
          <w:tcPr>
            <w:tcW w:w="740" w:type="dxa"/>
            <w:vAlign w:val="center"/>
          </w:tcPr>
          <w:p w14:paraId="5BD1D46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1D45C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3810002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21</w:t>
            </w:r>
            <w:r>
              <w:rPr>
                <w:rFonts w:hint="default"/>
                <w:color w:val="auto"/>
              </w:rPr>
              <w:t>.</w:t>
            </w:r>
            <w:r>
              <w:rPr>
                <w:rFonts w:hint="eastAsia"/>
                <w:color w:val="auto"/>
              </w:rPr>
              <w:t>采用导静电的热塑性塑料管道时，导电内衬应接地；采用不导静电的热塑性塑料管道时，不埋地部分的热熔连接件应保证长期可靠的接地，也可采用专用的密封帽将连接管件的电熔插孔密封，管道或接头的其他导电部件也应接地。</w:t>
            </w:r>
          </w:p>
        </w:tc>
        <w:tc>
          <w:tcPr>
            <w:tcW w:w="1529" w:type="dxa"/>
            <w:vAlign w:val="center"/>
          </w:tcPr>
          <w:p w14:paraId="28505C1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14</w:t>
            </w:r>
            <w:r>
              <w:rPr>
                <w:rFonts w:hint="eastAsia"/>
                <w:color w:val="auto"/>
              </w:rPr>
              <w:t>条</w:t>
            </w:r>
          </w:p>
        </w:tc>
        <w:tc>
          <w:tcPr>
            <w:tcW w:w="2704" w:type="dxa"/>
            <w:vAlign w:val="center"/>
          </w:tcPr>
          <w:p w14:paraId="5B47DC3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管道进行了可靠接地。</w:t>
            </w:r>
          </w:p>
        </w:tc>
        <w:tc>
          <w:tcPr>
            <w:tcW w:w="740" w:type="dxa"/>
            <w:vAlign w:val="center"/>
          </w:tcPr>
          <w:p w14:paraId="0257C5C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57FE3B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44E2574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22.防静电接地装置的接地电阻不应大于100Ω。</w:t>
            </w:r>
          </w:p>
        </w:tc>
        <w:tc>
          <w:tcPr>
            <w:tcW w:w="1529" w:type="dxa"/>
            <w:vAlign w:val="center"/>
          </w:tcPr>
          <w:p w14:paraId="70A0031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ascii="Times New Roman" w:hAnsi="Times New Roman" w:cs="Times New Roman"/>
                <w:color w:val="auto"/>
              </w:rPr>
            </w:pPr>
            <w:r>
              <w:rPr>
                <w:rFonts w:hint="default" w:ascii="Times New Roman" w:hAnsi="Times New Roman" w:cs="Times New Roman"/>
                <w:color w:val="auto"/>
              </w:rPr>
              <w:t>GB50156-2021第13.2.15条</w:t>
            </w:r>
          </w:p>
        </w:tc>
        <w:tc>
          <w:tcPr>
            <w:tcW w:w="2704" w:type="dxa"/>
            <w:vAlign w:val="center"/>
          </w:tcPr>
          <w:p w14:paraId="75EE0A6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cs="Times New Roman"/>
                <w:color w:val="auto"/>
              </w:rPr>
            </w:pPr>
            <w:r>
              <w:rPr>
                <w:rFonts w:hint="default" w:ascii="Times New Roman" w:hAnsi="Times New Roman" w:cs="Times New Roman"/>
                <w:color w:val="auto"/>
              </w:rPr>
              <w:t>防静电接地采用共用接地装置，防静电接地装置的接地电阻不大于100Ω。</w:t>
            </w:r>
          </w:p>
        </w:tc>
        <w:tc>
          <w:tcPr>
            <w:tcW w:w="740" w:type="dxa"/>
            <w:vAlign w:val="center"/>
          </w:tcPr>
          <w:p w14:paraId="06E12D3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43AC88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1F02E1D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23</w:t>
            </w:r>
            <w:r>
              <w:rPr>
                <w:rFonts w:hint="eastAsia"/>
                <w:color w:val="auto"/>
              </w:rPr>
              <w:t>.油罐车、</w:t>
            </w:r>
            <w:r>
              <w:rPr>
                <w:rFonts w:hint="eastAsia" w:ascii="Times New Roman" w:hAnsi="Times New Roman"/>
                <w:color w:val="auto"/>
              </w:rPr>
              <w:t>LPG</w:t>
            </w:r>
            <w:r>
              <w:rPr>
                <w:rFonts w:hint="eastAsia"/>
                <w:color w:val="auto"/>
              </w:rPr>
              <w:t>罐车、</w:t>
            </w:r>
            <w:r>
              <w:rPr>
                <w:rFonts w:hint="eastAsia" w:ascii="Times New Roman" w:hAnsi="Times New Roman"/>
                <w:color w:val="auto"/>
              </w:rPr>
              <w:t>LNG</w:t>
            </w:r>
            <w:r>
              <w:rPr>
                <w:rFonts w:hint="eastAsia"/>
                <w:color w:val="auto"/>
              </w:rPr>
              <w:t>罐车和液氢罐车卸车场地内用于防静电跨接的固定接地装置不应设置在爆炸危险</w:t>
            </w:r>
            <w:r>
              <w:rPr>
                <w:rFonts w:hint="eastAsia" w:ascii="Times New Roman" w:hAnsi="Times New Roman"/>
                <w:color w:val="auto"/>
              </w:rPr>
              <w:t>1</w:t>
            </w:r>
            <w:r>
              <w:rPr>
                <w:rFonts w:hint="eastAsia"/>
                <w:color w:val="auto"/>
              </w:rPr>
              <w:t>区。</w:t>
            </w:r>
          </w:p>
        </w:tc>
        <w:tc>
          <w:tcPr>
            <w:tcW w:w="1529" w:type="dxa"/>
            <w:vAlign w:val="center"/>
          </w:tcPr>
          <w:p w14:paraId="220CA8B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2</w:t>
            </w:r>
            <w:r>
              <w:rPr>
                <w:rFonts w:hint="default"/>
                <w:color w:val="auto"/>
              </w:rPr>
              <w:t>.</w:t>
            </w:r>
            <w:r>
              <w:rPr>
                <w:rFonts w:hint="default" w:ascii="Times New Roman" w:hAnsi="Times New Roman"/>
                <w:color w:val="auto"/>
              </w:rPr>
              <w:t>16</w:t>
            </w:r>
            <w:r>
              <w:rPr>
                <w:rFonts w:hint="eastAsia"/>
                <w:color w:val="auto"/>
              </w:rPr>
              <w:t>条</w:t>
            </w:r>
          </w:p>
        </w:tc>
        <w:tc>
          <w:tcPr>
            <w:tcW w:w="2704" w:type="dxa"/>
            <w:vAlign w:val="center"/>
          </w:tcPr>
          <w:p w14:paraId="1A36258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油品罐车卸车场地内用于防静电跨接的固定接地装置，没有设置在爆炸危险</w:t>
            </w:r>
            <w:r>
              <w:rPr>
                <w:rFonts w:hint="default" w:ascii="Times New Roman" w:hAnsi="Times New Roman"/>
                <w:color w:val="auto"/>
              </w:rPr>
              <w:t>1</w:t>
            </w:r>
            <w:r>
              <w:rPr>
                <w:rFonts w:hint="eastAsia"/>
                <w:color w:val="auto"/>
              </w:rPr>
              <w:t>区内。</w:t>
            </w:r>
          </w:p>
        </w:tc>
        <w:tc>
          <w:tcPr>
            <w:tcW w:w="740" w:type="dxa"/>
            <w:vAlign w:val="center"/>
          </w:tcPr>
          <w:p w14:paraId="6839C2D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2731E5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3DEBF70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24</w:t>
            </w:r>
            <w:r>
              <w:rPr>
                <w:rFonts w:hint="default"/>
                <w:color w:val="auto"/>
              </w:rPr>
              <w:t>.</w:t>
            </w:r>
            <w:r>
              <w:rPr>
                <w:rFonts w:hint="eastAsia"/>
                <w:color w:val="auto"/>
              </w:rPr>
              <w:t>紧急切断系统应至少在下列位置设置紧急切断开关：</w:t>
            </w:r>
          </w:p>
          <w:p w14:paraId="0FE9B82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1</w:t>
            </w:r>
            <w:r>
              <w:rPr>
                <w:rFonts w:hint="eastAsia"/>
                <w:color w:val="auto"/>
              </w:rPr>
              <w:t>）在汽车加油加气加氢站现场工作人员容易接近且较为安全的位置；</w:t>
            </w:r>
          </w:p>
          <w:p w14:paraId="0CF0CBB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ascii="Times New Roman" w:hAnsi="Times New Roman"/>
                <w:color w:val="auto"/>
              </w:rPr>
              <w:t>2</w:t>
            </w:r>
            <w:r>
              <w:rPr>
                <w:rFonts w:hint="eastAsia"/>
                <w:color w:val="auto"/>
              </w:rPr>
              <w:t>）在控制室、值班室内或站房收银台等有人员值守的位置。</w:t>
            </w:r>
          </w:p>
        </w:tc>
        <w:tc>
          <w:tcPr>
            <w:tcW w:w="1529" w:type="dxa"/>
            <w:vAlign w:val="center"/>
          </w:tcPr>
          <w:p w14:paraId="2678705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第</w:t>
            </w:r>
            <w:r>
              <w:rPr>
                <w:rFonts w:hint="default" w:ascii="Times New Roman" w:hAnsi="Times New Roman"/>
                <w:color w:val="auto"/>
              </w:rPr>
              <w:t>1</w:t>
            </w:r>
            <w:r>
              <w:rPr>
                <w:rFonts w:hint="eastAsia" w:ascii="Times New Roman" w:hAnsi="Times New Roman"/>
                <w:color w:val="auto"/>
              </w:rPr>
              <w:t>3</w:t>
            </w:r>
            <w:r>
              <w:rPr>
                <w:rFonts w:hint="default"/>
                <w:color w:val="auto"/>
              </w:rPr>
              <w:t>.</w:t>
            </w:r>
            <w:r>
              <w:rPr>
                <w:rFonts w:hint="default" w:ascii="Times New Roman" w:hAnsi="Times New Roman"/>
                <w:color w:val="auto"/>
              </w:rPr>
              <w:t>5</w:t>
            </w:r>
            <w:r>
              <w:rPr>
                <w:rFonts w:hint="default"/>
                <w:color w:val="auto"/>
              </w:rPr>
              <w:t>.</w:t>
            </w:r>
            <w:r>
              <w:rPr>
                <w:rFonts w:hint="default" w:ascii="Times New Roman" w:hAnsi="Times New Roman"/>
                <w:color w:val="auto"/>
              </w:rPr>
              <w:t>3</w:t>
            </w:r>
            <w:r>
              <w:rPr>
                <w:rFonts w:hint="eastAsia"/>
                <w:color w:val="auto"/>
              </w:rPr>
              <w:t>条</w:t>
            </w:r>
          </w:p>
        </w:tc>
        <w:tc>
          <w:tcPr>
            <w:tcW w:w="2704" w:type="dxa"/>
            <w:vAlign w:val="center"/>
          </w:tcPr>
          <w:p w14:paraId="6263FB8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eastAsia"/>
                <w:color w:val="auto"/>
              </w:rPr>
              <w:t>在站房内</w:t>
            </w:r>
            <w:r>
              <w:rPr>
                <w:rFonts w:hint="eastAsia"/>
                <w:color w:val="auto"/>
                <w:lang w:val="en-US" w:eastAsia="zh-CN"/>
              </w:rPr>
              <w:t>收银台</w:t>
            </w:r>
            <w:r>
              <w:rPr>
                <w:rFonts w:hint="eastAsia"/>
                <w:color w:val="auto"/>
              </w:rPr>
              <w:t>设置</w:t>
            </w:r>
            <w:r>
              <w:rPr>
                <w:rFonts w:hint="eastAsia"/>
                <w:color w:val="auto"/>
                <w:lang w:val="en-US" w:eastAsia="zh-CN"/>
              </w:rPr>
              <w:t>了1个</w:t>
            </w:r>
            <w:r>
              <w:rPr>
                <w:rFonts w:hint="eastAsia"/>
                <w:color w:val="auto"/>
              </w:rPr>
              <w:t>紧急切断按钮</w:t>
            </w:r>
            <w:r>
              <w:rPr>
                <w:rFonts w:hint="eastAsia"/>
                <w:color w:val="auto"/>
                <w:lang w:eastAsia="zh-CN"/>
              </w:rPr>
              <w:t>，</w:t>
            </w:r>
            <w:r>
              <w:rPr>
                <w:rFonts w:hint="eastAsia"/>
                <w:color w:val="auto"/>
                <w:lang w:val="en-US" w:eastAsia="zh-CN"/>
              </w:rPr>
              <w:t>站房外墙设置了1个</w:t>
            </w:r>
            <w:r>
              <w:rPr>
                <w:rFonts w:hint="eastAsia"/>
                <w:color w:val="auto"/>
              </w:rPr>
              <w:t>紧急切断按钮。</w:t>
            </w:r>
          </w:p>
        </w:tc>
        <w:tc>
          <w:tcPr>
            <w:tcW w:w="740" w:type="dxa"/>
            <w:vAlign w:val="center"/>
          </w:tcPr>
          <w:p w14:paraId="6AEEF5E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eastAsia"/>
                <w:color w:val="auto"/>
              </w:rPr>
              <w:t>符合</w:t>
            </w:r>
          </w:p>
        </w:tc>
      </w:tr>
      <w:tr w14:paraId="78F416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413BDD5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ascii="Times New Roman" w:hAnsi="Times New Roman"/>
                <w:color w:val="auto"/>
                <w:szCs w:val="21"/>
              </w:rPr>
              <w:t>25</w:t>
            </w:r>
            <w:r>
              <w:rPr>
                <w:rFonts w:hint="default"/>
                <w:color w:val="auto"/>
                <w:szCs w:val="21"/>
              </w:rPr>
              <w:t>.</w:t>
            </w:r>
            <w:r>
              <w:rPr>
                <w:rFonts w:hint="eastAsia"/>
                <w:color w:val="auto"/>
                <w:szCs w:val="21"/>
              </w:rPr>
              <w:t>变压器室、配电室、电容器室等房间应设置防止雨、雪和蛇、鼠等小动物从采光窗、通风窗、门、电缆沟等处进入室内的设施。</w:t>
            </w:r>
          </w:p>
        </w:tc>
        <w:tc>
          <w:tcPr>
            <w:tcW w:w="1529" w:type="dxa"/>
            <w:vAlign w:val="center"/>
          </w:tcPr>
          <w:p w14:paraId="011A7A4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default"/>
                <w:color w:val="auto"/>
                <w:szCs w:val="21"/>
              </w:rPr>
              <w:t>《</w:t>
            </w:r>
            <w:r>
              <w:rPr>
                <w:rFonts w:hint="eastAsia" w:ascii="Times New Roman" w:hAnsi="Times New Roman"/>
                <w:color w:val="auto"/>
                <w:szCs w:val="21"/>
                <w:lang w:val="en-US" w:eastAsia="zh-CN"/>
              </w:rPr>
              <w:t>2</w:t>
            </w:r>
            <w:r>
              <w:rPr>
                <w:rFonts w:hint="default" w:ascii="Times New Roman" w:hAnsi="Times New Roman"/>
                <w:color w:val="auto"/>
                <w:szCs w:val="21"/>
              </w:rPr>
              <w:t>0kV</w:t>
            </w:r>
            <w:r>
              <w:rPr>
                <w:rFonts w:hint="default"/>
                <w:color w:val="auto"/>
                <w:szCs w:val="21"/>
              </w:rPr>
              <w:t>及以下变电所设计规范》（</w:t>
            </w:r>
            <w:r>
              <w:rPr>
                <w:rFonts w:hint="eastAsia"/>
                <w:color w:val="auto"/>
                <w:szCs w:val="21"/>
              </w:rPr>
              <w:t xml:space="preserve"> </w:t>
            </w:r>
            <w:r>
              <w:rPr>
                <w:rFonts w:hint="eastAsia" w:ascii="Times New Roman" w:hAnsi="Times New Roman"/>
                <w:color w:val="auto"/>
                <w:szCs w:val="21"/>
              </w:rPr>
              <w:t>GB</w:t>
            </w:r>
            <w:r>
              <w:rPr>
                <w:rFonts w:hint="eastAsia"/>
                <w:color w:val="auto"/>
                <w:szCs w:val="21"/>
              </w:rPr>
              <w:t xml:space="preserve"> </w:t>
            </w:r>
            <w:r>
              <w:rPr>
                <w:rFonts w:hint="eastAsia" w:ascii="Times New Roman" w:hAnsi="Times New Roman"/>
                <w:color w:val="auto"/>
                <w:szCs w:val="21"/>
              </w:rPr>
              <w:t>50053</w:t>
            </w:r>
            <w:r>
              <w:rPr>
                <w:rFonts w:hint="eastAsia"/>
                <w:color w:val="auto"/>
                <w:szCs w:val="21"/>
              </w:rPr>
              <w:t>-</w:t>
            </w:r>
            <w:r>
              <w:rPr>
                <w:rFonts w:hint="eastAsia" w:ascii="Times New Roman" w:hAnsi="Times New Roman"/>
                <w:color w:val="auto"/>
                <w:szCs w:val="21"/>
              </w:rPr>
              <w:t>2013</w:t>
            </w:r>
            <w:r>
              <w:rPr>
                <w:rFonts w:hint="default"/>
                <w:color w:val="auto"/>
                <w:szCs w:val="21"/>
              </w:rPr>
              <w:t>）第</w:t>
            </w:r>
            <w:r>
              <w:rPr>
                <w:rFonts w:hint="default" w:ascii="Times New Roman" w:hAnsi="Times New Roman"/>
                <w:color w:val="auto"/>
                <w:szCs w:val="21"/>
              </w:rPr>
              <w:t>6</w:t>
            </w:r>
            <w:r>
              <w:rPr>
                <w:rFonts w:hint="default"/>
                <w:color w:val="auto"/>
                <w:szCs w:val="21"/>
              </w:rPr>
              <w:t>.</w:t>
            </w:r>
            <w:r>
              <w:rPr>
                <w:rFonts w:hint="default" w:ascii="Times New Roman" w:hAnsi="Times New Roman"/>
                <w:color w:val="auto"/>
                <w:szCs w:val="21"/>
              </w:rPr>
              <w:t>2</w:t>
            </w:r>
            <w:r>
              <w:rPr>
                <w:rFonts w:hint="default"/>
                <w:color w:val="auto"/>
                <w:szCs w:val="21"/>
              </w:rPr>
              <w:t>.</w:t>
            </w:r>
            <w:r>
              <w:rPr>
                <w:rFonts w:hint="default" w:ascii="Times New Roman" w:hAnsi="Times New Roman"/>
                <w:color w:val="auto"/>
                <w:szCs w:val="21"/>
              </w:rPr>
              <w:t>4</w:t>
            </w:r>
            <w:r>
              <w:rPr>
                <w:rFonts w:hint="default"/>
                <w:color w:val="auto"/>
                <w:szCs w:val="21"/>
              </w:rPr>
              <w:t>条</w:t>
            </w:r>
          </w:p>
        </w:tc>
        <w:tc>
          <w:tcPr>
            <w:tcW w:w="2704" w:type="dxa"/>
            <w:vAlign w:val="center"/>
          </w:tcPr>
          <w:p w14:paraId="0B5EA03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rPr>
            </w:pPr>
            <w:r>
              <w:rPr>
                <w:rFonts w:hint="default"/>
                <w:color w:val="auto"/>
                <w:szCs w:val="21"/>
              </w:rPr>
              <w:t>配电室的窗户已安装防护网。</w:t>
            </w:r>
          </w:p>
        </w:tc>
        <w:tc>
          <w:tcPr>
            <w:tcW w:w="740" w:type="dxa"/>
            <w:vAlign w:val="center"/>
          </w:tcPr>
          <w:p w14:paraId="502FA66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rPr>
            </w:pPr>
            <w:r>
              <w:rPr>
                <w:rFonts w:hint="default"/>
                <w:color w:val="auto"/>
              </w:rPr>
              <w:t>符合</w:t>
            </w:r>
          </w:p>
        </w:tc>
      </w:tr>
      <w:tr w14:paraId="060A4E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784E788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ascii="Times New Roman" w:hAnsi="Times New Roman" w:eastAsia="宋体"/>
                <w:color w:val="auto"/>
                <w:szCs w:val="21"/>
                <w:lang w:val="en-US" w:eastAsia="zh-CN"/>
              </w:rPr>
            </w:pPr>
            <w:bookmarkStart w:id="735" w:name="OLE_LINK410"/>
            <w:bookmarkStart w:id="736" w:name="_Toc2691759"/>
            <w:bookmarkStart w:id="737" w:name="OLE_LINK411"/>
            <w:r>
              <w:rPr>
                <w:rFonts w:hint="eastAsia"/>
                <w:color w:val="auto"/>
                <w:szCs w:val="21"/>
                <w:lang w:val="en-US" w:eastAsia="zh-CN"/>
              </w:rPr>
              <w:t>26.防雷防静电装置应每半年至少检测1次，并监理检测档案。</w:t>
            </w:r>
          </w:p>
        </w:tc>
        <w:tc>
          <w:tcPr>
            <w:tcW w:w="1529" w:type="dxa"/>
            <w:vAlign w:val="center"/>
          </w:tcPr>
          <w:p w14:paraId="25A7FD3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eastAsia="宋体"/>
                <w:color w:val="auto"/>
                <w:szCs w:val="21"/>
                <w:lang w:val="en-US" w:eastAsia="zh-CN"/>
              </w:rPr>
            </w:pPr>
            <w:r>
              <w:rPr>
                <w:rFonts w:hint="eastAsia"/>
                <w:color w:val="auto"/>
                <w:szCs w:val="21"/>
                <w:lang w:eastAsia="zh-CN"/>
              </w:rPr>
              <w:t>《</w:t>
            </w:r>
            <w:r>
              <w:rPr>
                <w:rFonts w:hint="eastAsia"/>
                <w:color w:val="auto"/>
                <w:szCs w:val="21"/>
                <w:lang w:val="en-US" w:eastAsia="zh-CN"/>
              </w:rPr>
              <w:t>加油站作业安全规范</w:t>
            </w:r>
            <w:r>
              <w:rPr>
                <w:rFonts w:hint="eastAsia"/>
                <w:color w:val="auto"/>
                <w:szCs w:val="21"/>
                <w:lang w:eastAsia="zh-CN"/>
              </w:rPr>
              <w:t>》（</w:t>
            </w:r>
            <w:r>
              <w:rPr>
                <w:rFonts w:hint="eastAsia"/>
                <w:color w:val="auto"/>
                <w:szCs w:val="21"/>
                <w:lang w:val="en-US" w:eastAsia="zh-CN"/>
              </w:rPr>
              <w:t>AQ3010-2022</w:t>
            </w:r>
            <w:r>
              <w:rPr>
                <w:rFonts w:hint="eastAsia"/>
                <w:color w:val="auto"/>
                <w:szCs w:val="21"/>
                <w:lang w:eastAsia="zh-CN"/>
              </w:rPr>
              <w:t>）</w:t>
            </w:r>
            <w:r>
              <w:rPr>
                <w:rFonts w:hint="eastAsia"/>
                <w:color w:val="auto"/>
                <w:szCs w:val="21"/>
                <w:lang w:val="en-US" w:eastAsia="zh-CN"/>
              </w:rPr>
              <w:t>第8.4.1条</w:t>
            </w:r>
          </w:p>
        </w:tc>
        <w:tc>
          <w:tcPr>
            <w:tcW w:w="2704" w:type="dxa"/>
            <w:vAlign w:val="center"/>
          </w:tcPr>
          <w:p w14:paraId="38B62B3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eastAsia="宋体"/>
                <w:color w:val="auto"/>
                <w:szCs w:val="21"/>
                <w:lang w:val="en-US" w:eastAsia="zh-CN"/>
              </w:rPr>
            </w:pPr>
            <w:r>
              <w:rPr>
                <w:rFonts w:hint="eastAsia"/>
                <w:color w:val="auto"/>
                <w:szCs w:val="21"/>
                <w:lang w:val="en-US" w:eastAsia="zh-CN"/>
              </w:rPr>
              <w:t>建设单位参照执行。</w:t>
            </w:r>
          </w:p>
        </w:tc>
        <w:tc>
          <w:tcPr>
            <w:tcW w:w="740" w:type="dxa"/>
            <w:vAlign w:val="center"/>
          </w:tcPr>
          <w:p w14:paraId="64027BB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eastAsia="宋体"/>
                <w:color w:val="auto"/>
                <w:lang w:val="en-US" w:eastAsia="zh-CN"/>
              </w:rPr>
            </w:pPr>
            <w:r>
              <w:rPr>
                <w:rFonts w:hint="eastAsia"/>
                <w:color w:val="auto"/>
                <w:lang w:val="en-US" w:eastAsia="zh-CN"/>
              </w:rPr>
              <w:t>符合</w:t>
            </w:r>
          </w:p>
        </w:tc>
      </w:tr>
      <w:tr w14:paraId="18ADE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586" w:type="dxa"/>
            <w:vAlign w:val="center"/>
          </w:tcPr>
          <w:p w14:paraId="0B4F87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szCs w:val="21"/>
                <w:lang w:val="en-US" w:eastAsia="zh-CN"/>
              </w:rPr>
            </w:pPr>
            <w:r>
              <w:rPr>
                <w:rFonts w:hint="eastAsia"/>
                <w:color w:val="auto"/>
                <w:szCs w:val="21"/>
                <w:lang w:val="en-US" w:eastAsia="zh-CN"/>
              </w:rPr>
              <w:t>27.变、配电间应制定运行规程、巡回检查制度。</w:t>
            </w:r>
          </w:p>
        </w:tc>
        <w:tc>
          <w:tcPr>
            <w:tcW w:w="1529" w:type="dxa"/>
            <w:vAlign w:val="center"/>
          </w:tcPr>
          <w:p w14:paraId="11B0149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eastAsia"/>
                <w:color w:val="auto"/>
                <w:szCs w:val="21"/>
                <w:lang w:eastAsia="zh-CN"/>
              </w:rPr>
            </w:pPr>
            <w:r>
              <w:rPr>
                <w:rFonts w:hint="eastAsia"/>
                <w:color w:val="auto"/>
                <w:szCs w:val="21"/>
                <w:lang w:eastAsia="zh-CN"/>
              </w:rPr>
              <w:t>《</w:t>
            </w:r>
            <w:r>
              <w:rPr>
                <w:rFonts w:hint="eastAsia"/>
                <w:color w:val="auto"/>
                <w:szCs w:val="21"/>
                <w:lang w:val="en-US" w:eastAsia="zh-CN"/>
              </w:rPr>
              <w:t>加油站作业安全规范</w:t>
            </w:r>
            <w:r>
              <w:rPr>
                <w:rFonts w:hint="eastAsia"/>
                <w:color w:val="auto"/>
                <w:szCs w:val="21"/>
                <w:lang w:eastAsia="zh-CN"/>
              </w:rPr>
              <w:t>》（</w:t>
            </w:r>
            <w:r>
              <w:rPr>
                <w:rFonts w:hint="eastAsia"/>
                <w:color w:val="auto"/>
                <w:szCs w:val="21"/>
                <w:lang w:val="en-US" w:eastAsia="zh-CN"/>
              </w:rPr>
              <w:t>AQ3010-2022</w:t>
            </w:r>
            <w:r>
              <w:rPr>
                <w:rFonts w:hint="eastAsia"/>
                <w:color w:val="auto"/>
                <w:szCs w:val="21"/>
                <w:lang w:eastAsia="zh-CN"/>
              </w:rPr>
              <w:t>）</w:t>
            </w:r>
            <w:r>
              <w:rPr>
                <w:rFonts w:hint="eastAsia"/>
                <w:color w:val="auto"/>
                <w:szCs w:val="21"/>
                <w:lang w:val="en-US" w:eastAsia="zh-CN"/>
              </w:rPr>
              <w:t>第8.5.3条</w:t>
            </w:r>
          </w:p>
        </w:tc>
        <w:tc>
          <w:tcPr>
            <w:tcW w:w="2704" w:type="dxa"/>
            <w:vAlign w:val="center"/>
          </w:tcPr>
          <w:p w14:paraId="7DB6C21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jc w:val="both"/>
              <w:textAlignment w:val="auto"/>
              <w:rPr>
                <w:rFonts w:hint="default"/>
                <w:color w:val="auto"/>
                <w:szCs w:val="21"/>
                <w:lang w:val="en-US" w:eastAsia="zh-CN"/>
              </w:rPr>
            </w:pPr>
            <w:r>
              <w:rPr>
                <w:rFonts w:hint="eastAsia"/>
                <w:color w:val="auto"/>
                <w:szCs w:val="21"/>
                <w:lang w:val="en-US" w:eastAsia="zh-CN"/>
              </w:rPr>
              <w:t>建立了相关制度。</w:t>
            </w:r>
          </w:p>
        </w:tc>
        <w:tc>
          <w:tcPr>
            <w:tcW w:w="740" w:type="dxa"/>
            <w:vAlign w:val="center"/>
          </w:tcPr>
          <w:p w14:paraId="0EAA2BA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tLeast"/>
              <w:ind w:left="0" w:right="0"/>
              <w:textAlignment w:val="auto"/>
              <w:rPr>
                <w:rFonts w:hint="default"/>
                <w:color w:val="auto"/>
                <w:lang w:val="en-US" w:eastAsia="zh-CN"/>
              </w:rPr>
            </w:pPr>
            <w:r>
              <w:rPr>
                <w:rFonts w:hint="eastAsia"/>
                <w:color w:val="auto"/>
                <w:lang w:val="en-US" w:eastAsia="zh-CN"/>
              </w:rPr>
              <w:t>符合</w:t>
            </w:r>
          </w:p>
        </w:tc>
      </w:tr>
      <w:bookmarkEnd w:id="730"/>
      <w:bookmarkEnd w:id="731"/>
      <w:bookmarkEnd w:id="732"/>
    </w:tbl>
    <w:p w14:paraId="38E9917A">
      <w:pPr>
        <w:keepNext w:val="0"/>
        <w:keepLines w:val="0"/>
        <w:pageBreakBefore w:val="0"/>
        <w:widowControl/>
        <w:kinsoku/>
        <w:wordWrap/>
        <w:overflowPunct/>
        <w:topLinePunct w:val="0"/>
        <w:autoSpaceDE/>
        <w:autoSpaceDN/>
        <w:bidi w:val="0"/>
        <w:adjustRightInd/>
        <w:snapToGrid w:val="0"/>
        <w:spacing w:line="500" w:lineRule="exact"/>
        <w:ind w:firstLine="560"/>
        <w:textAlignment w:val="auto"/>
        <w:rPr>
          <w:color w:val="auto"/>
        </w:rPr>
      </w:pPr>
      <w:r>
        <w:rPr>
          <w:rFonts w:hint="eastAsia"/>
          <w:color w:val="auto"/>
        </w:rPr>
        <w:t>从表中结果可以看出，该加油站建设项目的</w:t>
      </w:r>
      <w:r>
        <w:rPr>
          <w:color w:val="auto"/>
        </w:rPr>
        <w:t>电气与报警和紧急切断系统</w:t>
      </w:r>
      <w:r>
        <w:rPr>
          <w:rFonts w:hint="eastAsia"/>
          <w:color w:val="auto"/>
        </w:rPr>
        <w:t>能够满足《汽车加油加气加氢站技术标准》（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）中相关要求</w:t>
      </w:r>
      <w:r>
        <w:rPr>
          <w:rFonts w:hAnsi="宋体"/>
          <w:color w:val="auto"/>
        </w:rPr>
        <w:t>。</w:t>
      </w:r>
    </w:p>
    <w:p w14:paraId="0D3981A8">
      <w:pPr>
        <w:keepNext w:val="0"/>
        <w:keepLines w:val="0"/>
        <w:pageBreakBefore w:val="0"/>
        <w:widowControl/>
        <w:kinsoku/>
        <w:wordWrap/>
        <w:overflowPunct/>
        <w:topLinePunct w:val="0"/>
        <w:autoSpaceDE/>
        <w:autoSpaceDN/>
        <w:bidi w:val="0"/>
        <w:adjustRightInd/>
        <w:snapToGrid w:val="0"/>
        <w:spacing w:line="500" w:lineRule="exact"/>
        <w:ind w:firstLine="562"/>
        <w:textAlignment w:val="auto"/>
        <w:rPr>
          <w:rFonts w:hint="eastAsia"/>
          <w:b/>
          <w:bCs/>
          <w:color w:val="auto"/>
          <w:lang w:val="en-US" w:eastAsia="zh-CN"/>
        </w:rPr>
      </w:pPr>
      <w:r>
        <w:rPr>
          <w:rFonts w:hint="eastAsia" w:ascii="Times New Roman" w:hAnsi="Times New Roman"/>
          <w:b/>
          <w:bCs/>
          <w:color w:val="auto"/>
          <w:lang w:val="en-US" w:eastAsia="zh-CN"/>
        </w:rPr>
        <w:t>6</w:t>
      </w:r>
      <w:r>
        <w:rPr>
          <w:rFonts w:hint="eastAsia"/>
          <w:b/>
          <w:bCs/>
          <w:color w:val="auto"/>
          <w:lang w:val="en-US" w:eastAsia="zh-CN"/>
        </w:rPr>
        <w:t>）《危险化学品经营许可证管理办法》相关评价：</w:t>
      </w:r>
    </w:p>
    <w:p w14:paraId="2918A266">
      <w:pPr>
        <w:keepNext w:val="0"/>
        <w:keepLines w:val="0"/>
        <w:pageBreakBefore w:val="0"/>
        <w:widowControl/>
        <w:kinsoku/>
        <w:wordWrap/>
        <w:overflowPunct/>
        <w:topLinePunct w:val="0"/>
        <w:autoSpaceDE/>
        <w:autoSpaceDN/>
        <w:bidi w:val="0"/>
        <w:adjustRightInd/>
        <w:snapToGrid w:val="0"/>
        <w:spacing w:line="500" w:lineRule="exact"/>
        <w:ind w:firstLine="562"/>
        <w:textAlignment w:val="auto"/>
        <w:rPr>
          <w:rFonts w:hint="eastAsia"/>
          <w:b w:val="0"/>
          <w:bCs w:val="0"/>
          <w:color w:val="auto"/>
          <w:lang w:val="en-US" w:eastAsia="zh-CN"/>
        </w:rPr>
      </w:pPr>
      <w:r>
        <w:rPr>
          <w:rFonts w:hint="eastAsia"/>
          <w:b w:val="0"/>
          <w:bCs w:val="0"/>
          <w:color w:val="auto"/>
          <w:lang w:val="en-US" w:eastAsia="zh-CN"/>
        </w:rPr>
        <w:t>依据《危险化学品经营许可证管理办法》（原国家安全生产监督管理总局令[</w:t>
      </w:r>
      <w:r>
        <w:rPr>
          <w:rFonts w:hint="eastAsia" w:ascii="Times New Roman" w:hAnsi="Times New Roman"/>
          <w:b w:val="0"/>
          <w:bCs w:val="0"/>
          <w:color w:val="auto"/>
          <w:lang w:val="en-US" w:eastAsia="zh-CN"/>
        </w:rPr>
        <w:t>2012</w:t>
      </w:r>
      <w:r>
        <w:rPr>
          <w:rFonts w:hint="eastAsia"/>
          <w:b w:val="0"/>
          <w:bCs w:val="0"/>
          <w:color w:val="auto"/>
          <w:lang w:val="en-US" w:eastAsia="zh-CN"/>
        </w:rPr>
        <w:t>]第</w:t>
      </w:r>
      <w:r>
        <w:rPr>
          <w:rFonts w:hint="eastAsia" w:ascii="Times New Roman" w:hAnsi="Times New Roman"/>
          <w:b w:val="0"/>
          <w:bCs w:val="0"/>
          <w:color w:val="auto"/>
          <w:lang w:val="en-US" w:eastAsia="zh-CN"/>
        </w:rPr>
        <w:t>55</w:t>
      </w:r>
      <w:r>
        <w:rPr>
          <w:rFonts w:hint="eastAsia"/>
          <w:b w:val="0"/>
          <w:bCs w:val="0"/>
          <w:color w:val="auto"/>
          <w:lang w:val="en-US" w:eastAsia="zh-CN"/>
        </w:rPr>
        <w:t>号，</w:t>
      </w:r>
      <w:r>
        <w:rPr>
          <w:rFonts w:hint="eastAsia" w:ascii="Times New Roman" w:hAnsi="Times New Roman"/>
          <w:b w:val="0"/>
          <w:bCs w:val="0"/>
          <w:color w:val="auto"/>
          <w:lang w:val="en-US" w:eastAsia="zh-CN"/>
        </w:rPr>
        <w:t>2015</w:t>
      </w:r>
      <w:r>
        <w:rPr>
          <w:rFonts w:hint="eastAsia"/>
          <w:b w:val="0"/>
          <w:bCs w:val="0"/>
          <w:color w:val="auto"/>
          <w:lang w:val="en-US" w:eastAsia="zh-CN"/>
        </w:rPr>
        <w:t>年</w:t>
      </w:r>
      <w:r>
        <w:rPr>
          <w:rFonts w:hint="eastAsia" w:ascii="Times New Roman" w:hAnsi="Times New Roman"/>
          <w:b w:val="0"/>
          <w:bCs w:val="0"/>
          <w:color w:val="auto"/>
          <w:lang w:val="en-US" w:eastAsia="zh-CN"/>
        </w:rPr>
        <w:t>79</w:t>
      </w:r>
      <w:r>
        <w:rPr>
          <w:rFonts w:hint="eastAsia"/>
          <w:b w:val="0"/>
          <w:bCs w:val="0"/>
          <w:color w:val="auto"/>
          <w:lang w:val="en-US" w:eastAsia="zh-CN"/>
        </w:rPr>
        <w:t>号令修改）从整体上评价该站是否符合《危险化学品经营许可证管理办法》第六条和第八条规定的经营单位必备条件。</w:t>
      </w:r>
    </w:p>
    <w:p w14:paraId="5144A347">
      <w:pPr>
        <w:widowControl w:val="0"/>
        <w:spacing w:line="240" w:lineRule="auto"/>
        <w:ind w:firstLine="0" w:firstLineChars="0"/>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lang w:val="en-US" w:eastAsia="zh-CN"/>
        </w:rPr>
        <w:t>F表</w:t>
      </w:r>
      <w:r>
        <w:rPr>
          <w:rFonts w:hint="eastAsia" w:eastAsia="黑体" w:cs="Times New Roman"/>
          <w:b/>
          <w:bCs/>
          <w:color w:val="auto"/>
          <w:sz w:val="21"/>
          <w:szCs w:val="21"/>
          <w:lang w:val="en-US" w:eastAsia="zh-CN"/>
        </w:rPr>
        <w:t>4</w:t>
      </w:r>
      <w:r>
        <w:rPr>
          <w:rFonts w:hint="default" w:ascii="Times New Roman" w:hAnsi="Times New Roman" w:eastAsia="黑体" w:cs="Times New Roman"/>
          <w:b/>
          <w:bCs/>
          <w:color w:val="auto"/>
          <w:sz w:val="21"/>
          <w:szCs w:val="21"/>
        </w:rPr>
        <w:t>.</w:t>
      </w:r>
      <w:r>
        <w:rPr>
          <w:rFonts w:hint="eastAsia" w:eastAsia="黑体" w:cs="Times New Roman"/>
          <w:b/>
          <w:bCs/>
          <w:color w:val="auto"/>
          <w:sz w:val="21"/>
          <w:szCs w:val="21"/>
          <w:lang w:val="en-US" w:eastAsia="zh-CN"/>
        </w:rPr>
        <w:t>1</w:t>
      </w:r>
      <w:r>
        <w:rPr>
          <w:rFonts w:hint="default" w:ascii="Times New Roman" w:hAnsi="Times New Roman" w:eastAsia="黑体" w:cs="Times New Roman"/>
          <w:b/>
          <w:bCs/>
          <w:color w:val="auto"/>
          <w:sz w:val="21"/>
          <w:szCs w:val="21"/>
        </w:rPr>
        <w:t>-</w:t>
      </w:r>
      <w:r>
        <w:rPr>
          <w:rFonts w:hint="default" w:ascii="Times New Roman" w:hAnsi="Times New Roman" w:eastAsia="黑体" w:cs="Times New Roman"/>
          <w:b/>
          <w:bCs/>
          <w:color w:val="auto"/>
          <w:sz w:val="21"/>
          <w:szCs w:val="21"/>
          <w:lang w:val="en-US" w:eastAsia="zh-CN"/>
        </w:rPr>
        <w:t xml:space="preserve">6 </w:t>
      </w:r>
      <w:r>
        <w:rPr>
          <w:rFonts w:hint="default" w:ascii="Times New Roman" w:hAnsi="Times New Roman" w:eastAsia="黑体" w:cs="Times New Roman"/>
          <w:b/>
          <w:bCs/>
          <w:color w:val="auto"/>
          <w:sz w:val="21"/>
          <w:szCs w:val="21"/>
        </w:rPr>
        <w:t>安全经营条件评价</w:t>
      </w:r>
    </w:p>
    <w:tbl>
      <w:tblPr>
        <w:tblStyle w:val="48"/>
        <w:tblW w:w="94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1"/>
        <w:gridCol w:w="2716"/>
        <w:gridCol w:w="2953"/>
        <w:gridCol w:w="2280"/>
        <w:gridCol w:w="884"/>
      </w:tblGrid>
      <w:tr w14:paraId="32D92D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tblHeader/>
          <w:jc w:val="center"/>
        </w:trPr>
        <w:tc>
          <w:tcPr>
            <w:tcW w:w="641" w:type="dxa"/>
            <w:noWrap w:val="0"/>
            <w:vAlign w:val="center"/>
          </w:tcPr>
          <w:p w14:paraId="2423C4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2716" w:type="dxa"/>
            <w:noWrap w:val="0"/>
            <w:vAlign w:val="center"/>
          </w:tcPr>
          <w:p w14:paraId="70D8B4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规范要求</w:t>
            </w:r>
          </w:p>
        </w:tc>
        <w:tc>
          <w:tcPr>
            <w:tcW w:w="2953" w:type="dxa"/>
            <w:noWrap w:val="0"/>
            <w:vAlign w:val="center"/>
          </w:tcPr>
          <w:p w14:paraId="573E50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引用规范文件</w:t>
            </w:r>
          </w:p>
        </w:tc>
        <w:tc>
          <w:tcPr>
            <w:tcW w:w="2280" w:type="dxa"/>
            <w:noWrap w:val="0"/>
            <w:vAlign w:val="center"/>
          </w:tcPr>
          <w:p w14:paraId="5A751B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实际情况</w:t>
            </w:r>
          </w:p>
        </w:tc>
        <w:tc>
          <w:tcPr>
            <w:tcW w:w="884" w:type="dxa"/>
            <w:noWrap w:val="0"/>
            <w:vAlign w:val="center"/>
          </w:tcPr>
          <w:p w14:paraId="68FFDE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符合性</w:t>
            </w:r>
          </w:p>
        </w:tc>
      </w:tr>
      <w:tr w14:paraId="226DE9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641" w:type="dxa"/>
            <w:noWrap w:val="0"/>
            <w:vAlign w:val="center"/>
          </w:tcPr>
          <w:p w14:paraId="7D995A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2716" w:type="dxa"/>
            <w:noWrap w:val="0"/>
            <w:vAlign w:val="center"/>
          </w:tcPr>
          <w:p w14:paraId="7EDC86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经营和储存场所、设施、建筑物符合《</w:t>
            </w:r>
            <w:r>
              <w:rPr>
                <w:rFonts w:hint="eastAsia" w:cs="Times New Roman"/>
                <w:color w:val="auto"/>
                <w:sz w:val="21"/>
                <w:szCs w:val="21"/>
                <w:lang w:eastAsia="zh-CN"/>
              </w:rPr>
              <w:t>汽车加油加气加氢站技术标准</w:t>
            </w:r>
            <w:r>
              <w:rPr>
                <w:rFonts w:hint="default" w:ascii="Times New Roman" w:hAnsi="Times New Roman" w:cs="Times New Roman"/>
                <w:color w:val="auto"/>
                <w:sz w:val="21"/>
                <w:szCs w:val="21"/>
              </w:rPr>
              <w:t>》（GB50156）的规定</w:t>
            </w:r>
          </w:p>
        </w:tc>
        <w:tc>
          <w:tcPr>
            <w:tcW w:w="2953" w:type="dxa"/>
            <w:noWrap w:val="0"/>
            <w:vAlign w:val="center"/>
          </w:tcPr>
          <w:p w14:paraId="28AFDF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第六条</w:t>
            </w:r>
          </w:p>
        </w:tc>
        <w:tc>
          <w:tcPr>
            <w:tcW w:w="2280" w:type="dxa"/>
            <w:noWrap w:val="0"/>
            <w:vAlign w:val="center"/>
          </w:tcPr>
          <w:p w14:paraId="2E259F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经营和储存场所、设施、建筑物符合《</w:t>
            </w:r>
            <w:r>
              <w:rPr>
                <w:rFonts w:hint="eastAsia" w:cs="Times New Roman"/>
                <w:color w:val="auto"/>
                <w:sz w:val="21"/>
                <w:szCs w:val="21"/>
                <w:lang w:eastAsia="zh-CN"/>
              </w:rPr>
              <w:t>汽车加油加气加氢站技术标准</w:t>
            </w:r>
            <w:r>
              <w:rPr>
                <w:rFonts w:hint="default" w:ascii="Times New Roman" w:hAnsi="Times New Roman" w:cs="Times New Roman"/>
                <w:color w:val="auto"/>
                <w:sz w:val="21"/>
                <w:szCs w:val="21"/>
              </w:rPr>
              <w:t>》的规定</w:t>
            </w:r>
          </w:p>
        </w:tc>
        <w:tc>
          <w:tcPr>
            <w:tcW w:w="884" w:type="dxa"/>
            <w:noWrap w:val="0"/>
            <w:vAlign w:val="center"/>
          </w:tcPr>
          <w:p w14:paraId="199EBF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8C6D6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6D3F92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716" w:type="dxa"/>
            <w:noWrap w:val="0"/>
            <w:vAlign w:val="center"/>
          </w:tcPr>
          <w:p w14:paraId="1F0756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企业主要负责人和安全生产管理人员具备与本企业危险化学品经营活动相适应的安全生产知识和管理能力，经专门的安全生产培训和安全生产监督管理部门考核合格，取得相应安全资格证书</w:t>
            </w:r>
          </w:p>
        </w:tc>
        <w:tc>
          <w:tcPr>
            <w:tcW w:w="2953" w:type="dxa"/>
            <w:noWrap w:val="0"/>
            <w:vAlign w:val="center"/>
          </w:tcPr>
          <w:p w14:paraId="15BD12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第六条</w:t>
            </w:r>
          </w:p>
        </w:tc>
        <w:tc>
          <w:tcPr>
            <w:tcW w:w="2280" w:type="dxa"/>
            <w:noWrap w:val="0"/>
            <w:vAlign w:val="center"/>
          </w:tcPr>
          <w:p w14:paraId="7AF688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企业主要负责人和安全生产管理人员持证上岗</w:t>
            </w:r>
          </w:p>
        </w:tc>
        <w:tc>
          <w:tcPr>
            <w:tcW w:w="884" w:type="dxa"/>
            <w:noWrap w:val="0"/>
            <w:vAlign w:val="center"/>
          </w:tcPr>
          <w:p w14:paraId="4096CB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2A4AB5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5B52D8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716" w:type="dxa"/>
            <w:noWrap w:val="0"/>
            <w:vAlign w:val="center"/>
          </w:tcPr>
          <w:p w14:paraId="3FAC83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有健全的安全生产规章制度和岗位操作规程</w:t>
            </w:r>
          </w:p>
        </w:tc>
        <w:tc>
          <w:tcPr>
            <w:tcW w:w="2953" w:type="dxa"/>
            <w:noWrap w:val="0"/>
            <w:vAlign w:val="center"/>
          </w:tcPr>
          <w:p w14:paraId="55D269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第六条</w:t>
            </w:r>
          </w:p>
        </w:tc>
        <w:tc>
          <w:tcPr>
            <w:tcW w:w="2280" w:type="dxa"/>
            <w:noWrap w:val="0"/>
            <w:vAlign w:val="center"/>
          </w:tcPr>
          <w:p w14:paraId="5A21FA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有健全的安全生产规章制度和岗位操作规程</w:t>
            </w:r>
          </w:p>
        </w:tc>
        <w:tc>
          <w:tcPr>
            <w:tcW w:w="884" w:type="dxa"/>
            <w:noWrap w:val="0"/>
            <w:vAlign w:val="center"/>
          </w:tcPr>
          <w:p w14:paraId="50A8A9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08E08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2093F5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2716" w:type="dxa"/>
            <w:noWrap w:val="0"/>
            <w:vAlign w:val="center"/>
          </w:tcPr>
          <w:p w14:paraId="3EE02D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有符合国家规定的危险化学品事故应急预案，并配备必要的应急救援器材、设备</w:t>
            </w:r>
          </w:p>
        </w:tc>
        <w:tc>
          <w:tcPr>
            <w:tcW w:w="2953" w:type="dxa"/>
            <w:noWrap w:val="0"/>
            <w:vAlign w:val="center"/>
          </w:tcPr>
          <w:p w14:paraId="4C0FE1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第六条</w:t>
            </w:r>
          </w:p>
        </w:tc>
        <w:tc>
          <w:tcPr>
            <w:tcW w:w="2280" w:type="dxa"/>
            <w:noWrap w:val="0"/>
            <w:vAlign w:val="center"/>
          </w:tcPr>
          <w:p w14:paraId="7561AE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有符合国家规定的危险化学品事故应急预案，格式符合《生产经营单位生产安全事故应急预案编制导则》</w:t>
            </w:r>
            <w:r>
              <w:rPr>
                <w:rFonts w:hint="eastAsia" w:cs="Times New Roman"/>
                <w:color w:val="auto"/>
                <w:sz w:val="21"/>
                <w:szCs w:val="21"/>
                <w:lang w:eastAsia="zh-CN"/>
              </w:rPr>
              <w:t>的</w:t>
            </w:r>
            <w:r>
              <w:rPr>
                <w:rFonts w:hint="eastAsia" w:cs="Times New Roman"/>
                <w:color w:val="auto"/>
                <w:sz w:val="21"/>
                <w:szCs w:val="21"/>
                <w:lang w:val="en-US" w:eastAsia="zh-CN"/>
              </w:rPr>
              <w:t>要求</w:t>
            </w:r>
            <w:r>
              <w:rPr>
                <w:rFonts w:hint="eastAsia" w:cs="Times New Roman"/>
                <w:color w:val="auto"/>
                <w:sz w:val="21"/>
                <w:szCs w:val="21"/>
                <w:lang w:eastAsia="zh-CN"/>
              </w:rPr>
              <w:t>，</w:t>
            </w:r>
            <w:r>
              <w:rPr>
                <w:rFonts w:hint="default" w:ascii="Times New Roman" w:hAnsi="Times New Roman" w:cs="Times New Roman"/>
                <w:color w:val="auto"/>
                <w:sz w:val="21"/>
                <w:szCs w:val="21"/>
              </w:rPr>
              <w:t>并配备必要的应急救援器材、设备</w:t>
            </w:r>
          </w:p>
        </w:tc>
        <w:tc>
          <w:tcPr>
            <w:tcW w:w="884" w:type="dxa"/>
            <w:noWrap w:val="0"/>
            <w:vAlign w:val="center"/>
          </w:tcPr>
          <w:p w14:paraId="43C8B8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0E574D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4DBA10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2716" w:type="dxa"/>
            <w:noWrap w:val="0"/>
            <w:vAlign w:val="center"/>
          </w:tcPr>
          <w:p w14:paraId="138892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储存设施与相关场所、设施、区域的距离符合有关法律、法规、规章和标准的规定</w:t>
            </w:r>
          </w:p>
        </w:tc>
        <w:tc>
          <w:tcPr>
            <w:tcW w:w="2953" w:type="dxa"/>
            <w:noWrap w:val="0"/>
            <w:vAlign w:val="center"/>
          </w:tcPr>
          <w:p w14:paraId="6F0B55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第八条</w:t>
            </w:r>
          </w:p>
        </w:tc>
        <w:tc>
          <w:tcPr>
            <w:tcW w:w="2280" w:type="dxa"/>
            <w:noWrap w:val="0"/>
            <w:vAlign w:val="center"/>
          </w:tcPr>
          <w:p w14:paraId="08443F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储罐区与周边建构筑物防火间距符合要求</w:t>
            </w:r>
          </w:p>
        </w:tc>
        <w:tc>
          <w:tcPr>
            <w:tcW w:w="884" w:type="dxa"/>
            <w:noWrap w:val="0"/>
            <w:vAlign w:val="center"/>
          </w:tcPr>
          <w:p w14:paraId="3DCFA6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655D4C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549CB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2716" w:type="dxa"/>
            <w:noWrap w:val="0"/>
            <w:vAlign w:val="center"/>
          </w:tcPr>
          <w:p w14:paraId="738219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依照有关规定进行安全评价，安全评价报告符合《危险化学品经营企业安全评价细则》的要求</w:t>
            </w:r>
          </w:p>
        </w:tc>
        <w:tc>
          <w:tcPr>
            <w:tcW w:w="2953" w:type="dxa"/>
            <w:noWrap w:val="0"/>
            <w:vAlign w:val="center"/>
          </w:tcPr>
          <w:p w14:paraId="3FFC32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第八条</w:t>
            </w:r>
          </w:p>
        </w:tc>
        <w:tc>
          <w:tcPr>
            <w:tcW w:w="2280" w:type="dxa"/>
            <w:noWrap w:val="0"/>
            <w:vAlign w:val="center"/>
          </w:tcPr>
          <w:p w14:paraId="2F9D0C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完成了安全预评价，目前正进行安全验收评价</w:t>
            </w:r>
          </w:p>
        </w:tc>
        <w:tc>
          <w:tcPr>
            <w:tcW w:w="884" w:type="dxa"/>
            <w:noWrap w:val="0"/>
            <w:vAlign w:val="center"/>
          </w:tcPr>
          <w:p w14:paraId="2CC0CC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r w14:paraId="47B7DE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41" w:type="dxa"/>
            <w:noWrap w:val="0"/>
            <w:vAlign w:val="center"/>
          </w:tcPr>
          <w:p w14:paraId="628324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w:t>
            </w:r>
          </w:p>
        </w:tc>
        <w:tc>
          <w:tcPr>
            <w:tcW w:w="2716" w:type="dxa"/>
            <w:noWrap w:val="0"/>
            <w:vAlign w:val="center"/>
          </w:tcPr>
          <w:p w14:paraId="006320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符合《危险化学品安全管理条例》、《危险化学品重大危险源监督管理暂行规定》、《</w:t>
            </w:r>
            <w:r>
              <w:rPr>
                <w:rFonts w:hint="eastAsia" w:cs="Times New Roman"/>
                <w:color w:val="auto"/>
                <w:sz w:val="21"/>
                <w:szCs w:val="21"/>
                <w:lang w:eastAsia="zh-CN"/>
              </w:rPr>
              <w:t>危险化学品仓库储存通则</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eastAsia="zh-CN"/>
              </w:rPr>
              <w:t>GB</w:t>
            </w:r>
            <w:r>
              <w:rPr>
                <w:rFonts w:hint="eastAsia" w:cs="Times New Roman"/>
                <w:color w:val="auto"/>
                <w:sz w:val="21"/>
                <w:szCs w:val="21"/>
                <w:lang w:eastAsia="zh-CN"/>
              </w:rPr>
              <w:t xml:space="preserve"> </w:t>
            </w:r>
            <w:r>
              <w:rPr>
                <w:rFonts w:hint="eastAsia" w:ascii="Times New Roman" w:hAnsi="Times New Roman" w:cs="Times New Roman"/>
                <w:color w:val="auto"/>
                <w:sz w:val="21"/>
                <w:szCs w:val="21"/>
                <w:lang w:eastAsia="zh-CN"/>
              </w:rPr>
              <w:t>15603</w:t>
            </w:r>
            <w:r>
              <w:rPr>
                <w:rFonts w:hint="eastAsia" w:cs="Times New Roman"/>
                <w:color w:val="auto"/>
                <w:sz w:val="21"/>
                <w:szCs w:val="21"/>
                <w:lang w:eastAsia="zh-CN"/>
              </w:rPr>
              <w:t>-</w:t>
            </w:r>
            <w:r>
              <w:rPr>
                <w:rFonts w:hint="eastAsia" w:ascii="Times New Roman" w:hAnsi="Times New Roman" w:cs="Times New Roman"/>
                <w:color w:val="auto"/>
                <w:sz w:val="21"/>
                <w:szCs w:val="21"/>
                <w:lang w:eastAsia="zh-CN"/>
              </w:rPr>
              <w:t>2022</w:t>
            </w:r>
            <w:r>
              <w:rPr>
                <w:rFonts w:hint="default" w:ascii="Times New Roman" w:hAnsi="Times New Roman" w:cs="Times New Roman"/>
                <w:color w:val="auto"/>
                <w:sz w:val="21"/>
                <w:szCs w:val="21"/>
              </w:rPr>
              <w:t>）的相关规定</w:t>
            </w:r>
          </w:p>
        </w:tc>
        <w:tc>
          <w:tcPr>
            <w:tcW w:w="2953" w:type="dxa"/>
            <w:noWrap w:val="0"/>
            <w:vAlign w:val="center"/>
          </w:tcPr>
          <w:p w14:paraId="1E822C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《危险化学品经营许可证管理办法》（原国家安全生产监督管理总局令[2012]第55号，2015年79号令修改） 第八条</w:t>
            </w:r>
          </w:p>
        </w:tc>
        <w:tc>
          <w:tcPr>
            <w:tcW w:w="2280" w:type="dxa"/>
            <w:noWrap w:val="0"/>
            <w:vAlign w:val="center"/>
          </w:tcPr>
          <w:p w14:paraId="6E06AD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符合相关要求</w:t>
            </w:r>
          </w:p>
        </w:tc>
        <w:tc>
          <w:tcPr>
            <w:tcW w:w="884" w:type="dxa"/>
            <w:noWrap w:val="0"/>
            <w:vAlign w:val="center"/>
          </w:tcPr>
          <w:p w14:paraId="060792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符合</w:t>
            </w:r>
          </w:p>
        </w:tc>
      </w:tr>
    </w:tbl>
    <w:p w14:paraId="56606DB4">
      <w:pPr>
        <w:keepNext w:val="0"/>
        <w:keepLines w:val="0"/>
        <w:pageBreakBefore w:val="0"/>
        <w:widowControl/>
        <w:kinsoku/>
        <w:wordWrap/>
        <w:overflowPunct/>
        <w:topLinePunct w:val="0"/>
        <w:autoSpaceDE/>
        <w:autoSpaceDN/>
        <w:bidi w:val="0"/>
        <w:adjustRightInd/>
        <w:snapToGrid w:val="0"/>
        <w:spacing w:line="500" w:lineRule="exact"/>
        <w:ind w:firstLine="562"/>
        <w:textAlignment w:val="auto"/>
        <w:rPr>
          <w:rFonts w:hint="eastAsia"/>
          <w:b/>
          <w:bCs/>
          <w:color w:val="auto"/>
          <w:lang w:val="en-US" w:eastAsia="zh-CN"/>
        </w:rPr>
      </w:pPr>
      <w:r>
        <w:rPr>
          <w:rFonts w:hint="eastAsia"/>
          <w:color w:val="auto"/>
        </w:rPr>
        <w:t>从表中结果可以看出，该加油站能够满足《危险化学品经营许可证管理办法》中相关要求</w:t>
      </w:r>
      <w:r>
        <w:rPr>
          <w:rFonts w:hAnsi="宋体"/>
          <w:color w:val="auto"/>
        </w:rPr>
        <w:t>。</w:t>
      </w:r>
    </w:p>
    <w:p w14:paraId="65BADA02">
      <w:pPr>
        <w:keepNext w:val="0"/>
        <w:keepLines w:val="0"/>
        <w:pageBreakBefore w:val="0"/>
        <w:widowControl/>
        <w:kinsoku/>
        <w:wordWrap/>
        <w:overflowPunct/>
        <w:topLinePunct w:val="0"/>
        <w:autoSpaceDE/>
        <w:autoSpaceDN/>
        <w:bidi w:val="0"/>
        <w:adjustRightInd/>
        <w:snapToGrid/>
        <w:spacing w:line="520" w:lineRule="exact"/>
        <w:ind w:firstLine="562"/>
        <w:textAlignment w:val="auto"/>
        <w:rPr>
          <w:b/>
          <w:bCs/>
          <w:color w:val="auto"/>
        </w:rPr>
      </w:pPr>
      <w:r>
        <w:rPr>
          <w:rFonts w:hint="eastAsia" w:ascii="Times New Roman" w:hAnsi="Times New Roman"/>
          <w:b/>
          <w:bCs/>
          <w:color w:val="auto"/>
          <w:lang w:val="en-US" w:eastAsia="zh-CN"/>
        </w:rPr>
        <w:t>7</w:t>
      </w:r>
      <w:r>
        <w:rPr>
          <w:rFonts w:hint="eastAsia"/>
          <w:b/>
          <w:bCs/>
          <w:color w:val="auto"/>
          <w:lang w:val="en-US" w:eastAsia="zh-CN"/>
        </w:rPr>
        <w:t>）</w:t>
      </w:r>
      <w:r>
        <w:rPr>
          <w:rFonts w:hint="eastAsia"/>
          <w:b/>
          <w:bCs/>
          <w:color w:val="auto"/>
        </w:rPr>
        <w:t>重大生产安全事故隐患评价</w:t>
      </w:r>
      <w:bookmarkEnd w:id="735"/>
      <w:bookmarkEnd w:id="736"/>
      <w:bookmarkEnd w:id="737"/>
      <w:r>
        <w:rPr>
          <w:rFonts w:hint="eastAsia"/>
          <w:b/>
          <w:bCs/>
          <w:color w:val="auto"/>
        </w:rPr>
        <w:t>：</w:t>
      </w:r>
    </w:p>
    <w:p w14:paraId="6F2F0A75">
      <w:pPr>
        <w:keepNext w:val="0"/>
        <w:keepLines w:val="0"/>
        <w:pageBreakBefore w:val="0"/>
        <w:widowControl/>
        <w:kinsoku/>
        <w:wordWrap/>
        <w:overflowPunct/>
        <w:topLinePunct w:val="0"/>
        <w:autoSpaceDE/>
        <w:autoSpaceDN/>
        <w:bidi w:val="0"/>
        <w:adjustRightInd/>
        <w:snapToGrid/>
        <w:spacing w:line="520" w:lineRule="exact"/>
        <w:ind w:firstLine="560"/>
        <w:textAlignment w:val="auto"/>
        <w:rPr>
          <w:rFonts w:ascii="宋体" w:hAnsi="宋体"/>
          <w:color w:val="auto"/>
        </w:rPr>
      </w:pPr>
      <w:r>
        <w:rPr>
          <w:color w:val="auto"/>
        </w:rPr>
        <w:t>根据《国家安全监管总局关于印发〈化工和危险化学品生产经营单位重大生产安全事故隐患判定标准（试行）〉的通知》（</w:t>
      </w:r>
      <w:r>
        <w:rPr>
          <w:rFonts w:hint="eastAsia"/>
          <w:color w:val="auto"/>
          <w:lang w:eastAsia="zh-CN"/>
        </w:rPr>
        <w:t>安</w:t>
      </w:r>
      <w:r>
        <w:rPr>
          <w:color w:val="auto"/>
        </w:rPr>
        <w:t>监总管三〔</w:t>
      </w:r>
      <w:r>
        <w:rPr>
          <w:rFonts w:ascii="Times New Roman" w:hAnsi="Times New Roman"/>
          <w:color w:val="auto"/>
        </w:rPr>
        <w:t>2017</w:t>
      </w:r>
      <w:r>
        <w:rPr>
          <w:color w:val="auto"/>
        </w:rPr>
        <w:t>〕</w:t>
      </w:r>
      <w:r>
        <w:rPr>
          <w:rFonts w:ascii="Times New Roman" w:hAnsi="Times New Roman"/>
          <w:color w:val="auto"/>
        </w:rPr>
        <w:t>121</w:t>
      </w:r>
      <w:r>
        <w:rPr>
          <w:color w:val="auto"/>
        </w:rPr>
        <w:t>号）规定编制安全检查表，对</w:t>
      </w:r>
      <w:r>
        <w:rPr>
          <w:rFonts w:hint="eastAsia"/>
          <w:color w:val="auto"/>
        </w:rPr>
        <w:t>该加</w:t>
      </w:r>
      <w:r>
        <w:rPr>
          <w:color w:val="auto"/>
        </w:rPr>
        <w:t>油站是否存在重大生产安全事故隐患进行检查，检查结果见下表</w:t>
      </w:r>
      <w:r>
        <w:rPr>
          <w:rFonts w:ascii="宋体" w:hAnsi="宋体"/>
          <w:color w:val="auto"/>
        </w:rPr>
        <w:t>：</w:t>
      </w:r>
    </w:p>
    <w:p w14:paraId="2C7ACCE7">
      <w:pPr>
        <w:pStyle w:val="21"/>
        <w:rPr>
          <w:rFonts w:hint="default" w:ascii="Times New Roman" w:hAnsi="Times New Roman" w:cs="Times New Roman"/>
          <w:color w:val="auto"/>
          <w:szCs w:val="21"/>
        </w:rPr>
      </w:pPr>
      <w:bookmarkStart w:id="738" w:name="OLE_LINK507"/>
      <w:bookmarkStart w:id="739" w:name="OLE_LINK503"/>
      <w:bookmarkStart w:id="740" w:name="OLE_LINK506"/>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7</w:t>
      </w:r>
      <w:r>
        <w:rPr>
          <w:rFonts w:hint="default" w:ascii="Times New Roman" w:hAnsi="Times New Roman" w:cs="Times New Roman"/>
          <w:color w:val="auto"/>
          <w:szCs w:val="21"/>
        </w:rPr>
        <w:t xml:space="preserve"> 重大生产安全事故隐患判定检查表</w:t>
      </w:r>
      <w:bookmarkEnd w:id="738"/>
      <w:bookmarkEnd w:id="739"/>
      <w:bookmarkEnd w:id="740"/>
    </w:p>
    <w:tbl>
      <w:tblPr>
        <w:tblStyle w:val="48"/>
        <w:tblW w:w="92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3"/>
        <w:gridCol w:w="4371"/>
        <w:gridCol w:w="3289"/>
        <w:gridCol w:w="856"/>
      </w:tblGrid>
      <w:tr w14:paraId="4F46B0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4" w:hRule="atLeast"/>
          <w:tblHeader/>
          <w:jc w:val="center"/>
        </w:trPr>
        <w:tc>
          <w:tcPr>
            <w:tcW w:w="743" w:type="dxa"/>
            <w:vAlign w:val="center"/>
          </w:tcPr>
          <w:p w14:paraId="2DC5203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eastAsia"/>
                <w:b/>
                <w:bCs/>
                <w:color w:val="auto"/>
              </w:rPr>
              <w:t>序号</w:t>
            </w:r>
          </w:p>
        </w:tc>
        <w:tc>
          <w:tcPr>
            <w:tcW w:w="4371" w:type="dxa"/>
            <w:vAlign w:val="center"/>
          </w:tcPr>
          <w:p w14:paraId="2782083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eastAsia"/>
                <w:b/>
                <w:bCs/>
                <w:color w:val="auto"/>
              </w:rPr>
              <w:t>判定标准</w:t>
            </w:r>
          </w:p>
        </w:tc>
        <w:tc>
          <w:tcPr>
            <w:tcW w:w="3289" w:type="dxa"/>
            <w:vAlign w:val="center"/>
          </w:tcPr>
          <w:p w14:paraId="6EAF319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eastAsia"/>
                <w:b/>
                <w:bCs/>
                <w:color w:val="auto"/>
              </w:rPr>
              <w:t>检查情况</w:t>
            </w:r>
          </w:p>
        </w:tc>
        <w:tc>
          <w:tcPr>
            <w:tcW w:w="856" w:type="dxa"/>
            <w:vAlign w:val="center"/>
          </w:tcPr>
          <w:p w14:paraId="1471B48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b/>
                <w:bCs/>
                <w:color w:val="auto"/>
              </w:rPr>
            </w:pPr>
            <w:r>
              <w:rPr>
                <w:rFonts w:hint="eastAsia"/>
                <w:b/>
                <w:bCs/>
                <w:color w:val="auto"/>
              </w:rPr>
              <w:t>结论</w:t>
            </w:r>
          </w:p>
        </w:tc>
      </w:tr>
      <w:tr w14:paraId="3E2EC0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3" w:type="dxa"/>
            <w:vAlign w:val="center"/>
          </w:tcPr>
          <w:p w14:paraId="0A3A1DC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w:t>
            </w:r>
          </w:p>
        </w:tc>
        <w:tc>
          <w:tcPr>
            <w:tcW w:w="4371" w:type="dxa"/>
            <w:vAlign w:val="center"/>
          </w:tcPr>
          <w:p w14:paraId="3435414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危险化学品生产、经营单位主要负责人和安全生产管理人员未依法经考核合格。</w:t>
            </w:r>
          </w:p>
        </w:tc>
        <w:tc>
          <w:tcPr>
            <w:tcW w:w="3289" w:type="dxa"/>
            <w:vAlign w:val="center"/>
          </w:tcPr>
          <w:p w14:paraId="2E5E756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主要负责人已取得危险化学品经营单位主要负责人证件；安全生产管理人员已取得危险化学品经营单位安全生产管理人员证件。</w:t>
            </w:r>
          </w:p>
        </w:tc>
        <w:tc>
          <w:tcPr>
            <w:tcW w:w="856" w:type="dxa"/>
            <w:vAlign w:val="center"/>
          </w:tcPr>
          <w:p w14:paraId="1A4C411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2B8909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0" w:hRule="atLeast"/>
          <w:jc w:val="center"/>
        </w:trPr>
        <w:tc>
          <w:tcPr>
            <w:tcW w:w="743" w:type="dxa"/>
            <w:vAlign w:val="center"/>
          </w:tcPr>
          <w:p w14:paraId="6ED0715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2</w:t>
            </w:r>
          </w:p>
        </w:tc>
        <w:tc>
          <w:tcPr>
            <w:tcW w:w="4371" w:type="dxa"/>
            <w:vAlign w:val="center"/>
          </w:tcPr>
          <w:p w14:paraId="4D17B0E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特种作业人员未持证上岗。</w:t>
            </w:r>
          </w:p>
        </w:tc>
        <w:tc>
          <w:tcPr>
            <w:tcW w:w="3289" w:type="dxa"/>
            <w:vAlign w:val="center"/>
          </w:tcPr>
          <w:p w14:paraId="48F91A0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lang w:val="en-US" w:eastAsia="zh-CN"/>
              </w:rPr>
              <w:t>不涉及</w:t>
            </w:r>
            <w:r>
              <w:rPr>
                <w:rFonts w:hint="eastAsia"/>
                <w:color w:val="auto"/>
              </w:rPr>
              <w:t>。</w:t>
            </w:r>
          </w:p>
        </w:tc>
        <w:tc>
          <w:tcPr>
            <w:tcW w:w="856" w:type="dxa"/>
            <w:vAlign w:val="center"/>
          </w:tcPr>
          <w:p w14:paraId="07E3923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73DC0C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43" w:type="dxa"/>
            <w:vAlign w:val="center"/>
          </w:tcPr>
          <w:p w14:paraId="0B41892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3</w:t>
            </w:r>
          </w:p>
        </w:tc>
        <w:tc>
          <w:tcPr>
            <w:tcW w:w="4371" w:type="dxa"/>
            <w:vAlign w:val="center"/>
          </w:tcPr>
          <w:p w14:paraId="7364EFB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涉及“两重点一重大”的生产装置、储存设施外部安全防护距离不符合国家标准要求。</w:t>
            </w:r>
          </w:p>
        </w:tc>
        <w:tc>
          <w:tcPr>
            <w:tcW w:w="3289" w:type="dxa"/>
            <w:vAlign w:val="center"/>
          </w:tcPr>
          <w:p w14:paraId="6BEE635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该加油站周边建（构）筑物距离符合《汽车加油加气加氢站技术标准》（</w:t>
            </w:r>
            <w:r>
              <w:rPr>
                <w:rFonts w:hint="eastAsia" w:ascii="Times New Roman" w:hAnsi="Times New Roman"/>
                <w:color w:val="auto"/>
              </w:rPr>
              <w:t>GB50156</w:t>
            </w:r>
            <w:r>
              <w:rPr>
                <w:rFonts w:hint="eastAsia"/>
                <w:color w:val="auto"/>
              </w:rPr>
              <w:t>-</w:t>
            </w:r>
            <w:r>
              <w:rPr>
                <w:rFonts w:hint="eastAsia" w:ascii="Times New Roman" w:hAnsi="Times New Roman"/>
                <w:color w:val="auto"/>
              </w:rPr>
              <w:t>2021</w:t>
            </w:r>
            <w:r>
              <w:rPr>
                <w:rFonts w:hint="eastAsia"/>
                <w:color w:val="auto"/>
              </w:rPr>
              <w:t>）要求。</w:t>
            </w:r>
          </w:p>
        </w:tc>
        <w:tc>
          <w:tcPr>
            <w:tcW w:w="856" w:type="dxa"/>
            <w:vAlign w:val="center"/>
          </w:tcPr>
          <w:p w14:paraId="034A9CE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29ACF2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743" w:type="dxa"/>
            <w:vAlign w:val="center"/>
          </w:tcPr>
          <w:p w14:paraId="6EA8651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4</w:t>
            </w:r>
          </w:p>
        </w:tc>
        <w:tc>
          <w:tcPr>
            <w:tcW w:w="4371" w:type="dxa"/>
            <w:vAlign w:val="center"/>
          </w:tcPr>
          <w:p w14:paraId="49ACD92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涉及重点监管危险化工工艺的装置未实现自动化控制，系统未实现紧急停车功能，装备的自动化控制系统、紧急停车系统未投入使用。</w:t>
            </w:r>
          </w:p>
        </w:tc>
        <w:tc>
          <w:tcPr>
            <w:tcW w:w="3289" w:type="dxa"/>
            <w:vAlign w:val="center"/>
          </w:tcPr>
          <w:p w14:paraId="740762A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该加油站生产工艺不属于重点监管危险化工工艺。</w:t>
            </w:r>
          </w:p>
        </w:tc>
        <w:tc>
          <w:tcPr>
            <w:tcW w:w="856" w:type="dxa"/>
            <w:vAlign w:val="center"/>
          </w:tcPr>
          <w:p w14:paraId="7466235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4471EF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98" w:hRule="atLeast"/>
          <w:jc w:val="center"/>
        </w:trPr>
        <w:tc>
          <w:tcPr>
            <w:tcW w:w="743" w:type="dxa"/>
            <w:vAlign w:val="center"/>
          </w:tcPr>
          <w:p w14:paraId="263CBBB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5</w:t>
            </w:r>
          </w:p>
        </w:tc>
        <w:tc>
          <w:tcPr>
            <w:tcW w:w="4371" w:type="dxa"/>
            <w:vAlign w:val="center"/>
          </w:tcPr>
          <w:p w14:paraId="2A8CB27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构成一级、二级重大危险源的危险化学品罐区未实现紧急切断功能；涉及毒性气体、液化气体、剧毒液体的一级、二级重大危险源的危险化学品罐区未配备独立的安全仪表系统。</w:t>
            </w:r>
          </w:p>
        </w:tc>
        <w:tc>
          <w:tcPr>
            <w:tcW w:w="3289" w:type="dxa"/>
            <w:vAlign w:val="center"/>
          </w:tcPr>
          <w:p w14:paraId="6C3F178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该加油站未构成重大危险源。</w:t>
            </w:r>
          </w:p>
        </w:tc>
        <w:tc>
          <w:tcPr>
            <w:tcW w:w="856" w:type="dxa"/>
            <w:vAlign w:val="center"/>
          </w:tcPr>
          <w:p w14:paraId="1105199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21200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58" w:hRule="atLeast"/>
          <w:jc w:val="center"/>
        </w:trPr>
        <w:tc>
          <w:tcPr>
            <w:tcW w:w="743" w:type="dxa"/>
            <w:vAlign w:val="center"/>
          </w:tcPr>
          <w:p w14:paraId="04222E6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6</w:t>
            </w:r>
          </w:p>
        </w:tc>
        <w:tc>
          <w:tcPr>
            <w:tcW w:w="4371" w:type="dxa"/>
            <w:vAlign w:val="center"/>
          </w:tcPr>
          <w:p w14:paraId="5092D1E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全压力式液化烃储罐未按国家标准设置注水措施。</w:t>
            </w:r>
          </w:p>
        </w:tc>
        <w:tc>
          <w:tcPr>
            <w:tcW w:w="3289" w:type="dxa"/>
            <w:vAlign w:val="center"/>
          </w:tcPr>
          <w:p w14:paraId="5E0930F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该加油站未使用全压力式液化烃储罐。</w:t>
            </w:r>
          </w:p>
        </w:tc>
        <w:tc>
          <w:tcPr>
            <w:tcW w:w="856" w:type="dxa"/>
            <w:vAlign w:val="center"/>
          </w:tcPr>
          <w:p w14:paraId="3EA3025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334E85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743" w:type="dxa"/>
            <w:vAlign w:val="center"/>
          </w:tcPr>
          <w:p w14:paraId="0966523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7</w:t>
            </w:r>
          </w:p>
        </w:tc>
        <w:tc>
          <w:tcPr>
            <w:tcW w:w="4371" w:type="dxa"/>
            <w:vAlign w:val="center"/>
          </w:tcPr>
          <w:p w14:paraId="7F5DD4C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液化烃、液氨、液氯等易燃易爆、有毒有害液化气体的充装未使用万向管道充装系统</w:t>
            </w:r>
          </w:p>
        </w:tc>
        <w:tc>
          <w:tcPr>
            <w:tcW w:w="3289" w:type="dxa"/>
            <w:vAlign w:val="center"/>
          </w:tcPr>
          <w:p w14:paraId="0F3116E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该加油站未涉及液化烃、液氨、液氯等易燃易爆、有毒有害液化气体的充装。</w:t>
            </w:r>
          </w:p>
        </w:tc>
        <w:tc>
          <w:tcPr>
            <w:tcW w:w="856" w:type="dxa"/>
            <w:vAlign w:val="center"/>
          </w:tcPr>
          <w:p w14:paraId="4F79F54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63470A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2" w:hRule="atLeast"/>
          <w:jc w:val="center"/>
        </w:trPr>
        <w:tc>
          <w:tcPr>
            <w:tcW w:w="743" w:type="dxa"/>
            <w:vAlign w:val="center"/>
          </w:tcPr>
          <w:p w14:paraId="426E1F7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8</w:t>
            </w:r>
          </w:p>
        </w:tc>
        <w:tc>
          <w:tcPr>
            <w:tcW w:w="4371" w:type="dxa"/>
            <w:vAlign w:val="center"/>
          </w:tcPr>
          <w:p w14:paraId="7F45FB2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光气、氯气等剧毒气体及硫化氢气体管道穿越除厂区（包括化工园区、工业园区）外的公共区域。</w:t>
            </w:r>
          </w:p>
        </w:tc>
        <w:tc>
          <w:tcPr>
            <w:tcW w:w="3289" w:type="dxa"/>
            <w:vAlign w:val="center"/>
          </w:tcPr>
          <w:p w14:paraId="7E221A6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该加油站不涉及光气、氯气等剧毒气体及硫化氢气。</w:t>
            </w:r>
          </w:p>
        </w:tc>
        <w:tc>
          <w:tcPr>
            <w:tcW w:w="856" w:type="dxa"/>
            <w:vAlign w:val="center"/>
          </w:tcPr>
          <w:p w14:paraId="5733B87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32291E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3" w:hRule="atLeast"/>
          <w:jc w:val="center"/>
        </w:trPr>
        <w:tc>
          <w:tcPr>
            <w:tcW w:w="743" w:type="dxa"/>
            <w:vAlign w:val="center"/>
          </w:tcPr>
          <w:p w14:paraId="7B042BB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9</w:t>
            </w:r>
          </w:p>
        </w:tc>
        <w:tc>
          <w:tcPr>
            <w:tcW w:w="4371" w:type="dxa"/>
            <w:vAlign w:val="center"/>
          </w:tcPr>
          <w:p w14:paraId="595243A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地区架空电力线路穿越生产区且不符合国家标准要求。</w:t>
            </w:r>
          </w:p>
        </w:tc>
        <w:tc>
          <w:tcPr>
            <w:tcW w:w="3289" w:type="dxa"/>
            <w:vAlign w:val="center"/>
          </w:tcPr>
          <w:p w14:paraId="475E958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没有架空电力线穿越加油作业区。</w:t>
            </w:r>
          </w:p>
        </w:tc>
        <w:tc>
          <w:tcPr>
            <w:tcW w:w="856" w:type="dxa"/>
            <w:vAlign w:val="center"/>
          </w:tcPr>
          <w:p w14:paraId="14085C9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3EB09F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743" w:type="dxa"/>
            <w:vAlign w:val="center"/>
          </w:tcPr>
          <w:p w14:paraId="3F09711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10</w:t>
            </w:r>
          </w:p>
        </w:tc>
        <w:tc>
          <w:tcPr>
            <w:tcW w:w="4371" w:type="dxa"/>
            <w:vAlign w:val="center"/>
          </w:tcPr>
          <w:p w14:paraId="04FDA7A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在役化工装置未经正规设计且未进行安全设计诊断。</w:t>
            </w:r>
          </w:p>
        </w:tc>
        <w:tc>
          <w:tcPr>
            <w:tcW w:w="3289" w:type="dxa"/>
            <w:vAlign w:val="center"/>
          </w:tcPr>
          <w:p w14:paraId="56652E8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该加油站经正规设计院设计。</w:t>
            </w:r>
          </w:p>
        </w:tc>
        <w:tc>
          <w:tcPr>
            <w:tcW w:w="856" w:type="dxa"/>
            <w:vAlign w:val="center"/>
          </w:tcPr>
          <w:p w14:paraId="4A7839C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6EDD64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743" w:type="dxa"/>
            <w:vAlign w:val="center"/>
          </w:tcPr>
          <w:p w14:paraId="19A18EC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11</w:t>
            </w:r>
          </w:p>
        </w:tc>
        <w:tc>
          <w:tcPr>
            <w:tcW w:w="4371" w:type="dxa"/>
            <w:vAlign w:val="center"/>
          </w:tcPr>
          <w:p w14:paraId="17B9F03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使用淘汰落后安全技术工艺、设备目录列出的工艺、设备。</w:t>
            </w:r>
          </w:p>
        </w:tc>
        <w:tc>
          <w:tcPr>
            <w:tcW w:w="3289" w:type="dxa"/>
            <w:vAlign w:val="center"/>
          </w:tcPr>
          <w:p w14:paraId="13D10F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该加油站没有使用淘汰落后安全技术工艺、设备目录列出的工艺、设备。</w:t>
            </w:r>
          </w:p>
        </w:tc>
        <w:tc>
          <w:tcPr>
            <w:tcW w:w="856" w:type="dxa"/>
            <w:vAlign w:val="center"/>
          </w:tcPr>
          <w:p w14:paraId="0B64ED9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5D7F39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743" w:type="dxa"/>
            <w:vAlign w:val="center"/>
          </w:tcPr>
          <w:p w14:paraId="284202F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12</w:t>
            </w:r>
          </w:p>
        </w:tc>
        <w:tc>
          <w:tcPr>
            <w:tcW w:w="4371" w:type="dxa"/>
            <w:vAlign w:val="center"/>
          </w:tcPr>
          <w:p w14:paraId="11130E6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涉及可燃和有毒有害气体泄漏的场所未按国家标准设置检测报警装置，爆炸危险场所未按国家标准安装使用防爆电气设备。</w:t>
            </w:r>
          </w:p>
        </w:tc>
        <w:tc>
          <w:tcPr>
            <w:tcW w:w="3289" w:type="dxa"/>
            <w:vAlign w:val="center"/>
          </w:tcPr>
          <w:p w14:paraId="196F6198">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油罐设有液位监视系统，能集中对地下油罐的液位进行监视，实现越限报警。双层罐设置了在线泄漏监测系统，</w:t>
            </w:r>
            <w:r>
              <w:rPr>
                <w:rFonts w:hint="eastAsia"/>
                <w:color w:val="auto"/>
                <w:lang w:eastAsia="zh-CN"/>
              </w:rPr>
              <w:t>测漏仪</w:t>
            </w:r>
            <w:r>
              <w:rPr>
                <w:rFonts w:hint="eastAsia"/>
                <w:color w:val="auto"/>
              </w:rPr>
              <w:t>与液位报警系统联锁。</w:t>
            </w:r>
          </w:p>
        </w:tc>
        <w:tc>
          <w:tcPr>
            <w:tcW w:w="856" w:type="dxa"/>
            <w:vAlign w:val="center"/>
          </w:tcPr>
          <w:p w14:paraId="3788F8A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498BF7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743" w:type="dxa"/>
            <w:vAlign w:val="center"/>
          </w:tcPr>
          <w:p w14:paraId="21EA271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13</w:t>
            </w:r>
          </w:p>
        </w:tc>
        <w:tc>
          <w:tcPr>
            <w:tcW w:w="4371" w:type="dxa"/>
            <w:vAlign w:val="center"/>
          </w:tcPr>
          <w:p w14:paraId="69B25F3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控制室或机柜间面向具有火灾、爆炸危险性装置一侧不满足国家标准关于防火防爆的要求。</w:t>
            </w:r>
          </w:p>
        </w:tc>
        <w:tc>
          <w:tcPr>
            <w:tcW w:w="3289" w:type="dxa"/>
            <w:vAlign w:val="center"/>
          </w:tcPr>
          <w:p w14:paraId="1127899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站内各设备设施距离符合《汽车加油加气加氢站技术标准》（</w:t>
            </w:r>
            <w:r>
              <w:rPr>
                <w:rFonts w:hint="eastAsia" w:ascii="Times New Roman" w:hAnsi="Times New Roman"/>
                <w:color w:val="auto"/>
              </w:rPr>
              <w:t>GB50156</w:t>
            </w:r>
            <w:r>
              <w:rPr>
                <w:rFonts w:hint="eastAsia"/>
                <w:color w:val="auto"/>
                <w:lang w:val="en-US" w:eastAsia="zh-CN"/>
              </w:rPr>
              <w:t>-</w:t>
            </w:r>
            <w:r>
              <w:rPr>
                <w:rFonts w:hint="eastAsia" w:ascii="Times New Roman" w:hAnsi="Times New Roman"/>
                <w:color w:val="auto"/>
              </w:rPr>
              <w:t>2021</w:t>
            </w:r>
            <w:r>
              <w:rPr>
                <w:rFonts w:hint="eastAsia"/>
                <w:color w:val="auto"/>
              </w:rPr>
              <w:t>）要求，且不在爆炸危险区域范围内。</w:t>
            </w:r>
          </w:p>
        </w:tc>
        <w:tc>
          <w:tcPr>
            <w:tcW w:w="856" w:type="dxa"/>
            <w:vAlign w:val="center"/>
          </w:tcPr>
          <w:p w14:paraId="7DCCC9C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298CC5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63" w:hRule="atLeast"/>
          <w:jc w:val="center"/>
        </w:trPr>
        <w:tc>
          <w:tcPr>
            <w:tcW w:w="743" w:type="dxa"/>
            <w:vAlign w:val="center"/>
          </w:tcPr>
          <w:p w14:paraId="00A3294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ascii="Times New Roman" w:hAnsi="Times New Roman"/>
                <w:color w:val="auto"/>
              </w:rPr>
              <w:t>14</w:t>
            </w:r>
          </w:p>
        </w:tc>
        <w:tc>
          <w:tcPr>
            <w:tcW w:w="4371" w:type="dxa"/>
            <w:vAlign w:val="center"/>
          </w:tcPr>
          <w:p w14:paraId="3E4A0B6F">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化工生产装置未按国家标准要求设置双重电源供电，自动化控制系统未设置不间断电源。</w:t>
            </w:r>
          </w:p>
        </w:tc>
        <w:tc>
          <w:tcPr>
            <w:tcW w:w="3289" w:type="dxa"/>
            <w:vAlign w:val="center"/>
          </w:tcPr>
          <w:p w14:paraId="025B5DA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both"/>
              <w:textAlignment w:val="auto"/>
              <w:rPr>
                <w:rFonts w:hint="default"/>
                <w:color w:val="auto"/>
              </w:rPr>
            </w:pPr>
            <w:r>
              <w:rPr>
                <w:rFonts w:hint="eastAsia"/>
                <w:color w:val="auto"/>
              </w:rPr>
              <w:t>该加油站不涉及化工生产装置。</w:t>
            </w:r>
          </w:p>
        </w:tc>
        <w:tc>
          <w:tcPr>
            <w:tcW w:w="856" w:type="dxa"/>
            <w:vAlign w:val="center"/>
          </w:tcPr>
          <w:p w14:paraId="1865F884">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textAlignment w:val="auto"/>
              <w:rPr>
                <w:rFonts w:hint="default"/>
                <w:color w:val="auto"/>
              </w:rPr>
            </w:pPr>
            <w:r>
              <w:rPr>
                <w:rFonts w:hint="eastAsia"/>
                <w:color w:val="auto"/>
              </w:rPr>
              <w:t>不构成</w:t>
            </w:r>
          </w:p>
        </w:tc>
      </w:tr>
      <w:tr w14:paraId="2AD0FA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743" w:type="dxa"/>
            <w:vAlign w:val="center"/>
          </w:tcPr>
          <w:p w14:paraId="3141B0F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15</w:t>
            </w:r>
          </w:p>
        </w:tc>
        <w:tc>
          <w:tcPr>
            <w:tcW w:w="4371" w:type="dxa"/>
            <w:vAlign w:val="center"/>
          </w:tcPr>
          <w:p w14:paraId="38CDD8F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安全阀、爆破片等安全附件未正常投用。</w:t>
            </w:r>
          </w:p>
        </w:tc>
        <w:tc>
          <w:tcPr>
            <w:tcW w:w="3289" w:type="dxa"/>
            <w:vAlign w:val="center"/>
          </w:tcPr>
          <w:p w14:paraId="0BA6A71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该加油站安全附件正常使用。</w:t>
            </w:r>
          </w:p>
        </w:tc>
        <w:tc>
          <w:tcPr>
            <w:tcW w:w="856" w:type="dxa"/>
            <w:vAlign w:val="center"/>
          </w:tcPr>
          <w:p w14:paraId="03ABDEBE">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795E8F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43" w:hRule="atLeast"/>
          <w:jc w:val="center"/>
        </w:trPr>
        <w:tc>
          <w:tcPr>
            <w:tcW w:w="743" w:type="dxa"/>
            <w:vAlign w:val="center"/>
          </w:tcPr>
          <w:p w14:paraId="50116529">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16</w:t>
            </w:r>
          </w:p>
        </w:tc>
        <w:tc>
          <w:tcPr>
            <w:tcW w:w="4371" w:type="dxa"/>
            <w:vAlign w:val="center"/>
          </w:tcPr>
          <w:p w14:paraId="39100277">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未建立与岗位相匹配的全员安全生产责任制或者未制定实施生产安全事故隐患排查治理制度。</w:t>
            </w:r>
          </w:p>
        </w:tc>
        <w:tc>
          <w:tcPr>
            <w:tcW w:w="3289" w:type="dxa"/>
            <w:vAlign w:val="center"/>
          </w:tcPr>
          <w:p w14:paraId="498D6B7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该加油站已建立《安全生产责任制》，制定《</w:t>
            </w:r>
            <w:r>
              <w:rPr>
                <w:rFonts w:hint="eastAsia"/>
                <w:color w:val="auto"/>
                <w:lang w:val="en-US" w:eastAsia="zh-CN"/>
              </w:rPr>
              <w:t>巡回</w:t>
            </w:r>
            <w:r>
              <w:rPr>
                <w:rFonts w:hint="eastAsia"/>
                <w:color w:val="auto"/>
              </w:rPr>
              <w:t>检查制度》、《事故报告和处理规定》、《隐患</w:t>
            </w:r>
            <w:r>
              <w:rPr>
                <w:rFonts w:hint="eastAsia"/>
                <w:color w:val="auto"/>
                <w:lang w:val="en-US" w:eastAsia="zh-CN"/>
              </w:rPr>
              <w:t>排查</w:t>
            </w:r>
            <w:r>
              <w:rPr>
                <w:rFonts w:hint="eastAsia"/>
                <w:color w:val="auto"/>
              </w:rPr>
              <w:t>治理制度》等安全生产管理制度。</w:t>
            </w:r>
          </w:p>
        </w:tc>
        <w:tc>
          <w:tcPr>
            <w:tcW w:w="856" w:type="dxa"/>
            <w:vAlign w:val="center"/>
          </w:tcPr>
          <w:p w14:paraId="3F9042D0">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346E77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43" w:type="dxa"/>
            <w:vAlign w:val="center"/>
          </w:tcPr>
          <w:p w14:paraId="4EB219F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17</w:t>
            </w:r>
          </w:p>
        </w:tc>
        <w:tc>
          <w:tcPr>
            <w:tcW w:w="4371" w:type="dxa"/>
            <w:vAlign w:val="center"/>
          </w:tcPr>
          <w:p w14:paraId="4437BE3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未制定操作规程和工艺控制指标。</w:t>
            </w:r>
          </w:p>
        </w:tc>
        <w:tc>
          <w:tcPr>
            <w:tcW w:w="3289" w:type="dxa"/>
            <w:vAlign w:val="center"/>
          </w:tcPr>
          <w:p w14:paraId="48F6B223">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该加油站已根据实际经营情况，制定了岗位操作规程和设备设施类操作规程。</w:t>
            </w:r>
          </w:p>
        </w:tc>
        <w:tc>
          <w:tcPr>
            <w:tcW w:w="856" w:type="dxa"/>
            <w:vAlign w:val="center"/>
          </w:tcPr>
          <w:p w14:paraId="4D2CC74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3175ACA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43" w:type="dxa"/>
            <w:vAlign w:val="center"/>
          </w:tcPr>
          <w:p w14:paraId="07D2F30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18</w:t>
            </w:r>
          </w:p>
        </w:tc>
        <w:tc>
          <w:tcPr>
            <w:tcW w:w="4371" w:type="dxa"/>
            <w:vAlign w:val="center"/>
          </w:tcPr>
          <w:p w14:paraId="69E9FF0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未按照国家标准制定动火、进入受限空间等特殊作业管理制度，或者制度未有效执行。</w:t>
            </w:r>
          </w:p>
        </w:tc>
        <w:tc>
          <w:tcPr>
            <w:tcW w:w="3289" w:type="dxa"/>
            <w:vAlign w:val="center"/>
          </w:tcPr>
          <w:p w14:paraId="1DBDD58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该加油站已制定动火、进入受限空间等特殊作业管理制度，并严格执行。</w:t>
            </w:r>
          </w:p>
        </w:tc>
        <w:tc>
          <w:tcPr>
            <w:tcW w:w="856" w:type="dxa"/>
            <w:vAlign w:val="center"/>
          </w:tcPr>
          <w:p w14:paraId="4B6F888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3A0193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04" w:hRule="atLeast"/>
          <w:jc w:val="center"/>
        </w:trPr>
        <w:tc>
          <w:tcPr>
            <w:tcW w:w="743" w:type="dxa"/>
            <w:vAlign w:val="center"/>
          </w:tcPr>
          <w:p w14:paraId="2D35C80B">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19</w:t>
            </w:r>
          </w:p>
        </w:tc>
        <w:tc>
          <w:tcPr>
            <w:tcW w:w="4371" w:type="dxa"/>
            <w:vAlign w:val="center"/>
          </w:tcPr>
          <w:p w14:paraId="351D2745">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289" w:type="dxa"/>
            <w:vAlign w:val="center"/>
          </w:tcPr>
          <w:p w14:paraId="63CDA11C">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不属于新开发的危险化学品生产工艺；不属于国内首次使用的化工工艺。</w:t>
            </w:r>
          </w:p>
        </w:tc>
        <w:tc>
          <w:tcPr>
            <w:tcW w:w="856" w:type="dxa"/>
            <w:vAlign w:val="center"/>
          </w:tcPr>
          <w:p w14:paraId="7D34CBA6">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r w14:paraId="182DC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743" w:type="dxa"/>
            <w:vAlign w:val="center"/>
          </w:tcPr>
          <w:p w14:paraId="6767153D">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ascii="Times New Roman" w:hAnsi="Times New Roman"/>
                <w:color w:val="auto"/>
              </w:rPr>
              <w:t>20</w:t>
            </w:r>
          </w:p>
        </w:tc>
        <w:tc>
          <w:tcPr>
            <w:tcW w:w="4371" w:type="dxa"/>
            <w:vAlign w:val="center"/>
          </w:tcPr>
          <w:p w14:paraId="5BE9603A">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未按国家标准分区分类储存危险化学品，超量、超品种储存危险化学品，相互禁配物质混放混存。</w:t>
            </w:r>
          </w:p>
        </w:tc>
        <w:tc>
          <w:tcPr>
            <w:tcW w:w="3289" w:type="dxa"/>
            <w:vAlign w:val="center"/>
          </w:tcPr>
          <w:p w14:paraId="3F1D6DD1">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both"/>
              <w:textAlignment w:val="auto"/>
              <w:rPr>
                <w:rFonts w:hint="default"/>
                <w:color w:val="auto"/>
              </w:rPr>
            </w:pPr>
            <w:r>
              <w:rPr>
                <w:rFonts w:hint="eastAsia"/>
                <w:color w:val="auto"/>
              </w:rPr>
              <w:t>已设埋地储罐区将汽油单品单罐存放。</w:t>
            </w:r>
          </w:p>
        </w:tc>
        <w:tc>
          <w:tcPr>
            <w:tcW w:w="856" w:type="dxa"/>
            <w:vAlign w:val="center"/>
          </w:tcPr>
          <w:p w14:paraId="221CF822">
            <w:pPr>
              <w:pStyle w:val="2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color w:val="auto"/>
              </w:rPr>
            </w:pPr>
            <w:r>
              <w:rPr>
                <w:rFonts w:hint="eastAsia"/>
                <w:color w:val="auto"/>
              </w:rPr>
              <w:t>不构成</w:t>
            </w:r>
          </w:p>
        </w:tc>
      </w:tr>
    </w:tbl>
    <w:p w14:paraId="37E88E9F">
      <w:pPr>
        <w:keepNext w:val="0"/>
        <w:keepLines w:val="0"/>
        <w:pageBreakBefore w:val="0"/>
        <w:widowControl/>
        <w:kinsoku/>
        <w:wordWrap/>
        <w:overflowPunct/>
        <w:topLinePunct w:val="0"/>
        <w:autoSpaceDE/>
        <w:autoSpaceDN/>
        <w:bidi w:val="0"/>
        <w:adjustRightInd/>
        <w:snapToGrid/>
        <w:spacing w:line="480" w:lineRule="exact"/>
        <w:ind w:firstLine="560"/>
        <w:textAlignment w:val="auto"/>
        <w:rPr>
          <w:rFonts w:hint="eastAsia" w:ascii="宋体" w:hAnsi="宋体"/>
          <w:color w:val="auto"/>
          <w:szCs w:val="28"/>
        </w:rPr>
      </w:pPr>
      <w:r>
        <w:rPr>
          <w:rFonts w:hint="eastAsia" w:ascii="宋体" w:hAnsi="宋体"/>
          <w:color w:val="auto"/>
          <w:szCs w:val="28"/>
        </w:rPr>
        <w:t>从上表分析可知，</w:t>
      </w:r>
      <w:bookmarkStart w:id="741" w:name="OLE_LINK510"/>
      <w:bookmarkStart w:id="742" w:name="OLE_LINK508"/>
      <w:bookmarkStart w:id="743" w:name="OLE_LINK509"/>
      <w:r>
        <w:rPr>
          <w:rFonts w:hint="eastAsia" w:ascii="宋体" w:hAnsi="宋体"/>
          <w:color w:val="auto"/>
          <w:szCs w:val="28"/>
        </w:rPr>
        <w:t>该加油站不存在重大生产安全事故隐患</w:t>
      </w:r>
      <w:bookmarkEnd w:id="741"/>
      <w:bookmarkEnd w:id="742"/>
      <w:bookmarkEnd w:id="743"/>
      <w:r>
        <w:rPr>
          <w:rFonts w:hint="eastAsia" w:ascii="宋体" w:hAnsi="宋体"/>
          <w:color w:val="auto"/>
          <w:szCs w:val="28"/>
        </w:rPr>
        <w:t>。</w:t>
      </w:r>
    </w:p>
    <w:p w14:paraId="6FFA904E">
      <w:pPr>
        <w:keepNext w:val="0"/>
        <w:keepLines w:val="0"/>
        <w:pageBreakBefore w:val="0"/>
        <w:widowControl/>
        <w:numPr>
          <w:ilvl w:val="0"/>
          <w:numId w:val="16"/>
        </w:numPr>
        <w:kinsoku/>
        <w:wordWrap/>
        <w:overflowPunct/>
        <w:topLinePunct w:val="0"/>
        <w:autoSpaceDE/>
        <w:autoSpaceDN/>
        <w:bidi w:val="0"/>
        <w:adjustRightInd/>
        <w:snapToGrid/>
        <w:spacing w:line="480" w:lineRule="exact"/>
        <w:ind w:firstLine="562"/>
        <w:textAlignment w:val="auto"/>
        <w:rPr>
          <w:rFonts w:hint="eastAsia"/>
          <w:b/>
          <w:bCs/>
          <w:color w:val="auto"/>
        </w:rPr>
      </w:pPr>
      <w:r>
        <w:rPr>
          <w:rFonts w:hint="eastAsia"/>
          <w:b/>
          <w:bCs/>
          <w:color w:val="auto"/>
        </w:rPr>
        <w:t>加油站安全检查表：</w:t>
      </w:r>
    </w:p>
    <w:p w14:paraId="28FE6ABD">
      <w:pPr>
        <w:keepNext w:val="0"/>
        <w:keepLines w:val="0"/>
        <w:pageBreakBefore w:val="0"/>
        <w:widowControl/>
        <w:numPr>
          <w:ilvl w:val="0"/>
          <w:numId w:val="0"/>
        </w:numPr>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rPr>
      </w:pPr>
      <w:r>
        <w:rPr>
          <w:rFonts w:hint="default" w:ascii="Times New Roman" w:hAnsi="Times New Roman" w:cs="Times New Roman"/>
        </w:rPr>
        <w:t>根据江西省应急管理厅办公室关于印发《加油站安全检查表》的通知（赣应急办字</w:t>
      </w:r>
      <w:r>
        <w:rPr>
          <w:rFonts w:hint="default" w:ascii="Times New Roman" w:hAnsi="Times New Roman" w:cs="Times New Roman"/>
          <w:lang w:eastAsia="zh-CN"/>
        </w:rPr>
        <w:t>〔2023〕111号</w:t>
      </w:r>
      <w:r>
        <w:rPr>
          <w:rFonts w:hint="default" w:ascii="Times New Roman" w:hAnsi="Times New Roman" w:cs="Times New Roman"/>
        </w:rPr>
        <w:t>）的要求，对加油站安全检查如下表：</w:t>
      </w:r>
    </w:p>
    <w:p w14:paraId="63C54C66">
      <w:pPr>
        <w:pStyle w:val="21"/>
        <w:rPr>
          <w:rFonts w:hint="default" w:ascii="Times New Roman" w:hAnsi="Times New Roman" w:cs="Times New Roman"/>
          <w:color w:val="auto"/>
          <w:szCs w:val="21"/>
        </w:rPr>
      </w:pPr>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w:t>
      </w:r>
      <w:r>
        <w:rPr>
          <w:rFonts w:hint="eastAsia" w:ascii="Times New Roman" w:hAnsi="Times New Roman" w:cs="Times New Roman"/>
          <w:color w:val="auto"/>
          <w:szCs w:val="21"/>
          <w:lang w:val="en-US" w:eastAsia="zh-CN"/>
        </w:rPr>
        <w:t>8</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加油站安全</w:t>
      </w:r>
      <w:r>
        <w:rPr>
          <w:rFonts w:hint="default" w:ascii="Times New Roman" w:hAnsi="Times New Roman" w:cs="Times New Roman"/>
          <w:color w:val="auto"/>
          <w:szCs w:val="21"/>
        </w:rPr>
        <w:t>检查表</w:t>
      </w:r>
    </w:p>
    <w:tbl>
      <w:tblPr>
        <w:tblStyle w:val="48"/>
        <w:tblW w:w="50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5"/>
        <w:gridCol w:w="1215"/>
        <w:gridCol w:w="4729"/>
        <w:gridCol w:w="2239"/>
        <w:gridCol w:w="746"/>
      </w:tblGrid>
      <w:tr w14:paraId="3A8EB0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558" w:type="dxa"/>
            <w:tcBorders>
              <w:top w:val="single" w:color="auto" w:sz="12" w:space="0"/>
              <w:left w:val="single" w:color="auto" w:sz="12" w:space="0"/>
              <w:bottom w:val="single" w:color="auto" w:sz="4" w:space="0"/>
              <w:right w:val="single" w:color="auto" w:sz="4" w:space="0"/>
            </w:tcBorders>
            <w:noWrap w:val="0"/>
            <w:vAlign w:val="center"/>
          </w:tcPr>
          <w:p w14:paraId="777B59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序号</w:t>
            </w:r>
          </w:p>
        </w:tc>
        <w:tc>
          <w:tcPr>
            <w:tcW w:w="1200" w:type="dxa"/>
            <w:tcBorders>
              <w:top w:val="single" w:color="auto" w:sz="12" w:space="0"/>
              <w:left w:val="single" w:color="auto" w:sz="4" w:space="0"/>
              <w:bottom w:val="single" w:color="auto" w:sz="4" w:space="0"/>
              <w:right w:val="single" w:color="auto" w:sz="4" w:space="0"/>
            </w:tcBorders>
            <w:noWrap w:val="0"/>
            <w:vAlign w:val="center"/>
          </w:tcPr>
          <w:p w14:paraId="6445821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检查项目</w:t>
            </w:r>
          </w:p>
        </w:tc>
        <w:tc>
          <w:tcPr>
            <w:tcW w:w="4672" w:type="dxa"/>
            <w:tcBorders>
              <w:top w:val="single" w:color="auto" w:sz="12" w:space="0"/>
              <w:left w:val="single" w:color="auto" w:sz="4" w:space="0"/>
              <w:bottom w:val="single" w:color="auto" w:sz="4" w:space="0"/>
              <w:right w:val="single" w:color="auto" w:sz="4" w:space="0"/>
            </w:tcBorders>
            <w:noWrap w:val="0"/>
            <w:vAlign w:val="center"/>
          </w:tcPr>
          <w:p w14:paraId="2AE494C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检查内容</w:t>
            </w:r>
          </w:p>
        </w:tc>
        <w:tc>
          <w:tcPr>
            <w:tcW w:w="2212" w:type="dxa"/>
            <w:tcBorders>
              <w:top w:val="single" w:color="auto" w:sz="12" w:space="0"/>
              <w:left w:val="single" w:color="auto" w:sz="4" w:space="0"/>
              <w:bottom w:val="single" w:color="auto" w:sz="4" w:space="0"/>
              <w:right w:val="single" w:color="auto" w:sz="12" w:space="0"/>
            </w:tcBorders>
            <w:noWrap w:val="0"/>
            <w:vAlign w:val="center"/>
          </w:tcPr>
          <w:p w14:paraId="61A83C9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检查记录</w:t>
            </w:r>
          </w:p>
        </w:tc>
        <w:tc>
          <w:tcPr>
            <w:tcW w:w="737" w:type="dxa"/>
            <w:tcBorders>
              <w:top w:val="single" w:color="auto" w:sz="12" w:space="0"/>
              <w:left w:val="single" w:color="auto" w:sz="4" w:space="0"/>
              <w:bottom w:val="single" w:color="auto" w:sz="4" w:space="0"/>
              <w:right w:val="single" w:color="auto" w:sz="12" w:space="0"/>
            </w:tcBorders>
            <w:noWrap w:val="0"/>
            <w:vAlign w:val="center"/>
          </w:tcPr>
          <w:p w14:paraId="15E7D11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结论</w:t>
            </w:r>
          </w:p>
        </w:tc>
      </w:tr>
      <w:tr w14:paraId="00AEAA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558" w:type="dxa"/>
            <w:vMerge w:val="restart"/>
            <w:tcBorders>
              <w:top w:val="single" w:color="auto" w:sz="4" w:space="0"/>
              <w:left w:val="single" w:color="auto" w:sz="12" w:space="0"/>
              <w:right w:val="single" w:color="auto" w:sz="4" w:space="0"/>
            </w:tcBorders>
            <w:noWrap w:val="0"/>
            <w:vAlign w:val="center"/>
          </w:tcPr>
          <w:p w14:paraId="2790507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1</w:t>
            </w:r>
          </w:p>
        </w:tc>
        <w:tc>
          <w:tcPr>
            <w:tcW w:w="1200" w:type="dxa"/>
            <w:vMerge w:val="restart"/>
            <w:tcBorders>
              <w:top w:val="single" w:color="auto" w:sz="4" w:space="0"/>
              <w:left w:val="single" w:color="auto" w:sz="4" w:space="0"/>
              <w:right w:val="single" w:color="auto" w:sz="4" w:space="0"/>
            </w:tcBorders>
            <w:noWrap w:val="0"/>
            <w:vAlign w:val="center"/>
          </w:tcPr>
          <w:p w14:paraId="75C41E5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证照文书</w:t>
            </w:r>
          </w:p>
          <w:p w14:paraId="33EE7EB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4428EE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cs="Times New Roman"/>
              </w:rPr>
            </w:pPr>
            <w:r>
              <w:rPr>
                <w:rFonts w:hint="default" w:ascii="Times New Roman" w:hAnsi="Times New Roman" w:cs="Times New Roman"/>
              </w:rPr>
              <w:t>（1）营业执照。</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F6811E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有营业执照</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CC24F1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符合</w:t>
            </w:r>
          </w:p>
        </w:tc>
      </w:tr>
      <w:tr w14:paraId="43C022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457B3A4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1EAC380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B4CDF1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（2）成品油零售经营批准证书，是否在有效期内。</w:t>
            </w:r>
          </w:p>
        </w:tc>
        <w:tc>
          <w:tcPr>
            <w:tcW w:w="2212"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618971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在有效期内</w:t>
            </w:r>
          </w:p>
        </w:tc>
        <w:tc>
          <w:tcPr>
            <w:tcW w:w="737"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1D87899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2B89E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31DC8A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444AB8F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6579D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（3）危险化学品经营许可证，是否在有效期内。</w:t>
            </w:r>
          </w:p>
        </w:tc>
        <w:tc>
          <w:tcPr>
            <w:tcW w:w="2212"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1117674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在有效期内</w:t>
            </w:r>
          </w:p>
        </w:tc>
        <w:tc>
          <w:tcPr>
            <w:tcW w:w="737"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2C1DA26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2621C7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2BEFAF5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0865378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AD983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（4）合规的立项文件或备案证明，加油站实际建设是否与立项文件一致。</w:t>
            </w:r>
          </w:p>
        </w:tc>
        <w:tc>
          <w:tcPr>
            <w:tcW w:w="2212"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1211F6C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eastAsia" w:cs="Times New Roman"/>
                <w:lang w:val="en-US" w:eastAsia="zh-CN"/>
              </w:rPr>
              <w:t>有统筹改造批复</w:t>
            </w:r>
          </w:p>
        </w:tc>
        <w:tc>
          <w:tcPr>
            <w:tcW w:w="737" w:type="dxa"/>
            <w:tcBorders>
              <w:top w:val="single" w:color="auto" w:sz="4" w:space="0"/>
              <w:left w:val="single" w:color="auto" w:sz="4" w:space="0"/>
              <w:bottom w:val="single" w:color="auto" w:sz="4" w:space="0"/>
              <w:right w:val="single" w:color="auto" w:sz="12" w:space="0"/>
            </w:tcBorders>
            <w:shd w:val="clear" w:color="auto" w:fill="auto"/>
            <w:noWrap w:val="0"/>
            <w:vAlign w:val="center"/>
          </w:tcPr>
          <w:p w14:paraId="5866C1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7E58F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1075814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32F7D45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B6170E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（5）加油站用地证明文件、用地红线等，站址建设是否在用地红线范围内。</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973AC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在用地红线范围内</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35371C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2C1540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7A80DC7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0910CB4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6223BF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left"/>
              <w:textAlignment w:val="auto"/>
              <w:rPr>
                <w:rFonts w:hint="default" w:ascii="Times New Roman" w:hAnsi="Times New Roman" w:eastAsia="宋体" w:cs="Times New Roman"/>
              </w:rPr>
            </w:pPr>
            <w:r>
              <w:rPr>
                <w:rFonts w:hint="default" w:ascii="Times New Roman" w:hAnsi="Times New Roman" w:eastAsia="宋体" w:cs="Times New Roman"/>
              </w:rPr>
              <w:t>（6）新建、改建、扩建加油站是否有审查手续和批复文件。</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7FA4148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有审查手续和批复文件</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DE4724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68D391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58" w:type="dxa"/>
            <w:vMerge w:val="continue"/>
            <w:tcBorders>
              <w:left w:val="single" w:color="auto" w:sz="12" w:space="0"/>
              <w:right w:val="single" w:color="auto" w:sz="4" w:space="0"/>
            </w:tcBorders>
            <w:noWrap w:val="0"/>
            <w:vAlign w:val="center"/>
          </w:tcPr>
          <w:p w14:paraId="0BEEF0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6EC2006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21F8EC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eastAsia="宋体" w:cs="Times New Roman"/>
              </w:rPr>
            </w:pPr>
            <w:r>
              <w:rPr>
                <w:rFonts w:hint="default" w:ascii="Times New Roman" w:hAnsi="Times New Roman" w:eastAsia="宋体" w:cs="Times New Roman"/>
              </w:rPr>
              <w:t>（7）是否经过正规设计或诊断设计。</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10A598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经正规设计。</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2BEF0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3A27AC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76E9701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52FF429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55F561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eastAsia="宋体" w:cs="Times New Roman"/>
              </w:rPr>
            </w:pPr>
            <w:r>
              <w:rPr>
                <w:rFonts w:hint="default" w:ascii="Times New Roman" w:hAnsi="Times New Roman" w:eastAsia="宋体" w:cs="Times New Roman"/>
              </w:rPr>
              <w:t>（8）设计单位是否具备相应的资质。</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118B95F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设计单位有相应资质。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2BD828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75F83A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558" w:type="dxa"/>
            <w:vMerge w:val="continue"/>
            <w:tcBorders>
              <w:left w:val="single" w:color="auto" w:sz="12" w:space="0"/>
              <w:right w:val="single" w:color="auto" w:sz="4" w:space="0"/>
            </w:tcBorders>
            <w:noWrap w:val="0"/>
            <w:vAlign w:val="center"/>
          </w:tcPr>
          <w:p w14:paraId="294A4FA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01795C0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6821B5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（9）是否出具合格的设计图纸，设计图纸是否与现场一致。</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4ECD170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eastAsia" w:ascii="Times New Roman" w:hAnsi="Times New Roman" w:eastAsia="宋体" w:cs="Times New Roman"/>
                <w:lang w:val="en-US" w:eastAsia="zh-CN"/>
              </w:rPr>
              <w:t>出具了设计</w:t>
            </w:r>
            <w:r>
              <w:rPr>
                <w:rFonts w:hint="default" w:ascii="Times New Roman" w:hAnsi="Times New Roman" w:eastAsia="宋体" w:cs="Times New Roman"/>
              </w:rPr>
              <w:t>图纸，与现场一致。</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4C79AF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rPr>
            </w:pPr>
            <w:r>
              <w:rPr>
                <w:rFonts w:hint="default" w:ascii="Times New Roman" w:hAnsi="Times New Roman" w:eastAsia="宋体" w:cs="Times New Roman"/>
              </w:rPr>
              <w:t>符合</w:t>
            </w:r>
          </w:p>
        </w:tc>
      </w:tr>
      <w:tr w14:paraId="160ACD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bottom w:val="single" w:color="auto" w:sz="4" w:space="0"/>
              <w:right w:val="single" w:color="auto" w:sz="4" w:space="0"/>
            </w:tcBorders>
            <w:noWrap w:val="0"/>
            <w:vAlign w:val="center"/>
          </w:tcPr>
          <w:p w14:paraId="634D15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31FC003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7C1DBC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（10）加油站是否经过消防验收，取得消防验收意见书。</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73D1E9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取得消防验收，见附件。</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08F9FA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A2873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4A151B0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2</w:t>
            </w:r>
          </w:p>
        </w:tc>
        <w:tc>
          <w:tcPr>
            <w:tcW w:w="1200" w:type="dxa"/>
            <w:vMerge w:val="restart"/>
            <w:tcBorders>
              <w:top w:val="single" w:color="auto" w:sz="4" w:space="0"/>
              <w:left w:val="single" w:color="auto" w:sz="4" w:space="0"/>
              <w:right w:val="single" w:color="auto" w:sz="4" w:space="0"/>
            </w:tcBorders>
            <w:noWrap w:val="0"/>
            <w:vAlign w:val="center"/>
          </w:tcPr>
          <w:p w14:paraId="0B65561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安全管理机构</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F72538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（1）是否成立安全管理机构，配置安全管理人员。</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1426D0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有安全管理人员。</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327307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C3698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2554D2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507162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ADF237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（2）专职安全管理人员是否经过正式任命。</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42CB2D3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专职安全管理人员已经正式任命。</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FF7FD3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79E52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558" w:type="dxa"/>
            <w:vMerge w:val="continue"/>
            <w:tcBorders>
              <w:left w:val="single" w:color="auto" w:sz="12" w:space="0"/>
              <w:bottom w:val="single" w:color="auto" w:sz="4" w:space="0"/>
              <w:right w:val="single" w:color="auto" w:sz="4" w:space="0"/>
            </w:tcBorders>
            <w:noWrap w:val="0"/>
            <w:vAlign w:val="center"/>
          </w:tcPr>
          <w:p w14:paraId="7864CB2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4EEE75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E5D3E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（3）主要负责人、安全生产管理人员是否取得安全资格证书，证书是否在有效期内。</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41118F6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主要负责人、安全管理人员已取证，证件在有效期内。</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75F18D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C9E7A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13D8443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3</w:t>
            </w:r>
          </w:p>
        </w:tc>
        <w:tc>
          <w:tcPr>
            <w:tcW w:w="1200" w:type="dxa"/>
            <w:vMerge w:val="restart"/>
            <w:tcBorders>
              <w:top w:val="single" w:color="auto" w:sz="4" w:space="0"/>
              <w:left w:val="single" w:color="auto" w:sz="4" w:space="0"/>
              <w:right w:val="single" w:color="auto" w:sz="4" w:space="0"/>
            </w:tcBorders>
            <w:noWrap w:val="0"/>
            <w:vAlign w:val="center"/>
          </w:tcPr>
          <w:p w14:paraId="29C7E3A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安全生产</w:t>
            </w:r>
          </w:p>
          <w:p w14:paraId="7599B32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责任制</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A4EC0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（1）是否建立安全生产责任制,明确规定主要负责人、安全管理人员、有关部门等的安全生产职责。</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03D2E21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建立安全生产责任制，明确各人员职责。</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7858E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3239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58" w:type="dxa"/>
            <w:vMerge w:val="continue"/>
            <w:tcBorders>
              <w:left w:val="single" w:color="auto" w:sz="12" w:space="0"/>
              <w:bottom w:val="single" w:color="auto" w:sz="4" w:space="0"/>
              <w:right w:val="single" w:color="auto" w:sz="4" w:space="0"/>
            </w:tcBorders>
            <w:noWrap w:val="0"/>
            <w:vAlign w:val="center"/>
          </w:tcPr>
          <w:p w14:paraId="0A8408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412C0B2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9B13B9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（2）是否签订安全责任书。</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49EE51E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签订责任书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E51522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35511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7ACC107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4</w:t>
            </w:r>
          </w:p>
        </w:tc>
        <w:tc>
          <w:tcPr>
            <w:tcW w:w="1200" w:type="dxa"/>
            <w:vMerge w:val="restart"/>
            <w:tcBorders>
              <w:top w:val="single" w:color="auto" w:sz="4" w:space="0"/>
              <w:left w:val="single" w:color="auto" w:sz="4" w:space="0"/>
              <w:right w:val="single" w:color="auto" w:sz="4" w:space="0"/>
            </w:tcBorders>
            <w:noWrap w:val="0"/>
            <w:vAlign w:val="center"/>
          </w:tcPr>
          <w:p w14:paraId="079734D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安全规章制度和操作规程</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8DABB8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建立安全教育培训制度、消防/防火安全制度、设备管理制度、用电安全管理制度、交接班制度、巡检制度、设备维护保养制度、安全投入保障制度、安全生产奖惩制度、安全生产教育培训制度、隐患排查治理制度、安全风险管理制度、事故管理制度等。</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4E1EE34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有教育培训、消防安全、设备管理、交接班、巡检、设备维保、安全投入保障、奖惩、隐患排查、风险管理等制度。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898EEA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F5A77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bottom w:val="single" w:color="auto" w:sz="4" w:space="0"/>
              <w:right w:val="single" w:color="auto" w:sz="4" w:space="0"/>
            </w:tcBorders>
            <w:noWrap w:val="0"/>
            <w:vAlign w:val="center"/>
          </w:tcPr>
          <w:p w14:paraId="0C38052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3F9C06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1DC9A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 xml:space="preserve">（2）是否建立制定加油、卸油、计量操作规程等。 </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7AA727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有加油、量油、卸油操作规程。</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8B0592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ED09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3B8DA56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5</w:t>
            </w:r>
          </w:p>
        </w:tc>
        <w:tc>
          <w:tcPr>
            <w:tcW w:w="1200" w:type="dxa"/>
            <w:vMerge w:val="restart"/>
            <w:tcBorders>
              <w:top w:val="single" w:color="auto" w:sz="4" w:space="0"/>
              <w:left w:val="single" w:color="auto" w:sz="4" w:space="0"/>
              <w:right w:val="single" w:color="auto" w:sz="4" w:space="0"/>
            </w:tcBorders>
            <w:noWrap w:val="0"/>
            <w:vAlign w:val="center"/>
          </w:tcPr>
          <w:p w14:paraId="0EEEB09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安全投入</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6F5C8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（1）是否按有关安全生产费用提取规定，提取安全生产费用。</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710C268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按要求提取安全生产费用。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14DEE6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500C5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558" w:type="dxa"/>
            <w:vMerge w:val="continue"/>
            <w:tcBorders>
              <w:left w:val="single" w:color="auto" w:sz="12" w:space="0"/>
              <w:right w:val="single" w:color="auto" w:sz="4" w:space="0"/>
            </w:tcBorders>
            <w:noWrap w:val="0"/>
            <w:vAlign w:val="center"/>
          </w:tcPr>
          <w:p w14:paraId="182E14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0432B09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147352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（2）安全生产费用使用是否符合要求，专款专用。</w:t>
            </w:r>
          </w:p>
        </w:tc>
        <w:tc>
          <w:tcPr>
            <w:tcW w:w="2212" w:type="dxa"/>
            <w:tcBorders>
              <w:top w:val="single" w:color="auto" w:sz="4" w:space="0"/>
              <w:left w:val="single" w:color="auto" w:sz="4" w:space="0"/>
              <w:bottom w:val="single" w:color="auto" w:sz="4" w:space="0"/>
              <w:right w:val="single" w:color="auto" w:sz="4" w:space="0"/>
            </w:tcBorders>
            <w:noWrap w:val="0"/>
            <w:vAlign w:val="center"/>
          </w:tcPr>
          <w:p w14:paraId="767982B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符合，专款专用。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E72F9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FDF70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558" w:type="dxa"/>
            <w:vMerge w:val="continue"/>
            <w:tcBorders>
              <w:left w:val="single" w:color="auto" w:sz="12" w:space="0"/>
              <w:bottom w:val="single" w:color="auto" w:sz="12" w:space="0"/>
              <w:right w:val="single" w:color="auto" w:sz="4" w:space="0"/>
            </w:tcBorders>
            <w:noWrap w:val="0"/>
            <w:vAlign w:val="center"/>
          </w:tcPr>
          <w:p w14:paraId="0990B0C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12" w:space="0"/>
              <w:right w:val="single" w:color="auto" w:sz="4" w:space="0"/>
            </w:tcBorders>
            <w:noWrap w:val="0"/>
            <w:vAlign w:val="center"/>
          </w:tcPr>
          <w:p w14:paraId="0E7675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12" w:space="0"/>
              <w:right w:val="single" w:color="auto" w:sz="4" w:space="0"/>
            </w:tcBorders>
            <w:noWrap w:val="0"/>
            <w:vAlign w:val="center"/>
          </w:tcPr>
          <w:p w14:paraId="4B0CD75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（3）是否依法参加工伤保险或安全责任险，为从业人员缴纳保险费。</w:t>
            </w:r>
          </w:p>
        </w:tc>
        <w:tc>
          <w:tcPr>
            <w:tcW w:w="2212" w:type="dxa"/>
            <w:tcBorders>
              <w:top w:val="single" w:color="auto" w:sz="4" w:space="0"/>
              <w:left w:val="single" w:color="auto" w:sz="4" w:space="0"/>
              <w:bottom w:val="single" w:color="auto" w:sz="12" w:space="0"/>
              <w:right w:val="single" w:color="auto" w:sz="4" w:space="0"/>
            </w:tcBorders>
            <w:noWrap w:val="0"/>
            <w:vAlign w:val="center"/>
          </w:tcPr>
          <w:p w14:paraId="7A3BC38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已缴纳工伤保险。</w:t>
            </w:r>
          </w:p>
        </w:tc>
        <w:tc>
          <w:tcPr>
            <w:tcW w:w="737" w:type="dxa"/>
            <w:tcBorders>
              <w:top w:val="single" w:color="auto" w:sz="4" w:space="0"/>
              <w:left w:val="single" w:color="auto" w:sz="4" w:space="0"/>
              <w:bottom w:val="single" w:color="auto" w:sz="12" w:space="0"/>
              <w:right w:val="single" w:color="auto" w:sz="12" w:space="0"/>
            </w:tcBorders>
            <w:noWrap w:val="0"/>
            <w:vAlign w:val="center"/>
          </w:tcPr>
          <w:p w14:paraId="34CEE8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DA2C9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12" w:space="0"/>
              <w:left w:val="single" w:color="auto" w:sz="12" w:space="0"/>
              <w:right w:val="single" w:color="auto" w:sz="4" w:space="0"/>
            </w:tcBorders>
            <w:noWrap w:val="0"/>
            <w:vAlign w:val="center"/>
          </w:tcPr>
          <w:p w14:paraId="054EFCF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6</w:t>
            </w:r>
          </w:p>
        </w:tc>
        <w:tc>
          <w:tcPr>
            <w:tcW w:w="1200" w:type="dxa"/>
            <w:vMerge w:val="restart"/>
            <w:tcBorders>
              <w:top w:val="single" w:color="auto" w:sz="12" w:space="0"/>
              <w:left w:val="single" w:color="auto" w:sz="4" w:space="0"/>
              <w:right w:val="single" w:color="auto" w:sz="4" w:space="0"/>
            </w:tcBorders>
            <w:noWrap w:val="0"/>
            <w:vAlign w:val="center"/>
          </w:tcPr>
          <w:p w14:paraId="304D57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安全教育培训</w:t>
            </w:r>
          </w:p>
        </w:tc>
        <w:tc>
          <w:tcPr>
            <w:tcW w:w="4672" w:type="dxa"/>
            <w:tcBorders>
              <w:top w:val="single" w:color="auto" w:sz="12" w:space="0"/>
              <w:left w:val="single" w:color="auto" w:sz="4" w:space="0"/>
              <w:bottom w:val="single" w:color="auto" w:sz="4" w:space="0"/>
              <w:right w:val="single" w:color="auto" w:sz="4" w:space="0"/>
            </w:tcBorders>
            <w:noWrap w:val="0"/>
            <w:vAlign w:val="center"/>
          </w:tcPr>
          <w:p w14:paraId="7C2F78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（1）主要负责人、安全管理人员是否定期参加安全教育培训。</w:t>
            </w:r>
          </w:p>
        </w:tc>
        <w:tc>
          <w:tcPr>
            <w:tcW w:w="2212" w:type="dxa"/>
            <w:tcBorders>
              <w:top w:val="single" w:color="auto" w:sz="12" w:space="0"/>
              <w:left w:val="single" w:color="auto" w:sz="4" w:space="0"/>
              <w:bottom w:val="single" w:color="auto" w:sz="4" w:space="0"/>
              <w:right w:val="single" w:color="auto" w:sz="12" w:space="0"/>
            </w:tcBorders>
            <w:noWrap w:val="0"/>
            <w:vAlign w:val="center"/>
          </w:tcPr>
          <w:p w14:paraId="6F2F670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有安全培训记录。</w:t>
            </w:r>
          </w:p>
        </w:tc>
        <w:tc>
          <w:tcPr>
            <w:tcW w:w="737" w:type="dxa"/>
            <w:tcBorders>
              <w:top w:val="single" w:color="auto" w:sz="12" w:space="0"/>
              <w:left w:val="single" w:color="auto" w:sz="4" w:space="0"/>
              <w:bottom w:val="single" w:color="auto" w:sz="4" w:space="0"/>
              <w:right w:val="single" w:color="auto" w:sz="12" w:space="0"/>
            </w:tcBorders>
            <w:noWrap w:val="0"/>
            <w:vAlign w:val="center"/>
          </w:tcPr>
          <w:p w14:paraId="68144A8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B0924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0CA5BD2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7F088AC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10FF4A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（2）加油站人员是否定期参加日常安全教育培训。</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1A9A9C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定期组织人员参加教育培训。</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E30E1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61213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bottom w:val="single" w:color="auto" w:sz="4" w:space="0"/>
              <w:right w:val="single" w:color="auto" w:sz="4" w:space="0"/>
            </w:tcBorders>
            <w:noWrap w:val="0"/>
            <w:vAlign w:val="center"/>
          </w:tcPr>
          <w:p w14:paraId="59AB095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2FE5A5E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CC3F6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（3)新入职人员上岗前是否经过安全操作规程及应急处置等有关安全知识的培训，并建立教育培训档案。</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4D099D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有相关规定</w:t>
            </w:r>
            <w:r>
              <w:rPr>
                <w:rFonts w:hint="default" w:ascii="Times New Roman" w:hAnsi="Times New Roman" w:eastAsia="宋体" w:cs="Times New Roman"/>
                <w:lang w:val="en-US" w:eastAsia="zh-CN"/>
              </w:rPr>
              <w:t>。</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FFE15B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DB627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0C15451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7</w:t>
            </w:r>
          </w:p>
        </w:tc>
        <w:tc>
          <w:tcPr>
            <w:tcW w:w="1200" w:type="dxa"/>
            <w:vMerge w:val="restart"/>
            <w:tcBorders>
              <w:top w:val="single" w:color="auto" w:sz="4" w:space="0"/>
              <w:left w:val="single" w:color="auto" w:sz="4" w:space="0"/>
              <w:right w:val="single" w:color="auto" w:sz="4" w:space="0"/>
            </w:tcBorders>
            <w:noWrap w:val="0"/>
            <w:vAlign w:val="center"/>
          </w:tcPr>
          <w:p w14:paraId="0535876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隐患排查治理</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0CB627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（1）是否建立定期安全检查及隐患排查治理制度。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C73F81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有隐患排查治理制度。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0342E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D715C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058D09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0593371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6DA016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（2）是否按照计划和要求进行相应的安全检查并保存记录。</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CF657A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按要求定期进行检查</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AA629B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1CDC9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558" w:type="dxa"/>
            <w:vMerge w:val="continue"/>
            <w:tcBorders>
              <w:left w:val="single" w:color="auto" w:sz="12" w:space="0"/>
              <w:bottom w:val="single" w:color="auto" w:sz="4" w:space="0"/>
              <w:right w:val="single" w:color="auto" w:sz="4" w:space="0"/>
            </w:tcBorders>
            <w:noWrap w:val="0"/>
            <w:vAlign w:val="center"/>
          </w:tcPr>
          <w:p w14:paraId="402878F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1A455A1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A52E56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（3）安全检查出的事故隐患是否闭合。</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C0845A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隐患排查有闭环</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1A1221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7763C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5DFC46A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8</w:t>
            </w:r>
          </w:p>
        </w:tc>
        <w:tc>
          <w:tcPr>
            <w:tcW w:w="1200" w:type="dxa"/>
            <w:vMerge w:val="restart"/>
            <w:tcBorders>
              <w:top w:val="single" w:color="auto" w:sz="4" w:space="0"/>
              <w:left w:val="single" w:color="auto" w:sz="4" w:space="0"/>
              <w:right w:val="single" w:color="auto" w:sz="4" w:space="0"/>
            </w:tcBorders>
            <w:noWrap w:val="0"/>
            <w:vAlign w:val="center"/>
          </w:tcPr>
          <w:p w14:paraId="175BE69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风险分级及管控措施</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217C6D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是否建立健全安全风险分级管控管理制度。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F79AFF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建立安全风险分级管控管理制度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C0DB37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3C09D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right w:val="single" w:color="auto" w:sz="4" w:space="0"/>
            </w:tcBorders>
            <w:noWrap w:val="0"/>
            <w:vAlign w:val="center"/>
          </w:tcPr>
          <w:p w14:paraId="01CB3B8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6849484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021F86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是否组织全员参与风险分级辨识。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9683D1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全员参与</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961B64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D48F8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bottom w:val="single" w:color="auto" w:sz="4" w:space="0"/>
              <w:right w:val="single" w:color="auto" w:sz="4" w:space="0"/>
            </w:tcBorders>
            <w:noWrap w:val="0"/>
            <w:vAlign w:val="center"/>
          </w:tcPr>
          <w:p w14:paraId="5FCBEC5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6641AE5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EAE486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是否制定安全风险分布图、风险识别管控及应急措施，即“一图一牌三清单”。</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8549F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现场设</w:t>
            </w:r>
            <w:r>
              <w:rPr>
                <w:rFonts w:hint="eastAsia" w:ascii="Times New Roman" w:hAnsi="Times New Roman" w:eastAsia="宋体" w:cs="Times New Roman"/>
                <w:lang w:val="en-US" w:eastAsia="zh-CN"/>
              </w:rPr>
              <w:t>有</w:t>
            </w:r>
            <w:r>
              <w:rPr>
                <w:rFonts w:hint="default" w:ascii="Times New Roman" w:hAnsi="Times New Roman" w:eastAsia="宋体" w:cs="Times New Roman"/>
                <w:lang w:val="en-US" w:eastAsia="zh-CN"/>
              </w:rPr>
              <w:t>“一图一牌三清单”</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54A014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AB2DF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1E34101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9</w:t>
            </w:r>
          </w:p>
        </w:tc>
        <w:tc>
          <w:tcPr>
            <w:tcW w:w="1200" w:type="dxa"/>
            <w:vMerge w:val="restart"/>
            <w:tcBorders>
              <w:top w:val="single" w:color="auto" w:sz="4" w:space="0"/>
              <w:left w:val="single" w:color="auto" w:sz="4" w:space="0"/>
              <w:right w:val="single" w:color="auto" w:sz="4" w:space="0"/>
            </w:tcBorders>
            <w:noWrap w:val="0"/>
            <w:vAlign w:val="center"/>
          </w:tcPr>
          <w:p w14:paraId="28CD349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应急管理</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2CF825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（1)是否制定加油站事故应急救援预案，应急预案是否按要求进行备案。</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C414B8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有应急预案，预案已备案</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39AE7A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F953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left w:val="single" w:color="auto" w:sz="12" w:space="0"/>
              <w:bottom w:val="single" w:color="auto" w:sz="4" w:space="0"/>
              <w:right w:val="single" w:color="auto" w:sz="4" w:space="0"/>
            </w:tcBorders>
            <w:noWrap w:val="0"/>
            <w:vAlign w:val="center"/>
          </w:tcPr>
          <w:p w14:paraId="77B7B51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782F7A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C50DC9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（2）是否组织应急演练，并保存演练记录材料。</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1EBF09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有应急演练记录</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A73BB0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975F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right w:val="single" w:color="auto" w:sz="4" w:space="0"/>
            </w:tcBorders>
            <w:noWrap w:val="0"/>
            <w:vAlign w:val="center"/>
          </w:tcPr>
          <w:p w14:paraId="1FA3768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10</w:t>
            </w:r>
          </w:p>
        </w:tc>
        <w:tc>
          <w:tcPr>
            <w:tcW w:w="1200" w:type="dxa"/>
            <w:vMerge w:val="restart"/>
            <w:tcBorders>
              <w:top w:val="single" w:color="auto" w:sz="4" w:space="0"/>
              <w:left w:val="single" w:color="auto" w:sz="4" w:space="0"/>
              <w:right w:val="single" w:color="auto" w:sz="4" w:space="0"/>
            </w:tcBorders>
            <w:noWrap w:val="0"/>
            <w:vAlign w:val="center"/>
          </w:tcPr>
          <w:p w14:paraId="19CA33C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检维修作业、危险作业</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6474F5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（1）是否制定检维修管理制度。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94C900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有检维修制度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5C0537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2BA86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558" w:type="dxa"/>
            <w:vMerge w:val="continue"/>
            <w:tcBorders>
              <w:left w:val="single" w:color="auto" w:sz="12" w:space="0"/>
              <w:right w:val="single" w:color="auto" w:sz="4" w:space="0"/>
            </w:tcBorders>
            <w:noWrap w:val="0"/>
            <w:vAlign w:val="center"/>
          </w:tcPr>
          <w:p w14:paraId="422735F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377F656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3A307D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（2)是否制定动火作业、受限空间作业等危险作业管理制度。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96500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有动火、受限空间作业</w:t>
            </w:r>
            <w:r>
              <w:rPr>
                <w:rFonts w:hint="eastAsia" w:ascii="Times New Roman" w:hAnsi="Times New Roman" w:eastAsia="宋体" w:cs="Times New Roman"/>
                <w:lang w:val="en-US" w:eastAsia="zh-CN"/>
              </w:rPr>
              <w:t>等危险作业</w:t>
            </w:r>
            <w:r>
              <w:rPr>
                <w:rFonts w:hint="default" w:ascii="Times New Roman" w:hAnsi="Times New Roman" w:eastAsia="宋体" w:cs="Times New Roman"/>
                <w:lang w:val="en-US" w:eastAsia="zh-CN"/>
              </w:rPr>
              <w:t>管理制度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6E4CD9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EE6CD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558" w:type="dxa"/>
            <w:vMerge w:val="continue"/>
            <w:tcBorders>
              <w:left w:val="single" w:color="auto" w:sz="12" w:space="0"/>
              <w:right w:val="single" w:color="auto" w:sz="4" w:space="0"/>
            </w:tcBorders>
            <w:noWrap w:val="0"/>
            <w:vAlign w:val="center"/>
          </w:tcPr>
          <w:p w14:paraId="0779CBD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right w:val="single" w:color="auto" w:sz="4" w:space="0"/>
            </w:tcBorders>
            <w:noWrap w:val="0"/>
            <w:vAlign w:val="center"/>
          </w:tcPr>
          <w:p w14:paraId="6ED222B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4743E4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（3）危险作业是否按要求履行审批手续，危险作业是否按要求执行作业票管理。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636EC3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有相关规定</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C26825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68BD5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558" w:type="dxa"/>
            <w:vMerge w:val="continue"/>
            <w:tcBorders>
              <w:left w:val="single" w:color="auto" w:sz="12" w:space="0"/>
              <w:bottom w:val="single" w:color="auto" w:sz="4" w:space="0"/>
              <w:right w:val="single" w:color="auto" w:sz="4" w:space="0"/>
            </w:tcBorders>
            <w:noWrap w:val="0"/>
            <w:vAlign w:val="center"/>
          </w:tcPr>
          <w:p w14:paraId="52536C8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left w:val="single" w:color="auto" w:sz="4" w:space="0"/>
              <w:bottom w:val="single" w:color="auto" w:sz="4" w:space="0"/>
              <w:right w:val="single" w:color="auto" w:sz="4" w:space="0"/>
            </w:tcBorders>
            <w:noWrap w:val="0"/>
            <w:vAlign w:val="center"/>
          </w:tcPr>
          <w:p w14:paraId="7308FF1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5E8DB8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（4）危险作业现场管理是否按要求执行。</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941350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按要求执行</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2BFAD9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DC73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79" w:type="dxa"/>
            <w:gridSpan w:val="5"/>
            <w:tcBorders>
              <w:top w:val="single" w:color="auto" w:sz="4" w:space="0"/>
              <w:left w:val="single" w:color="auto" w:sz="12" w:space="0"/>
              <w:bottom w:val="single" w:color="auto" w:sz="4" w:space="0"/>
              <w:right w:val="single" w:color="auto" w:sz="12" w:space="0"/>
            </w:tcBorders>
            <w:shd w:val="clear" w:color="auto" w:fill="C0C0C0"/>
            <w:noWrap w:val="0"/>
            <w:vAlign w:val="center"/>
          </w:tcPr>
          <w:p w14:paraId="0CED878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现 场 安 全 检 查 内 容</w:t>
            </w:r>
          </w:p>
        </w:tc>
      </w:tr>
      <w:tr w14:paraId="177328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558" w:type="dxa"/>
            <w:tcBorders>
              <w:top w:val="single" w:color="auto" w:sz="4" w:space="0"/>
              <w:left w:val="single" w:color="auto" w:sz="12" w:space="0"/>
              <w:bottom w:val="single" w:color="auto" w:sz="4" w:space="0"/>
              <w:right w:val="single" w:color="auto" w:sz="4" w:space="0"/>
            </w:tcBorders>
            <w:noWrap w:val="0"/>
            <w:vAlign w:val="center"/>
          </w:tcPr>
          <w:p w14:paraId="7F2A6B2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序号</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7FC8B3F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检查项目</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DFFF6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检查内容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89865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主要问题</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A7E98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p>
        </w:tc>
      </w:tr>
      <w:tr w14:paraId="10DD8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6C8EDBF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1</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19C7DD2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加油加气站选址与总平面布置</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ED3613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（1）站址选择应符合有关规划、环境保护和防火安全的要求，并应选在交通便利、用户使用方便的地点。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5B6CA7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符合规划、环保、防火安全要求，交通便利。</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2E7A3F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8474E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26F499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B230F1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29659D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（2）在城市建成区不应建一级加油站。</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F287AA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未在城市建成区</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F3E18C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2FC25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8A7698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C8037C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59027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（3）城市建成区内的加油站宜靠近城市道路，但不宜选在城市干道的交叉路口附近。</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B4C804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不在城市干道交叉路口</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42F2F3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B80BB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790D75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3460D7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FC5703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（4）加油站的油罐、加油机和通气管管口与站外建、构筑物的防火距离，不应小于《汽车加油加气加氢站技术标准》表4.0.4-表4.0.8的规定。</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0151AF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防火间距符合规定</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BC3D2F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C439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B849FE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333F30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A61872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（5）架空电力线路是否跨越加油站的作业区。</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8762E8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无架空电力线路跨越加油站作业区</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1B20BE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6345B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51BC1D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41195A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48BACA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（6）与加油站无关的可燃介质管道是否</w:t>
            </w:r>
            <w:r>
              <w:rPr>
                <w:rFonts w:hint="default" w:ascii="Times New Roman" w:hAnsi="Times New Roman" w:cs="Times New Roman"/>
                <w:lang w:eastAsia="zh-CN"/>
              </w:rPr>
              <w:t>穿越</w:t>
            </w:r>
            <w:r>
              <w:rPr>
                <w:rFonts w:hint="default" w:ascii="Times New Roman" w:hAnsi="Times New Roman" w:cs="Times New Roman"/>
              </w:rPr>
              <w:t>加油站用地范围。</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B4425B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不涉及无关的可燃介质管道穿越加油站</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260DBC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8B118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2F071ED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7AD1EB6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4BF7844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（7）加油站内设施、装置之间的防火距离，不应小于《汽车加油加气加氢站技术标准》表5.0.13规定。</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7BF29C2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防火间距符合规定</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27B7717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5AFF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056B8B6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76F5663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7B408AB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（8）加油工艺设施与站外建、构筑物之间</w:t>
            </w:r>
            <w:r>
              <w:rPr>
                <w:rFonts w:hint="default" w:ascii="Times New Roman" w:hAnsi="Times New Roman" w:cs="Times New Roman"/>
                <w:lang w:eastAsia="zh-CN"/>
              </w:rPr>
              <w:t>，</w:t>
            </w:r>
            <w:r>
              <w:rPr>
                <w:rFonts w:hint="default" w:ascii="Times New Roman" w:hAnsi="Times New Roman" w:cs="Times New Roman"/>
              </w:rPr>
              <w:t>宜设置高度不低于2.2m的不燃烧实体围墙。当加油站的工艺设备与站外建、构筑物之间的距离大于《汽车加油加气加氢站技术标准》中表4.0.4</w:t>
            </w:r>
            <w:r>
              <w:rPr>
                <w:rFonts w:hint="default" w:ascii="Times New Roman" w:hAnsi="Times New Roman" w:cs="Times New Roman"/>
              </w:rPr>
              <w:softHyphen/>
            </w:r>
            <w:r>
              <w:rPr>
                <w:rFonts w:hint="default" w:ascii="Times New Roman" w:hAnsi="Times New Roman" w:cs="Times New Roman"/>
              </w:rPr>
              <w:t>-表4.0.8中安全间距的1.5倍时,且大于25m时，可设置非实体围墙。面</w:t>
            </w:r>
            <w:r>
              <w:rPr>
                <w:rFonts w:hint="eastAsia" w:ascii="Times New Roman" w:hAnsi="Times New Roman" w:cs="Times New Roman"/>
                <w:lang w:eastAsia="zh-CN"/>
              </w:rPr>
              <w:t>入口</w:t>
            </w:r>
            <w:r>
              <w:rPr>
                <w:rFonts w:hint="default" w:ascii="Times New Roman" w:hAnsi="Times New Roman" w:cs="Times New Roman"/>
              </w:rPr>
              <w:t>口和出口道路的一侧可设非实体围墙或不设围墙。</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62CD829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面向道路未设围墙</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22AFE26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137FE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7D91311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3AE67E0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7111DA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（9）加油站现场总平面布置是否与设计总图一致</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D3A5C1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与</w:t>
            </w:r>
            <w:r>
              <w:rPr>
                <w:rFonts w:hint="eastAsia" w:ascii="Times New Roman" w:hAnsi="Times New Roman" w:eastAsia="宋体" w:cs="Times New Roman"/>
                <w:lang w:val="en-US" w:eastAsia="zh-CN"/>
              </w:rPr>
              <w:t>出具总图</w:t>
            </w:r>
            <w:r>
              <w:rPr>
                <w:rFonts w:hint="default" w:ascii="Times New Roman" w:hAnsi="Times New Roman" w:eastAsia="宋体" w:cs="Times New Roman"/>
                <w:lang w:val="en-US" w:eastAsia="zh-CN"/>
              </w:rPr>
              <w:t>一致</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FADF2D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6287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029D1D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71F2D2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45A41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（10）车辆入口和出口应分开设置。</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3C4168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出入口分开设置</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9C9FF8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96F56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AF81C6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7C61F4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19F7E5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（11） 站区内停车位和道路应符合下列规定：</w:t>
            </w:r>
          </w:p>
          <w:p w14:paraId="765277A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站内车道或停车位宽度应按车辆类型确定。CNG加气母站内单车道或单车停车位宽度不应小于4.5m，双车道或双车停车位宽度不应小于9m；其他类型汽车加油加气加氢站的车道或停车位，单车道或单车停车位宽度不应小于4m，双车道或双车停车位宽度不应小于6m。</w:t>
            </w:r>
          </w:p>
          <w:p w14:paraId="760E315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2.站内的道路转弯半径应按行驶车型确定，且不宜小于9m。</w:t>
            </w:r>
          </w:p>
          <w:p w14:paraId="10CD0DB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3.站内停车位应为平坡，道路坡度不应大于8%，且宜坡向站外。</w:t>
            </w:r>
          </w:p>
          <w:p w14:paraId="7CBF9F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4.作业区内的停车场和道路路面不应采用沥青路面。</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39B724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道路宽度不小于6m，站内道路为砼路面</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B2AFB5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3D65F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EA2FEE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C4FF1C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FA9EA7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（12）电动汽车充电设施应布置在辅助服务区内。</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99A9B9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不涉及</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FF3EBE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不涉及</w:t>
            </w:r>
          </w:p>
        </w:tc>
      </w:tr>
      <w:tr w14:paraId="271DB4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616ECF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D9795D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922420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（13）加油站的变配电间或室外变压器应布置在作业区之外。</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75CC61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配电间在作业区外</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BED74D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EBE6E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164DEE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10D022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2069E5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（14）加油作业区内不得有“明火地点”或“散发火花地点"。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C7491F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加油作业区无明火</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EDC47F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8C210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2122EA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F5771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EEC18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（15）站房不应布置在爆炸危险区域。站房部分位于作业区内时，建筑面积等应符合《汽车加油加气加氢站技术标准》第14.2.10条的规定。</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E6A23F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站房不在爆炸危险区域内</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2C546E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CCC95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73DED92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6FCC93E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B9F16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16）当加油站内设置非油品业务建筑物或设施时，不应布置在作业区内，与站内可燃液体或可燃气体设备的防火间距应符合《汽车加油加气加氢站技术标准》第4.0.4条~第4.0.8条有关三类保护物的规定。当站内经营性餐饮、汽车服务、司机休息室等设施内设置明火设备时，应等同于“明火地点”或“散发火花地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E72CDB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非油品业务建筑物和设施未布置在作业区内</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C53CBD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78B89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CBFB4E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50E9F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7AB6DA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（17）汽车加油加气加氢站内的爆炸危险区域，不应超出站区围墙和可用地界线。</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BCF13B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未超出站区围墙和可用地界线</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9254BE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BDF62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402FF5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1A14F8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8604DC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（18）架空电力线路不应跨越加油站的加油作业区。</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C929BB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无架空电力线跨越加油站加油作业区</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72C464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4BE3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4E08D32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2</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5F731F0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建筑与</w:t>
            </w:r>
          </w:p>
          <w:p w14:paraId="13C7462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设施</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BDAFF0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（1)加油作业区内的站房及其它附属建筑物的耐火等级不应低于二级。</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E920DC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站房为二级耐火等级</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9AC20F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54B0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1CDF4F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2E358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19A3A3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（2）站内建筑防雷防静电设施是否按要求设置，是否经过定期防雷检测，并出具了检测合格报告。</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56F5A2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经过防雷检测，有检测报告，见附件。</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B669EF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982B5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7B106F5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39D6257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199616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（3)加油站内设置的经营性餐饮、汽车服务等非站房所属建筑物和设施不应布置在加油作业区内。</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2D3140C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加油作业区内未设置餐饮、汽服等建筑和设施</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4D609DD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888D7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1D62C5A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27260D5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7C40FC4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（4）加油站内厨房等有明火设备的房间与工艺设备之间的距离符合《汽车加油加气加氢站技术标准》表5.0.13的规定但小于或等于25m时,其朝向加油作业区的外墙应为无门窗洞口且耐火极限不低于3h的实体墙。</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4E454CE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无明火设施</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5096A8B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BE59A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62E29E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C220DB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959FB6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（5）加油站内不应建地下室和半地下室。</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DE1089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位于地上</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72E550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7B58B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E47FE6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FDCC96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FCB2A9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（6）加油站作业区内不得种植油性植物。</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0BF8F3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作业区无油性植物</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952C6F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FE45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09E939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EE1975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62701F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（7)加油场地宜设罩棚,罩棚应采用非燃烧材料建造,其有效高度不应小于4.5m，罩棚遮盖加油机的平面投影距离不宜小于2m。</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DA1B23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加油站罩棚净空高度不小于4.5m，遮盖加油机平面投影距离不小于2m</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CDD4C7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588B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3EDDD0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3</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7551950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加油工艺与设施</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47213B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（1）除</w:t>
            </w:r>
            <w:r>
              <w:rPr>
                <w:rFonts w:hint="default" w:ascii="Times New Roman" w:hAnsi="Times New Roman" w:cs="Times New Roman"/>
                <w:lang w:eastAsia="zh-CN"/>
              </w:rPr>
              <w:t>撬装式</w:t>
            </w:r>
            <w:r>
              <w:rPr>
                <w:rFonts w:hint="default" w:ascii="Times New Roman" w:hAnsi="Times New Roman" w:cs="Times New Roman"/>
              </w:rPr>
              <w:t>加油装置所配置的防火防爆油罐外，加油站的汽油罐和柴油罐应埋地设置，严禁设在室内或地下室内。</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F04CD5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油罐采用埋地</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62A560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F236A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9379AF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D57621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BBE81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（2）埋地油罐是否采用双层罐，埋地油罐是否为合格产品，是否有生产厂商出具的合格证书或技术说明书等</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6AE3E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采用双层油罐，有合格证。</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049779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8CA9F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3C1C9B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5376B6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962204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（3）安装在罐内的静电消除物体是否有接地，接地电阻应符合《汽车加油加气加氢站技术标准》第13.2节的有关规定。</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7E3569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静电消除物体已接地</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AAFA59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46F4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C29EA5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628AD28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C88377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（4）双层油罐内壁与外壁之间是否有满足渗漏检测要求的贯通间隙。是否设渗漏检测装置。</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5E4C61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不涉及</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E2CB2E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9B407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78AFCA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E6FD2B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62AF0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（5）油罐底部应配置积水排除设备。</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38508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有积水排出设施</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ED8E75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CB2D5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F57141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39D96C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0839E6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（6）油罐的人孔，应设操作井.油罐操作井口应有防雨盖板;储罐人孔、量油孔、卸油快速接头、管线法兰等处应密封良好，不得造成水汽侵入。</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C44C37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cs="Times New Roman"/>
              </w:rPr>
              <w:t>储罐人孔、量油孔、卸油快速接头、管线法兰等处应密封良好</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6C2C47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4774B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10B371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C4FE4D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3027C8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（7）加油机不得设置在室内。</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6A5B17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加油机位于站房外</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F0614E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90B4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012B9D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26B24A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801AE9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（8）以潜油泵供油的加油机,其底部的供油管道上应设剪切阀。</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D09F2A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供油管道上有剪切阀</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C25E0A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C9F6E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902A83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656601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24AB8B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（9）加油枪应采用自封式加油枪，汽油加油枪的流量不应大于50L/min。</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0DC9C07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汽油加油枪流量不大于50L/min</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46864A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72DA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8DBE61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93FC71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6756F4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（10）加油软管上宜设安全拉断阀。</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ABBA3F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加油软管有拉断阀</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26E92C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435DE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CC49F0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6A0B496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E61E60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（11）油罐车卸油须采用密闭卸油方式。各油罐应各自设置卸油管道和卸油口。各卸油口应有明显标识。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8C447F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采用密闭卸油，卸油口设有油品标识。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AA84BF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FE9B7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4513AC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A2DDAE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7FD747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（12）汽油油罐车应具有卸油油气回收系统。</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6921E2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有油气回收系统</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9402FF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5AEF4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C3C5CD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C0794D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A9110D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（13）卸油接口应装快速接头及密封盖。</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F324C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卸油口有快速接头及密封盖</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05ECEA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ED4A6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115E19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486EE0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8F7345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 （14）油罐卸油是否采取防满溢措施，是否设置液位超高报警、高高联锁装置。油料达到油罐容量的90%时，应能触动高液位报警装置；油料达到油罐容量的95%时，应能自动停止油料继续进罐。高液位报警装置应位于工作人员便于觉察的地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7EAA7C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有油罐液位监测和报警装置</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C7F5D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9B14A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shd w:val="clear" w:color="auto" w:fill="auto"/>
            <w:noWrap w:val="0"/>
            <w:vAlign w:val="center"/>
          </w:tcPr>
          <w:p w14:paraId="5313C6F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14:paraId="1F60F6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14:paraId="7357EF8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（15）汽油罐与柴油罐的通气管</w:t>
            </w:r>
            <w:r>
              <w:rPr>
                <w:rFonts w:hint="eastAsia" w:ascii="Times New Roman" w:hAnsi="Times New Roman" w:cs="Times New Roman"/>
                <w:lang w:eastAsia="zh-CN"/>
              </w:rPr>
              <w:t>，</w:t>
            </w:r>
            <w:r>
              <w:rPr>
                <w:rFonts w:hint="default" w:ascii="Times New Roman" w:hAnsi="Times New Roman" w:cs="Times New Roman"/>
              </w:rPr>
              <w:t>应分开设置，管口应高出地面4m及以上。</w:t>
            </w:r>
          </w:p>
        </w:tc>
        <w:tc>
          <w:tcPr>
            <w:tcW w:w="2212" w:type="dxa"/>
            <w:tcBorders>
              <w:top w:val="single" w:color="auto" w:sz="4" w:space="0"/>
              <w:left w:val="single" w:color="auto" w:sz="4" w:space="0"/>
              <w:bottom w:val="single" w:color="auto" w:sz="4" w:space="0"/>
              <w:right w:val="single" w:color="auto" w:sz="12" w:space="0"/>
            </w:tcBorders>
            <w:shd w:val="clear" w:color="auto" w:fill="FFFFFF"/>
            <w:noWrap w:val="0"/>
            <w:vAlign w:val="center"/>
          </w:tcPr>
          <w:p w14:paraId="0220790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汽油罐通气管高出</w:t>
            </w:r>
            <w:r>
              <w:rPr>
                <w:rFonts w:hint="eastAsia" w:ascii="Times New Roman" w:hAnsi="Times New Roman" w:eastAsia="宋体" w:cs="Times New Roman"/>
                <w:lang w:val="en-US" w:eastAsia="zh-CN"/>
              </w:rPr>
              <w:t>罩棚2.2</w:t>
            </w:r>
            <w:r>
              <w:rPr>
                <w:rFonts w:hint="default" w:ascii="Times New Roman" w:hAnsi="Times New Roman" w:eastAsia="宋体" w:cs="Times New Roman"/>
                <w:lang w:val="en-US" w:eastAsia="zh-CN"/>
              </w:rPr>
              <w:t>m</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321AE7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F7BA8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85E40C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5C8260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22734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（16）通气管的公称直径不应小于50mm；通气管管口应安装阻火器。</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677316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通气管直径50mm</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6F73A3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3B17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4761ED8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2A83B10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4CC6357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（17）加油站应采用加油油气回收系统。当加油站采用油气回收系统时，汽油罐的通气管管口除应装设阻火器外，尚应装设呼吸阀。呼吸阀的工作正压宜为2kPa～3kPa，工作负压宜为1.5kPa~2kPa。</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2BD5598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通气管装设有阻火器，汽油通气管额外设置呼吸阀</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0CDB39B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7D065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00EB728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1854C19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68D422C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（18）加油站内的工艺管道除必须露出地面的以外，均应埋地敷设。当采用管沟敷设时，管沟必须用中性</w:t>
            </w:r>
            <w:r>
              <w:rPr>
                <w:rFonts w:hint="default" w:ascii="Times New Roman" w:hAnsi="Times New Roman" w:cs="Times New Roman"/>
                <w:lang w:eastAsia="zh-CN"/>
              </w:rPr>
              <w:t>砂子</w:t>
            </w:r>
            <w:r>
              <w:rPr>
                <w:rFonts w:hint="default" w:ascii="Times New Roman" w:hAnsi="Times New Roman" w:cs="Times New Roman"/>
              </w:rPr>
              <w:t>或细土填满，填实。</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3FBB481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采用埋地敷设</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304E96E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9BCA2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9AFB6D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BB5E97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91F5DD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（19）工艺管道不应穿过或跨越站房等与其无直接关系的建（构）筑物；与管沟、电缆沟和排水沟相交叉时，应采取相应的防护措施。</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72A0C4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未穿过无关建构筑物</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8F4D65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21FE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B20158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EC1EE1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3A5F07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（20）</w:t>
            </w:r>
            <w:r>
              <w:rPr>
                <w:rFonts w:hint="default" w:ascii="Times New Roman" w:hAnsi="Times New Roman" w:cs="Times New Roman"/>
                <w:lang w:eastAsia="zh-CN"/>
              </w:rPr>
              <w:t>撬装式</w:t>
            </w:r>
            <w:r>
              <w:rPr>
                <w:rFonts w:hint="default" w:ascii="Times New Roman" w:hAnsi="Times New Roman" w:cs="Times New Roman"/>
              </w:rPr>
              <w:t>加油装置不得用于企业自用、临时或特定场所之外的场所，并应单独建站。采用橇装式加油装置的加油站，其设计与安装应符合现行行业标准《采用橇装式加油装置的汽车加油站技术规范》SH/T3134和《汽车加油加气加氢站技术标准》第6.4节的有关规定。</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0E66CC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227554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14:paraId="65E48A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70843FB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4</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7F21E4A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电气安全</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BBED3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（1）加油站的消防泵房、罩棚、营业室、LPG泵房、压缩机间等处均应设应急照明，连续供电时间不应少于90min。</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33D356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按要求设置应急照明</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FB812A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2E211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41AE02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B28B82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5F32FF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（2）用外电源有困难时，加油站可设置小型内燃发电机组，内燃机的排烟管口，应安装阻火器。</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577163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8CA9AF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14:paraId="71D4E4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B3E10F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00CBF2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6C75DC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（3）内燃机的排烟口高出地面4.5m以下时,排烟管口到各爆炸危险区域边界的水平距离不应小于5m；排烟口高出地面4.5m及以上时不应小于3m。</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D97C43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DFEF44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w:t>
            </w:r>
          </w:p>
        </w:tc>
      </w:tr>
      <w:tr w14:paraId="0BBEDD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9DA39E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DA290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3D5C2A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（4）汽油罐车卸车场地，应设罐车卸车时用的防静电接地装置。</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E2CAA6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卸车区有静电夹</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57FEA7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DC9A7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018DDA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556C5A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9DDAE0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（5）在爆炸危险区域工艺管道上的法兰、胶管两端等连接处，应用金属线跨接。当法兰的连接螺栓不少于5根时，在非腐蚀环境下可不跨接。</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D5E78C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管道法兰有静电跨接线</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34E067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31DAB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F22536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9CE4B6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0CA7DBF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（6）爆炸危险区域内的电气设备选型、安装、电力线路敷设应符合现行国家标准《爆炸危险环境电力装置设计规范》GB50058的有关规定。</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B23869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C3828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196E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64C48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8A41F5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92DD18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（7）加油站内爆炸危险区域以外的照明灯具可选用非防爆型。罩棚下处于非爆炸危险区域的灯具应选用防护等级不低于IP44级的照明灯具。</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11FE12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按要求选用灯具</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ACC502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4EC52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2E8E37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33C2580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4D0C8E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（8）当采用电缆沟敷设电缆时，加油作业区内的电缆沟内必须充沙填实，电缆不得与油品管道及</w:t>
            </w:r>
            <w:r>
              <w:rPr>
                <w:rFonts w:hint="default" w:ascii="Times New Roman" w:hAnsi="Times New Roman" w:cs="Times New Roman"/>
                <w:lang w:eastAsia="zh-CN"/>
              </w:rPr>
              <w:t>压力管道</w:t>
            </w:r>
            <w:r>
              <w:rPr>
                <w:rFonts w:hint="default" w:ascii="Times New Roman" w:hAnsi="Times New Roman" w:cs="Times New Roman"/>
              </w:rPr>
              <w:t>敷设在同一沟内。</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0BB0D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电缆沟填充沙子</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CD472E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08C93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C1C5F7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B51D92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9BB457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（9）</w:t>
            </w:r>
            <w:r>
              <w:rPr>
                <w:rFonts w:hint="default" w:ascii="Times New Roman" w:hAnsi="Times New Roman" w:cs="Times New Roman"/>
                <w:lang w:eastAsia="zh-CN"/>
              </w:rPr>
              <w:t>钢质</w:t>
            </w:r>
            <w:r>
              <w:rPr>
                <w:rFonts w:hint="default" w:ascii="Times New Roman" w:hAnsi="Times New Roman" w:cs="Times New Roman"/>
              </w:rPr>
              <w:t>油罐必须进行防雷接地，接地点不应少于两处。</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B7D6EF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油罐有防雷接地</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AD2959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E292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C66C2E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E66232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F9487B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（10）加油站的防雷接地、防静电接地、电气设备的工作接地、保护接地及信息系统的接地等宜共用接地装置，接地电阻不应大于4Ω。</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3C02CC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防雷检测合格</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284BD4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640A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114114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39AA41B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61C42B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（11）埋地钢制油罐的金属部件和罐内的各金属部件，必须与非埋地部分的工艺金属管道相互做电气连接并接地。</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080A61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均可靠接地</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1183D4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2254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55DE9AF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053133E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47D33F2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（12）当加油站内的站房和罩棚等建筑物需要防直击雷时，应采用接闪带（网）保护。当罩棚采用金属屋面时，宜利用屋面作为接闪器，但应符合下列规定：</w:t>
            </w:r>
          </w:p>
          <w:p w14:paraId="0864427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spacing w:val="-6"/>
              </w:rPr>
              <w:t>.板间的连接应是持久的电气贯通，可采用铜锌合金焊、熔焊、卷边压接、缝接、螺钉或螺栓连接；</w:t>
            </w:r>
          </w:p>
          <w:p w14:paraId="7E06853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2.金属板下面不应有易燃物品，热镀锌钢板的厚度不应小于0.5mm，铝板的厚度不应小于0.65mm，锌板的厚度不应小于0.7mm；3.金属板应无绝缘被覆层。</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7BE69EE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罩棚采用金属面作为接闪带。</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3C9E4C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AD19F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2F3B3C5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4502E6F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559CB19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13）加油站的信息系统应采用铠装电缆或导线穿钢管配线。配线电缆铠装金属层两端、保护钢管两端均应接地。该信息系统的配电线路首、末端与电子器件连接时，应装设与电子器件耐压水平相适应的过电压（电涌）保护器。</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6D3FE56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按要求设置</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61E329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85C06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509F15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6339AE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3A2855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14）380/220V供配电系统宜采用TN-S系统，当外供电源为380V时，可采用TN-C-S系统。供电系统的电缆金属外皮或电缆金属保护管两端均应接地，在供配电系统的电源端应安装与设备耐压水平相适应的过电压（电涌）保护器。</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CBF26D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采用TN-S系统，设置过电压保护器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8EF595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0B68E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A2F5F3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87E8CD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FAFE0E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（15）加油站应设置紧急切断系统，该系统应能在事故状态下实现紧急停车和关闭紧急切断阀的保护功能。</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2C2C23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站房外墙和营业厅设置有紧急停车按钮</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3A5C3D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67403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7106A32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518DB02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941655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（16）紧急切断系统应至少在下列位置设置紧急切断开关：</w:t>
            </w:r>
          </w:p>
          <w:p w14:paraId="407D87E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1.在加油站现场工作人员容易接近且较为安全的位置；2.在控制室、值班室内或站房收银台等有人员值守的位置。</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8BD2C7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营业厅和站房外安装紧急切断按钮</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3524A3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E52E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1F5546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FDCE40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EC332B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（17）工艺设备的电源和工艺管道上的紧急切断阀应能由手动启动的远程控制切断系统操纵关闭。</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6CB497C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可以由手动启动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180D79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8F550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72447BB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5</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3DC4EB9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消防设施</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FE46E1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（1）加油站每2台加油机设置不少于2只5kg手提式干粉灭火器或1只5kg手提式干粉灭火器和1只6L泡沫灭火器。加油机不足2台按2台计算。</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467B7E6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每2台加油机不少于2个5kg干粉灭火器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E252ED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8A0A7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C4BEAB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F19B58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6543CC6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（2）地下储罐应设不小于35kg推车式干粉灭火器1个。当两种介质储罐之间的距离超过15m时,应分别设置。</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EF77B3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站内设置</w:t>
            </w:r>
            <w:r>
              <w:rPr>
                <w:rFonts w:hint="eastAsia" w:ascii="Times New Roman" w:hAnsi="Times New Roman" w:eastAsia="宋体" w:cs="Times New Roman"/>
                <w:lang w:val="en-US" w:eastAsia="zh-CN"/>
              </w:rPr>
              <w:t>1</w:t>
            </w:r>
            <w:r>
              <w:rPr>
                <w:rFonts w:hint="default" w:ascii="Times New Roman" w:hAnsi="Times New Roman" w:eastAsia="宋体" w:cs="Times New Roman"/>
                <w:lang w:val="en-US" w:eastAsia="zh-CN"/>
              </w:rPr>
              <w:t>个35kg推车式干粉灭火器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248E456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0124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A5BE06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D05D4D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A6CFFB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（3）一、二级加油站应配置灭火毯5块，沙子2m</w:t>
            </w:r>
            <w:r>
              <w:rPr>
                <w:rFonts w:hint="default" w:ascii="Times New Roman" w:hAnsi="Times New Roman" w:cs="Times New Roman"/>
                <w:vertAlign w:val="superscript"/>
              </w:rPr>
              <w:t>3</w:t>
            </w:r>
            <w:r>
              <w:rPr>
                <w:rFonts w:hint="default" w:ascii="Times New Roman" w:hAnsi="Times New Roman" w:cs="Times New Roman"/>
              </w:rPr>
              <w:t>。三级加油站应配置灭火毯不少于2块,沙子2m</w:t>
            </w:r>
            <w:r>
              <w:rPr>
                <w:rFonts w:hint="default" w:ascii="Times New Roman" w:hAnsi="Times New Roman" w:cs="Times New Roman"/>
                <w:vertAlign w:val="superscript"/>
              </w:rPr>
              <w:t>3</w:t>
            </w:r>
            <w:r>
              <w:rPr>
                <w:rFonts w:hint="default" w:ascii="Times New Roman" w:hAnsi="Times New Roman" w:cs="Times New Roman"/>
              </w:rPr>
              <w:t>。</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7A43BF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加油站灭火毯</w:t>
            </w:r>
            <w:r>
              <w:rPr>
                <w:rFonts w:hint="eastAsia" w:ascii="Times New Roman" w:hAnsi="Times New Roman" w:eastAsia="宋体" w:cs="Times New Roman"/>
                <w:lang w:val="en-US" w:eastAsia="zh-CN"/>
              </w:rPr>
              <w:t>6</w:t>
            </w:r>
            <w:r>
              <w:rPr>
                <w:rFonts w:hint="default" w:ascii="Times New Roman" w:hAnsi="Times New Roman" w:eastAsia="宋体" w:cs="Times New Roman"/>
                <w:lang w:val="en-US" w:eastAsia="zh-CN"/>
              </w:rPr>
              <w:t>块，消防沙2m</w:t>
            </w:r>
            <w:r>
              <w:rPr>
                <w:rFonts w:hint="default" w:ascii="Times New Roman" w:hAnsi="Times New Roman" w:eastAsia="宋体" w:cs="Times New Roman"/>
                <w:vertAlign w:val="superscript"/>
                <w:lang w:val="en-US" w:eastAsia="zh-CN"/>
              </w:rPr>
              <w:t>3</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55C5F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38C31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6D58200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1B86CD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63A921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（4)发、配电室应设置磷酸铵盐干粉灭火器或碳酸氢钠干粉灭火器或卤代烷灭火器或二氧化碳灭火器，数量不少于2具。</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59020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配电室设置有二氧化碳灭火器</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A4A211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173FDF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F05DEA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0F56E6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D55939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加油站应制定以下消防安全制度：a）防火检查、巡查制度；b）消防安全教育、培训制度；c）用火、用电安全管理制度；d）电气设备、电气线路的检查和管理制度：e）输油、输气线路的检查和管理制度；f）灭火和应急疏散预案演练制度；g）火灾隐患整改制度；h）其他必要的消防安全制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369F42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符合，有相关制度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15F489B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FA28D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CE70FC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97FC67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E8F4BB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（6）加油加气站罩棚顶棚的承重构件为钢结构时，其耐火极限可为0.25h。</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511780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罩棚顶棚为</w:t>
            </w:r>
            <w:r>
              <w:rPr>
                <w:rFonts w:hint="eastAsia" w:ascii="Times New Roman" w:hAnsi="Times New Roman" w:eastAsia="宋体" w:cs="Times New Roman"/>
                <w:lang w:val="en-US" w:eastAsia="zh-CN"/>
              </w:rPr>
              <w:t>网架</w:t>
            </w:r>
            <w:r>
              <w:rPr>
                <w:rFonts w:hint="default" w:ascii="Times New Roman" w:hAnsi="Times New Roman" w:eastAsia="宋体" w:cs="Times New Roman"/>
                <w:lang w:val="en-US" w:eastAsia="zh-CN"/>
              </w:rPr>
              <w:t>结构</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DA625B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43529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71B40F5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7C52600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187676B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（7）站内不应设置住宿、餐饮和娱乐等场所（设施）。</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04D9763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无住宿、餐饮和娱乐场所</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618DC99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CCF21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39BA19C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7E92EDD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4584C57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（8）站内不应设置建筑面积大于50㎡的商店。商店内不应经营易燃易爆危险品。</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6ECAF22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营业厅商店</w:t>
            </w:r>
            <w:r>
              <w:rPr>
                <w:rFonts w:hint="eastAsia" w:ascii="Times New Roman" w:hAnsi="Times New Roman" w:eastAsia="宋体" w:cs="Times New Roman"/>
                <w:lang w:val="en-US" w:eastAsia="zh-CN"/>
              </w:rPr>
              <w:t>未</w:t>
            </w:r>
            <w:r>
              <w:rPr>
                <w:rFonts w:hint="default" w:ascii="Times New Roman" w:hAnsi="Times New Roman" w:eastAsia="宋体" w:cs="Times New Roman"/>
                <w:lang w:val="en-US" w:eastAsia="zh-CN"/>
              </w:rPr>
              <w:t>经营易燃易爆危险品</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4D65748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883C8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7156BBB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783D64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ED6A03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（9）是否按要求进行消防设施、器材管理</w:t>
            </w:r>
          </w:p>
          <w:p w14:paraId="1CE5EC2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对消防设施、器材应加强日常管理和维护，建立消防设施、器材的巡查、检测、维修保养等管理档案，记明配置类型、数量、设置位置、检查维修单位（人员）、更换药剂的时间等有关情况，严禁损坏、挪用或擅自拆除、停用。</w:t>
            </w:r>
          </w:p>
          <w:p w14:paraId="6813B30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2.消火栓、灭火器、灭火毯、消防沙箱或沙池等消防设施、器材应设置消防安全标志。</w:t>
            </w:r>
          </w:p>
          <w:p w14:paraId="160C00E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3.灭火器、灭火毯应放置于醒目且便于取用位置。灭火器应保持标识清晰，各种部件不应有严重损伤、变形、锈蚀等缺陷，存放地点及环境应符合要求，并定期进行检查、维保。</w:t>
            </w:r>
          </w:p>
          <w:p w14:paraId="0E8BDFD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4.消防沙箱或沙池内应保持沙量充足，不应存放杂物，沙子应保持干燥不结块，不含树叶、石子等杂质，附近应配置沙铲、沙桶、推车等灭火和应急处置辅助器材。</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5692C6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按要求设置灭火器、灭火毯、消防沙等设置</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E76BD8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0DBE6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06E4270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731391B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3193EB1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（10）加油站对每名员工应至少每年进行1次消防安全教育培训，新员工经消防安全教育培训合格后方可上岗。组织开展消防安全教育培训的情况应记录存档。</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842D81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定期进行教育培训，有培训记录，见附件</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D032CE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EFCBD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4C627BF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6</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6589D0D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标识</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2F38E5E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（1）加油站的车辆及人员进出口处应设置醒目的“进站消防安全须知”标识，明确进入加油站的要求和注意事项。</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533E9B0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加油站进出口有安全警示标识和进站须知</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5A03A1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9EC59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38EA67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21EFCC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5AE73A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（2）加油机上应有油品标识。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CDDB1E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加油枪设置油品标识。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E11E0D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12A1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2EC13B0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38CC12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86EB59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（3）加油区、油罐区应有“禁止吸烟”、“禁止打手机"等安全标识。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1A4103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有相关安全标识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B2AA18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36200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8E744B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17BB0F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83BF30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（4）站房、变配电间等火灾危险区的明显部位应设置“火灾危险区域”等标识。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4D54FC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有“火灾危险区域”标识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32193D9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B8C1C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B3A793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94D4CE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949939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（5）油品运输车辆应划定固定车位并设置明显标识。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B9F773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卸车区有固定车位停车标识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AF6552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95649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7B31C9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187F97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A5BF2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（6）卫生间墙面上应设置“严禁烟火”“禁止吸烟”标识。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0B3507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卫生间有“严禁烟火”“禁止吸烟”标识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C60E69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F9FB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0BC622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1B8B91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3A87B8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（7）加油站作业区与辅助服务区之间应有明显的界限标识。</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1E7F816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有界限标识</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61054EF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95AA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A04F50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699B602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B9982B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（8）加油站应加强对消防安全标识的维护管理，如有损坏、缺失的，应及时更换。</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89541B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有维护保养制度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F554B2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A5F2A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restart"/>
            <w:tcBorders>
              <w:top w:val="single" w:color="auto" w:sz="4" w:space="0"/>
              <w:left w:val="single" w:color="auto" w:sz="12" w:space="0"/>
              <w:bottom w:val="single" w:color="auto" w:sz="4" w:space="0"/>
              <w:right w:val="single" w:color="auto" w:sz="4" w:space="0"/>
            </w:tcBorders>
            <w:noWrap w:val="0"/>
            <w:vAlign w:val="center"/>
          </w:tcPr>
          <w:p w14:paraId="78876A9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7</w:t>
            </w:r>
          </w:p>
        </w:tc>
        <w:tc>
          <w:tcPr>
            <w:tcW w:w="1200" w:type="dxa"/>
            <w:vMerge w:val="restart"/>
            <w:tcBorders>
              <w:top w:val="single" w:color="auto" w:sz="4" w:space="0"/>
              <w:left w:val="single" w:color="auto" w:sz="4" w:space="0"/>
              <w:bottom w:val="single" w:color="auto" w:sz="4" w:space="0"/>
              <w:right w:val="single" w:color="auto" w:sz="4" w:space="0"/>
            </w:tcBorders>
            <w:noWrap w:val="0"/>
            <w:vAlign w:val="center"/>
          </w:tcPr>
          <w:p w14:paraId="3A9A4D9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r>
              <w:rPr>
                <w:rFonts w:hint="default" w:ascii="Times New Roman" w:hAnsi="Times New Roman" w:cs="Times New Roman"/>
              </w:rPr>
              <w:t>企业经营情况</w:t>
            </w:r>
          </w:p>
        </w:tc>
        <w:tc>
          <w:tcPr>
            <w:tcW w:w="4672" w:type="dxa"/>
            <w:tcBorders>
              <w:top w:val="single" w:color="auto" w:sz="4" w:space="0"/>
              <w:left w:val="single" w:color="auto" w:sz="4" w:space="0"/>
              <w:bottom w:val="single" w:color="auto" w:sz="4" w:space="0"/>
              <w:right w:val="single" w:color="auto" w:sz="4" w:space="0"/>
            </w:tcBorders>
            <w:noWrap w:val="0"/>
            <w:vAlign w:val="center"/>
          </w:tcPr>
          <w:p w14:paraId="5504E2B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（1）企业经营进、销台账的明细、随货</w:t>
            </w:r>
            <w:r>
              <w:rPr>
                <w:rFonts w:hint="default" w:ascii="Times New Roman" w:hAnsi="Times New Roman" w:cs="Times New Roman"/>
                <w:lang w:eastAsia="zh-CN"/>
              </w:rPr>
              <w:t>通行</w:t>
            </w:r>
            <w:r>
              <w:rPr>
                <w:rFonts w:hint="default" w:ascii="Times New Roman" w:hAnsi="Times New Roman" w:cs="Times New Roman"/>
              </w:rPr>
              <w:t>单（明确车牌号、提货人、开票人、时间地点、货品数量和质量，可</w:t>
            </w:r>
            <w:r>
              <w:rPr>
                <w:rFonts w:hint="default" w:ascii="Times New Roman" w:hAnsi="Times New Roman" w:cs="Times New Roman"/>
                <w:lang w:eastAsia="zh-CN"/>
              </w:rPr>
              <w:t>溯源</w:t>
            </w:r>
            <w:r>
              <w:rPr>
                <w:rFonts w:hint="default" w:ascii="Times New Roman" w:hAnsi="Times New Roman" w:cs="Times New Roman"/>
              </w:rPr>
              <w:t>）。</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39C6A1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符合要求</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70818D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32301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31FA7AA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165A9B7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627F69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（2）企业运输车辆相关资质、信息。</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76E9BB7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经有资质单位运输</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06CEC45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23A604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4A26479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DE19AA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4A398B4C">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（3）企业对货物的信息、数量、品种等工作的安全管理台账。</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302643D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有台账</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41D20ED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091952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3F00CCD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6C5AAF5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1CC3A56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（4）企业进货发票、售出发票资料等</w:t>
            </w:r>
          </w:p>
        </w:tc>
        <w:tc>
          <w:tcPr>
            <w:tcW w:w="2212" w:type="dxa"/>
            <w:tcBorders>
              <w:top w:val="single" w:color="auto" w:sz="4" w:space="0"/>
              <w:left w:val="single" w:color="auto" w:sz="4" w:space="0"/>
              <w:bottom w:val="single" w:color="000000" w:sz="12" w:space="0"/>
              <w:right w:val="single" w:color="auto" w:sz="12" w:space="0"/>
            </w:tcBorders>
            <w:noWrap w:val="0"/>
            <w:vAlign w:val="center"/>
          </w:tcPr>
          <w:p w14:paraId="22311EC4">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有进货发票、售出发票等资料</w:t>
            </w:r>
          </w:p>
        </w:tc>
        <w:tc>
          <w:tcPr>
            <w:tcW w:w="737" w:type="dxa"/>
            <w:tcBorders>
              <w:top w:val="single" w:color="auto" w:sz="4" w:space="0"/>
              <w:left w:val="single" w:color="auto" w:sz="4" w:space="0"/>
              <w:bottom w:val="single" w:color="000000" w:sz="12" w:space="0"/>
              <w:right w:val="single" w:color="auto" w:sz="12" w:space="0"/>
            </w:tcBorders>
            <w:noWrap w:val="0"/>
            <w:vAlign w:val="center"/>
          </w:tcPr>
          <w:p w14:paraId="499419A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71A54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000000" w:sz="12" w:space="0"/>
              <w:left w:val="single" w:color="auto" w:sz="12" w:space="0"/>
              <w:bottom w:val="single" w:color="auto" w:sz="4" w:space="0"/>
              <w:right w:val="single" w:color="auto" w:sz="4" w:space="0"/>
            </w:tcBorders>
            <w:noWrap w:val="0"/>
            <w:vAlign w:val="center"/>
          </w:tcPr>
          <w:p w14:paraId="02D16450">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000000" w:sz="12" w:space="0"/>
              <w:left w:val="single" w:color="auto" w:sz="4" w:space="0"/>
              <w:bottom w:val="single" w:color="auto" w:sz="4" w:space="0"/>
              <w:right w:val="single" w:color="auto" w:sz="4" w:space="0"/>
            </w:tcBorders>
            <w:noWrap w:val="0"/>
            <w:vAlign w:val="center"/>
          </w:tcPr>
          <w:p w14:paraId="235EA8B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000000" w:sz="12" w:space="0"/>
              <w:left w:val="single" w:color="auto" w:sz="4" w:space="0"/>
              <w:bottom w:val="single" w:color="auto" w:sz="4" w:space="0"/>
              <w:right w:val="single" w:color="auto" w:sz="4" w:space="0"/>
            </w:tcBorders>
            <w:noWrap w:val="0"/>
            <w:vAlign w:val="center"/>
          </w:tcPr>
          <w:p w14:paraId="6A6F0C2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（5）企业是否存在租赁，租赁单位是否获得相关资质（营业执照、危化品经营许可等相关同等资质）</w:t>
            </w:r>
          </w:p>
        </w:tc>
        <w:tc>
          <w:tcPr>
            <w:tcW w:w="2212" w:type="dxa"/>
            <w:tcBorders>
              <w:top w:val="single" w:color="000000" w:sz="12" w:space="0"/>
              <w:left w:val="single" w:color="auto" w:sz="4" w:space="0"/>
              <w:bottom w:val="single" w:color="auto" w:sz="4" w:space="0"/>
              <w:right w:val="single" w:color="auto" w:sz="12" w:space="0"/>
            </w:tcBorders>
            <w:noWrap w:val="0"/>
            <w:vAlign w:val="center"/>
          </w:tcPr>
          <w:p w14:paraId="1470301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加油站为自有，不涉及</w:t>
            </w:r>
          </w:p>
        </w:tc>
        <w:tc>
          <w:tcPr>
            <w:tcW w:w="737" w:type="dxa"/>
            <w:tcBorders>
              <w:top w:val="single" w:color="000000" w:sz="12" w:space="0"/>
              <w:left w:val="single" w:color="auto" w:sz="4" w:space="0"/>
              <w:bottom w:val="single" w:color="auto" w:sz="4" w:space="0"/>
              <w:right w:val="single" w:color="auto" w:sz="12" w:space="0"/>
            </w:tcBorders>
            <w:noWrap w:val="0"/>
            <w:vAlign w:val="center"/>
          </w:tcPr>
          <w:p w14:paraId="226CA989">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不涉及</w:t>
            </w:r>
          </w:p>
        </w:tc>
      </w:tr>
      <w:tr w14:paraId="370F8E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1906E4A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23B4F577">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149EE7B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（6）是否存在买卖、转让、出租、出借或伪造安全生产或经营许可证的行为</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E083F81">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不存在以上行为</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7173B1D5">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64B99E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auto" w:sz="4" w:space="0"/>
              <w:right w:val="single" w:color="auto" w:sz="4" w:space="0"/>
            </w:tcBorders>
            <w:noWrap w:val="0"/>
            <w:vAlign w:val="center"/>
          </w:tcPr>
          <w:p w14:paraId="5F67A42B">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auto" w:sz="4" w:space="0"/>
              <w:right w:val="single" w:color="auto" w:sz="4" w:space="0"/>
            </w:tcBorders>
            <w:noWrap w:val="0"/>
            <w:vAlign w:val="center"/>
          </w:tcPr>
          <w:p w14:paraId="45A1ADD6">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auto" w:sz="4" w:space="0"/>
              <w:right w:val="single" w:color="auto" w:sz="4" w:space="0"/>
            </w:tcBorders>
            <w:noWrap w:val="0"/>
            <w:vAlign w:val="center"/>
          </w:tcPr>
          <w:p w14:paraId="79893BA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（7）是否存在非法将生产经营项目、场所、设备发包或者出租给不具备安全生产条件或者相应资质的单位或者个人的行为</w:t>
            </w:r>
          </w:p>
        </w:tc>
        <w:tc>
          <w:tcPr>
            <w:tcW w:w="2212" w:type="dxa"/>
            <w:tcBorders>
              <w:top w:val="single" w:color="auto" w:sz="4" w:space="0"/>
              <w:left w:val="single" w:color="auto" w:sz="4" w:space="0"/>
              <w:bottom w:val="single" w:color="auto" w:sz="4" w:space="0"/>
              <w:right w:val="single" w:color="auto" w:sz="12" w:space="0"/>
            </w:tcBorders>
            <w:noWrap w:val="0"/>
            <w:vAlign w:val="center"/>
          </w:tcPr>
          <w:p w14:paraId="27FC2698">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不存在以上行为</w:t>
            </w:r>
          </w:p>
        </w:tc>
        <w:tc>
          <w:tcPr>
            <w:tcW w:w="737" w:type="dxa"/>
            <w:tcBorders>
              <w:top w:val="single" w:color="auto" w:sz="4" w:space="0"/>
              <w:left w:val="single" w:color="auto" w:sz="4" w:space="0"/>
              <w:bottom w:val="single" w:color="auto" w:sz="4" w:space="0"/>
              <w:right w:val="single" w:color="auto" w:sz="12" w:space="0"/>
            </w:tcBorders>
            <w:noWrap w:val="0"/>
            <w:vAlign w:val="center"/>
          </w:tcPr>
          <w:p w14:paraId="5E6FB90F">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r w14:paraId="57FA4E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58" w:type="dxa"/>
            <w:vMerge w:val="continue"/>
            <w:tcBorders>
              <w:top w:val="single" w:color="auto" w:sz="4" w:space="0"/>
              <w:left w:val="single" w:color="auto" w:sz="12" w:space="0"/>
              <w:bottom w:val="single" w:color="000000" w:sz="12" w:space="0"/>
              <w:right w:val="single" w:color="auto" w:sz="4" w:space="0"/>
            </w:tcBorders>
            <w:noWrap w:val="0"/>
            <w:vAlign w:val="center"/>
          </w:tcPr>
          <w:p w14:paraId="4FCB3E83">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1200" w:type="dxa"/>
            <w:vMerge w:val="continue"/>
            <w:tcBorders>
              <w:top w:val="single" w:color="auto" w:sz="4" w:space="0"/>
              <w:left w:val="single" w:color="auto" w:sz="4" w:space="0"/>
              <w:bottom w:val="single" w:color="000000" w:sz="12" w:space="0"/>
              <w:right w:val="single" w:color="auto" w:sz="4" w:space="0"/>
            </w:tcBorders>
            <w:noWrap w:val="0"/>
            <w:vAlign w:val="center"/>
          </w:tcPr>
          <w:p w14:paraId="2E5D6FBA">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cs="Times New Roman"/>
              </w:rPr>
            </w:pPr>
          </w:p>
        </w:tc>
        <w:tc>
          <w:tcPr>
            <w:tcW w:w="4672" w:type="dxa"/>
            <w:tcBorders>
              <w:top w:val="single" w:color="auto" w:sz="4" w:space="0"/>
              <w:left w:val="single" w:color="auto" w:sz="4" w:space="0"/>
              <w:bottom w:val="single" w:color="000000" w:sz="12" w:space="0"/>
              <w:right w:val="single" w:color="auto" w:sz="4" w:space="0"/>
            </w:tcBorders>
            <w:noWrap w:val="0"/>
            <w:vAlign w:val="center"/>
          </w:tcPr>
          <w:p w14:paraId="667574CE">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jc w:val="both"/>
              <w:textAlignment w:val="auto"/>
              <w:rPr>
                <w:rFonts w:hint="default" w:ascii="Times New Roman" w:hAnsi="Times New Roman" w:cs="Times New Roman"/>
              </w:rPr>
            </w:pPr>
            <w:r>
              <w:rPr>
                <w:rFonts w:hint="default" w:ascii="Times New Roman" w:hAnsi="Times New Roman" w:cs="Times New Roman"/>
              </w:rPr>
              <w:t>（8）是否违规建设内部加油设施、非法储存设施、非法改装油罐车移动加油行为</w:t>
            </w:r>
          </w:p>
        </w:tc>
        <w:tc>
          <w:tcPr>
            <w:tcW w:w="2212" w:type="dxa"/>
            <w:tcBorders>
              <w:top w:val="single" w:color="auto" w:sz="4" w:space="0"/>
              <w:left w:val="single" w:color="auto" w:sz="4" w:space="0"/>
              <w:bottom w:val="single" w:color="auto" w:sz="12" w:space="0"/>
              <w:right w:val="single" w:color="auto" w:sz="12" w:space="0"/>
            </w:tcBorders>
            <w:noWrap w:val="0"/>
            <w:vAlign w:val="center"/>
          </w:tcPr>
          <w:p w14:paraId="0AA15E42">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不存在以上行为</w:t>
            </w:r>
          </w:p>
        </w:tc>
        <w:tc>
          <w:tcPr>
            <w:tcW w:w="737" w:type="dxa"/>
            <w:tcBorders>
              <w:top w:val="single" w:color="auto" w:sz="4" w:space="0"/>
              <w:left w:val="single" w:color="auto" w:sz="4" w:space="0"/>
              <w:bottom w:val="single" w:color="auto" w:sz="12" w:space="0"/>
              <w:right w:val="single" w:color="auto" w:sz="12" w:space="0"/>
            </w:tcBorders>
            <w:noWrap w:val="0"/>
            <w:vAlign w:val="center"/>
          </w:tcPr>
          <w:p w14:paraId="1ED4C58D">
            <w:pPr>
              <w:pStyle w:val="15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tLeast"/>
              <w:ind w:left="0" w:right="0"/>
              <w:textAlignment w:val="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符合</w:t>
            </w:r>
          </w:p>
        </w:tc>
      </w:tr>
    </w:tbl>
    <w:p w14:paraId="2440F6FA">
      <w:pPr>
        <w:ind w:firstLine="560" w:firstLineChars="200"/>
        <w:rPr>
          <w:rFonts w:hint="eastAsia" w:ascii="宋体" w:hAnsi="宋体"/>
          <w:color w:val="auto"/>
          <w:szCs w:val="28"/>
        </w:rPr>
      </w:pPr>
      <w:r>
        <w:rPr>
          <w:rFonts w:hint="eastAsia"/>
          <w:color w:val="auto"/>
        </w:rPr>
        <w:t>从表中结果可以看出</w:t>
      </w:r>
      <w:r>
        <w:rPr>
          <w:rFonts w:hint="eastAsia"/>
          <w:color w:val="auto"/>
          <w:lang w:eastAsia="zh-CN"/>
        </w:rPr>
        <w:t>，</w:t>
      </w:r>
      <w:r>
        <w:rPr>
          <w:rFonts w:hint="default" w:ascii="Times New Roman" w:hAnsi="Times New Roman" w:cs="Times New Roman"/>
          <w:szCs w:val="28"/>
        </w:rPr>
        <w:t>该</w:t>
      </w:r>
      <w:r>
        <w:rPr>
          <w:rFonts w:hint="eastAsia" w:ascii="Times New Roman" w:hAnsi="Times New Roman" w:cs="Times New Roman"/>
          <w:szCs w:val="28"/>
          <w:lang w:val="en-US" w:eastAsia="zh-CN"/>
        </w:rPr>
        <w:t>加油站安全检查各项内容均符合要求</w:t>
      </w:r>
      <w:r>
        <w:rPr>
          <w:rFonts w:hint="default" w:ascii="Times New Roman" w:hAnsi="Times New Roman" w:cs="Times New Roman"/>
          <w:szCs w:val="28"/>
        </w:rPr>
        <w:t>。</w:t>
      </w:r>
    </w:p>
    <w:bookmarkEnd w:id="708"/>
    <w:bookmarkEnd w:id="709"/>
    <w:p w14:paraId="35672F65">
      <w:pPr>
        <w:pStyle w:val="5"/>
        <w:spacing w:line="360" w:lineRule="auto"/>
        <w:ind w:left="0" w:leftChars="0" w:firstLine="0" w:firstLineChars="0"/>
        <w:rPr>
          <w:rFonts w:hint="default" w:ascii="Times New Roman" w:hAnsi="Times New Roman" w:cs="Times New Roman"/>
          <w:color w:val="auto"/>
        </w:rPr>
      </w:pPr>
      <w:bookmarkStart w:id="744" w:name="_Toc7808"/>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.2作业条件分析评价</w:t>
      </w:r>
      <w:bookmarkEnd w:id="744"/>
    </w:p>
    <w:p w14:paraId="2EFCFB14">
      <w:pPr>
        <w:pStyle w:val="134"/>
        <w:spacing w:line="360" w:lineRule="auto"/>
        <w:ind w:firstLine="544"/>
        <w:rPr>
          <w:rFonts w:hint="default" w:ascii="Times New Roman" w:hAnsi="Times New Roman" w:cs="Times New Roman"/>
          <w:color w:val="auto"/>
          <w:spacing w:val="-4"/>
          <w:szCs w:val="28"/>
        </w:rPr>
      </w:pPr>
      <w:r>
        <w:rPr>
          <w:color w:val="auto"/>
          <w:spacing w:val="-4"/>
          <w:szCs w:val="28"/>
        </w:rPr>
        <w:t>根据</w:t>
      </w:r>
      <w:r>
        <w:rPr>
          <w:rFonts w:hint="eastAsia"/>
          <w:color w:val="auto"/>
          <w:spacing w:val="-4"/>
          <w:szCs w:val="28"/>
          <w:lang w:eastAsia="zh-CN"/>
        </w:rPr>
        <w:t>本项</w:t>
      </w:r>
      <w:r>
        <w:rPr>
          <w:rFonts w:hint="default" w:ascii="Times New Roman" w:hAnsi="Times New Roman" w:cs="Times New Roman"/>
          <w:color w:val="auto"/>
          <w:spacing w:val="-4"/>
          <w:szCs w:val="28"/>
          <w:lang w:eastAsia="zh-CN"/>
        </w:rPr>
        <w:t>目</w:t>
      </w:r>
      <w:r>
        <w:rPr>
          <w:rFonts w:hint="default" w:ascii="Times New Roman" w:hAnsi="Times New Roman" w:cs="Times New Roman"/>
          <w:color w:val="auto"/>
          <w:spacing w:val="-4"/>
          <w:szCs w:val="28"/>
        </w:rPr>
        <w:t>生产工艺特点，对</w:t>
      </w:r>
      <w:r>
        <w:rPr>
          <w:rFonts w:hint="default" w:ascii="Times New Roman" w:hAnsi="Times New Roman" w:cs="Times New Roman"/>
          <w:color w:val="auto"/>
          <w:spacing w:val="-4"/>
          <w:szCs w:val="28"/>
          <w:lang w:eastAsia="zh-CN"/>
        </w:rPr>
        <w:t>本项目</w:t>
      </w:r>
      <w:r>
        <w:rPr>
          <w:rFonts w:hint="default" w:ascii="Times New Roman" w:hAnsi="Times New Roman" w:cs="Times New Roman"/>
          <w:color w:val="auto"/>
          <w:spacing w:val="-4"/>
          <w:szCs w:val="28"/>
        </w:rPr>
        <w:t>关键操作岗位进行作业条件危险性评价，分析结果见下表：</w:t>
      </w:r>
    </w:p>
    <w:p w14:paraId="5707E163">
      <w:pPr>
        <w:pStyle w:val="137"/>
        <w:spacing w:line="240" w:lineRule="auto"/>
        <w:ind w:firstLine="422"/>
        <w:jc w:val="center"/>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F表</w:t>
      </w:r>
      <w:r>
        <w:rPr>
          <w:rFonts w:hint="eastAsia" w:eastAsia="黑体" w:cs="Times New Roman"/>
          <w:b/>
          <w:color w:val="auto"/>
          <w:sz w:val="21"/>
          <w:szCs w:val="21"/>
          <w:lang w:val="en-US" w:eastAsia="zh-CN"/>
        </w:rPr>
        <w:t>4</w:t>
      </w:r>
      <w:r>
        <w:rPr>
          <w:rFonts w:hint="default" w:ascii="Times New Roman" w:hAnsi="Times New Roman" w:eastAsia="黑体" w:cs="Times New Roman"/>
          <w:b/>
          <w:color w:val="auto"/>
          <w:sz w:val="21"/>
          <w:szCs w:val="21"/>
        </w:rPr>
        <w:t>.</w:t>
      </w:r>
      <w:r>
        <w:rPr>
          <w:rFonts w:hint="eastAsia" w:eastAsia="黑体" w:cs="Times New Roman"/>
          <w:b/>
          <w:color w:val="auto"/>
          <w:sz w:val="21"/>
          <w:szCs w:val="21"/>
          <w:lang w:val="en-US" w:eastAsia="zh-CN"/>
        </w:rPr>
        <w:t>1</w:t>
      </w:r>
      <w:r>
        <w:rPr>
          <w:rFonts w:hint="default" w:ascii="Times New Roman" w:hAnsi="Times New Roman" w:eastAsia="黑体" w:cs="Times New Roman"/>
          <w:b/>
          <w:color w:val="auto"/>
          <w:sz w:val="21"/>
          <w:szCs w:val="21"/>
        </w:rPr>
        <w:t>-</w:t>
      </w:r>
      <w:r>
        <w:rPr>
          <w:rFonts w:hint="eastAsia" w:eastAsia="黑体" w:cs="Times New Roman"/>
          <w:b/>
          <w:color w:val="auto"/>
          <w:sz w:val="21"/>
          <w:szCs w:val="21"/>
          <w:lang w:val="en-US" w:eastAsia="zh-CN"/>
        </w:rPr>
        <w:t>9</w:t>
      </w:r>
      <w:r>
        <w:rPr>
          <w:rFonts w:hint="default" w:ascii="Times New Roman" w:hAnsi="Times New Roman" w:eastAsia="黑体" w:cs="Times New Roman"/>
          <w:b/>
          <w:color w:val="auto"/>
          <w:sz w:val="21"/>
          <w:szCs w:val="21"/>
        </w:rPr>
        <w:t xml:space="preserve"> 作业条件分析结果</w:t>
      </w:r>
    </w:p>
    <w:tbl>
      <w:tblPr>
        <w:tblStyle w:val="48"/>
        <w:tblW w:w="92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842"/>
        <w:gridCol w:w="567"/>
        <w:gridCol w:w="496"/>
        <w:gridCol w:w="495"/>
        <w:gridCol w:w="710"/>
        <w:gridCol w:w="3626"/>
        <w:gridCol w:w="1311"/>
      </w:tblGrid>
      <w:tr w14:paraId="3A839A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1160" w:type="dxa"/>
            <w:vMerge w:val="restart"/>
            <w:tcBorders>
              <w:tl2br w:val="nil"/>
              <w:tr2bl w:val="nil"/>
            </w:tcBorders>
            <w:vAlign w:val="center"/>
          </w:tcPr>
          <w:p w14:paraId="769A7AB6">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作业单元</w:t>
            </w:r>
          </w:p>
        </w:tc>
        <w:tc>
          <w:tcPr>
            <w:tcW w:w="842" w:type="dxa"/>
            <w:vMerge w:val="restart"/>
            <w:tcBorders>
              <w:tl2br w:val="nil"/>
              <w:tr2bl w:val="nil"/>
            </w:tcBorders>
            <w:vAlign w:val="center"/>
          </w:tcPr>
          <w:p w14:paraId="4B988725">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危险因素</w:t>
            </w:r>
          </w:p>
        </w:tc>
        <w:tc>
          <w:tcPr>
            <w:tcW w:w="2268" w:type="dxa"/>
            <w:gridSpan w:val="4"/>
            <w:tcBorders>
              <w:tl2br w:val="nil"/>
              <w:tr2bl w:val="nil"/>
            </w:tcBorders>
            <w:vAlign w:val="center"/>
          </w:tcPr>
          <w:p w14:paraId="2E0CA283">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危险分值D=L×E×C</w:t>
            </w:r>
          </w:p>
        </w:tc>
        <w:tc>
          <w:tcPr>
            <w:tcW w:w="3626" w:type="dxa"/>
            <w:vMerge w:val="restart"/>
            <w:tcBorders>
              <w:tl2br w:val="nil"/>
              <w:tr2bl w:val="nil"/>
            </w:tcBorders>
            <w:vAlign w:val="center"/>
          </w:tcPr>
          <w:p w14:paraId="1D0868BC">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赋分说明</w:t>
            </w:r>
          </w:p>
        </w:tc>
        <w:tc>
          <w:tcPr>
            <w:tcW w:w="1311" w:type="dxa"/>
            <w:vMerge w:val="restart"/>
            <w:tcBorders>
              <w:tl2br w:val="nil"/>
              <w:tr2bl w:val="nil"/>
            </w:tcBorders>
            <w:vAlign w:val="center"/>
          </w:tcPr>
          <w:p w14:paraId="00C1E7D1">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b/>
                <w:bCs/>
                <w:color w:val="auto"/>
              </w:rPr>
            </w:pPr>
            <w:r>
              <w:rPr>
                <w:rFonts w:hint="default" w:ascii="Times New Roman" w:hAnsi="Times New Roman" w:cs="Times New Roman"/>
                <w:b/>
                <w:bCs/>
                <w:color w:val="auto"/>
              </w:rPr>
              <w:t>危险性等级</w:t>
            </w:r>
          </w:p>
        </w:tc>
      </w:tr>
      <w:tr w14:paraId="72BF55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1160" w:type="dxa"/>
            <w:vMerge w:val="continue"/>
            <w:tcBorders>
              <w:tl2br w:val="nil"/>
              <w:tr2bl w:val="nil"/>
            </w:tcBorders>
            <w:vAlign w:val="center"/>
          </w:tcPr>
          <w:p w14:paraId="1870A54E">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p>
        </w:tc>
        <w:tc>
          <w:tcPr>
            <w:tcW w:w="842" w:type="dxa"/>
            <w:vMerge w:val="continue"/>
            <w:tcBorders>
              <w:tl2br w:val="nil"/>
              <w:tr2bl w:val="nil"/>
            </w:tcBorders>
            <w:vAlign w:val="center"/>
          </w:tcPr>
          <w:p w14:paraId="0C9A328F">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p>
        </w:tc>
        <w:tc>
          <w:tcPr>
            <w:tcW w:w="567" w:type="dxa"/>
            <w:tcBorders>
              <w:tl2br w:val="nil"/>
              <w:tr2bl w:val="nil"/>
            </w:tcBorders>
            <w:vAlign w:val="center"/>
          </w:tcPr>
          <w:p w14:paraId="71D202C0">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L</w:t>
            </w:r>
          </w:p>
        </w:tc>
        <w:tc>
          <w:tcPr>
            <w:tcW w:w="496" w:type="dxa"/>
            <w:tcBorders>
              <w:tl2br w:val="nil"/>
              <w:tr2bl w:val="nil"/>
            </w:tcBorders>
            <w:vAlign w:val="center"/>
          </w:tcPr>
          <w:p w14:paraId="079DA14C">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E</w:t>
            </w:r>
          </w:p>
        </w:tc>
        <w:tc>
          <w:tcPr>
            <w:tcW w:w="495" w:type="dxa"/>
            <w:tcBorders>
              <w:tl2br w:val="nil"/>
              <w:tr2bl w:val="nil"/>
            </w:tcBorders>
            <w:vAlign w:val="center"/>
          </w:tcPr>
          <w:p w14:paraId="381BA76C">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C</w:t>
            </w:r>
          </w:p>
        </w:tc>
        <w:tc>
          <w:tcPr>
            <w:tcW w:w="710" w:type="dxa"/>
            <w:tcBorders>
              <w:tl2br w:val="nil"/>
              <w:tr2bl w:val="nil"/>
            </w:tcBorders>
            <w:vAlign w:val="center"/>
          </w:tcPr>
          <w:p w14:paraId="06A15F05">
            <w:pPr>
              <w:pStyle w:val="22"/>
              <w:keepNext w:val="0"/>
              <w:keepLines w:val="0"/>
              <w:widowControl/>
              <w:suppressLineNumbers w:val="0"/>
              <w:spacing w:before="0" w:beforeAutospacing="0" w:after="0" w:afterAutospacing="0"/>
              <w:ind w:left="0" w:right="0"/>
              <w:rPr>
                <w:rFonts w:hint="default" w:ascii="Times New Roman" w:hAnsi="Times New Roman" w:cs="Times New Roman"/>
                <w:b/>
                <w:bCs/>
                <w:color w:val="auto"/>
              </w:rPr>
            </w:pPr>
            <w:r>
              <w:rPr>
                <w:rFonts w:hint="default" w:ascii="Times New Roman" w:hAnsi="Times New Roman" w:cs="Times New Roman"/>
                <w:b/>
                <w:bCs/>
                <w:color w:val="auto"/>
              </w:rPr>
              <w:t>D</w:t>
            </w:r>
          </w:p>
        </w:tc>
        <w:tc>
          <w:tcPr>
            <w:tcW w:w="3626" w:type="dxa"/>
            <w:vMerge w:val="continue"/>
            <w:tcBorders>
              <w:tl2br w:val="nil"/>
              <w:tr2bl w:val="nil"/>
            </w:tcBorders>
            <w:vAlign w:val="center"/>
          </w:tcPr>
          <w:p w14:paraId="577BA9FE">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color w:val="auto"/>
              </w:rPr>
            </w:pPr>
          </w:p>
        </w:tc>
        <w:tc>
          <w:tcPr>
            <w:tcW w:w="1311" w:type="dxa"/>
            <w:vMerge w:val="continue"/>
            <w:tcBorders>
              <w:tl2br w:val="nil"/>
              <w:tr2bl w:val="nil"/>
            </w:tcBorders>
            <w:vAlign w:val="center"/>
          </w:tcPr>
          <w:p w14:paraId="53E0FA4B">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color w:val="auto"/>
              </w:rPr>
            </w:pPr>
          </w:p>
        </w:tc>
      </w:tr>
      <w:tr w14:paraId="25B42B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60" w:type="dxa"/>
            <w:vMerge w:val="restart"/>
            <w:tcBorders>
              <w:tl2br w:val="nil"/>
              <w:tr2bl w:val="nil"/>
            </w:tcBorders>
            <w:vAlign w:val="center"/>
          </w:tcPr>
          <w:p w14:paraId="77FCE9CB">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color w:val="auto"/>
              </w:rPr>
            </w:pPr>
            <w:r>
              <w:rPr>
                <w:rFonts w:hint="default" w:ascii="Times New Roman" w:hAnsi="Times New Roman" w:cs="Times New Roman"/>
                <w:color w:val="auto"/>
              </w:rPr>
              <w:t>加油作业</w:t>
            </w:r>
          </w:p>
        </w:tc>
        <w:tc>
          <w:tcPr>
            <w:tcW w:w="842" w:type="dxa"/>
            <w:tcBorders>
              <w:tl2br w:val="nil"/>
              <w:tr2bl w:val="nil"/>
            </w:tcBorders>
            <w:vAlign w:val="center"/>
          </w:tcPr>
          <w:p w14:paraId="2DC2C638">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火灾爆炸</w:t>
            </w:r>
          </w:p>
        </w:tc>
        <w:tc>
          <w:tcPr>
            <w:tcW w:w="567" w:type="dxa"/>
            <w:tcBorders>
              <w:tl2br w:val="nil"/>
              <w:tr2bl w:val="nil"/>
            </w:tcBorders>
            <w:vAlign w:val="center"/>
          </w:tcPr>
          <w:p w14:paraId="7B7B80BD">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0.5</w:t>
            </w:r>
          </w:p>
        </w:tc>
        <w:tc>
          <w:tcPr>
            <w:tcW w:w="496" w:type="dxa"/>
            <w:tcBorders>
              <w:tl2br w:val="nil"/>
              <w:tr2bl w:val="nil"/>
            </w:tcBorders>
            <w:vAlign w:val="center"/>
          </w:tcPr>
          <w:p w14:paraId="75A4973D">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6</w:t>
            </w:r>
          </w:p>
        </w:tc>
        <w:tc>
          <w:tcPr>
            <w:tcW w:w="495" w:type="dxa"/>
            <w:tcBorders>
              <w:tl2br w:val="nil"/>
              <w:tr2bl w:val="nil"/>
            </w:tcBorders>
            <w:vAlign w:val="center"/>
          </w:tcPr>
          <w:p w14:paraId="4755D7CC">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15</w:t>
            </w:r>
          </w:p>
        </w:tc>
        <w:tc>
          <w:tcPr>
            <w:tcW w:w="710" w:type="dxa"/>
            <w:tcBorders>
              <w:tl2br w:val="nil"/>
              <w:tr2bl w:val="nil"/>
            </w:tcBorders>
            <w:vAlign w:val="center"/>
          </w:tcPr>
          <w:p w14:paraId="25737243">
            <w:pPr>
              <w:pStyle w:val="22"/>
              <w:keepNext w:val="0"/>
              <w:keepLines w:val="0"/>
              <w:widowControl/>
              <w:suppressLineNumbers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color w:val="auto"/>
              </w:rPr>
              <w:t>45</w:t>
            </w:r>
          </w:p>
        </w:tc>
        <w:tc>
          <w:tcPr>
            <w:tcW w:w="3626" w:type="dxa"/>
            <w:tcBorders>
              <w:tl2br w:val="nil"/>
              <w:tr2bl w:val="nil"/>
            </w:tcBorders>
            <w:vAlign w:val="center"/>
          </w:tcPr>
          <w:p w14:paraId="27A8B94E">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color w:val="auto"/>
              </w:rPr>
            </w:pPr>
            <w:r>
              <w:rPr>
                <w:rFonts w:hint="default" w:ascii="Times New Roman" w:hAnsi="Times New Roman" w:cs="Times New Roman"/>
                <w:color w:val="auto"/>
              </w:rPr>
              <w:t>由于来往加油的人员存在很多不稳定因素，如私自</w:t>
            </w:r>
            <w:r>
              <w:rPr>
                <w:rFonts w:hint="default" w:ascii="Times New Roman" w:hAnsi="Times New Roman" w:cs="Times New Roman"/>
                <w:color w:val="auto"/>
                <w:lang w:eastAsia="zh-CN"/>
              </w:rPr>
              <w:t>拔枪</w:t>
            </w:r>
            <w:r>
              <w:rPr>
                <w:rFonts w:hint="default" w:ascii="Times New Roman" w:hAnsi="Times New Roman" w:cs="Times New Roman"/>
                <w:color w:val="auto"/>
              </w:rPr>
              <w:t>、人体静电等，如果在加油过程遇到油气泄漏，很可能引发火灾甚至爆炸事故，国内外遇到过多起在加油时由于人体静电放电引发的火灾事故，也有因加油完毕未拨油枪就开车离开导致加油机被拉倒引起火灾的情况。但加油软管都有拉断阀、加油机供油管道有剪切阀，可有效防止意外发生，事故发生的可能性不大。</w:t>
            </w:r>
          </w:p>
        </w:tc>
        <w:tc>
          <w:tcPr>
            <w:tcW w:w="1311" w:type="dxa"/>
            <w:tcBorders>
              <w:tl2br w:val="nil"/>
              <w:tr2bl w:val="nil"/>
            </w:tcBorders>
            <w:vAlign w:val="center"/>
          </w:tcPr>
          <w:p w14:paraId="75986AA6">
            <w:pPr>
              <w:pStyle w:val="22"/>
              <w:keepNext w:val="0"/>
              <w:keepLines w:val="0"/>
              <w:widowControl/>
              <w:suppressLineNumbers w:val="0"/>
              <w:spacing w:before="0" w:beforeAutospacing="0" w:after="0" w:afterAutospacing="0"/>
              <w:ind w:left="0" w:right="0"/>
              <w:jc w:val="both"/>
              <w:rPr>
                <w:rFonts w:hint="default" w:ascii="Times New Roman" w:hAnsi="Times New Roman" w:cs="Times New Roman"/>
                <w:color w:val="auto"/>
              </w:rPr>
            </w:pPr>
            <w:r>
              <w:rPr>
                <w:rFonts w:hint="default" w:ascii="Times New Roman" w:hAnsi="Times New Roman" w:cs="Times New Roman"/>
                <w:color w:val="auto"/>
              </w:rPr>
              <w:t>可能危险，需要注意</w:t>
            </w:r>
          </w:p>
        </w:tc>
      </w:tr>
      <w:tr w14:paraId="39B6C0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160" w:type="dxa"/>
            <w:vMerge w:val="continue"/>
            <w:tcBorders>
              <w:tl2br w:val="nil"/>
              <w:tr2bl w:val="nil"/>
            </w:tcBorders>
            <w:vAlign w:val="center"/>
          </w:tcPr>
          <w:p w14:paraId="627249BC">
            <w:pPr>
              <w:pStyle w:val="22"/>
              <w:keepNext w:val="0"/>
              <w:keepLines w:val="0"/>
              <w:widowControl/>
              <w:suppressLineNumbers w:val="0"/>
              <w:spacing w:before="0" w:beforeAutospacing="0" w:after="0" w:afterAutospacing="0"/>
              <w:ind w:left="0" w:right="0"/>
              <w:jc w:val="both"/>
              <w:rPr>
                <w:rFonts w:hint="default"/>
                <w:color w:val="auto"/>
              </w:rPr>
            </w:pPr>
          </w:p>
        </w:tc>
        <w:tc>
          <w:tcPr>
            <w:tcW w:w="842" w:type="dxa"/>
            <w:tcBorders>
              <w:tl2br w:val="nil"/>
              <w:tr2bl w:val="nil"/>
            </w:tcBorders>
            <w:vAlign w:val="center"/>
          </w:tcPr>
          <w:p w14:paraId="1738A77B">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触电</w:t>
            </w:r>
          </w:p>
        </w:tc>
        <w:tc>
          <w:tcPr>
            <w:tcW w:w="567" w:type="dxa"/>
            <w:tcBorders>
              <w:tl2br w:val="nil"/>
              <w:tr2bl w:val="nil"/>
            </w:tcBorders>
            <w:vAlign w:val="center"/>
          </w:tcPr>
          <w:p w14:paraId="36CC9F1B">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0</w:t>
            </w:r>
            <w:r>
              <w:rPr>
                <w:rFonts w:hint="eastAsia"/>
                <w:color w:val="auto"/>
              </w:rPr>
              <w:t>.</w:t>
            </w:r>
            <w:r>
              <w:rPr>
                <w:rFonts w:hint="eastAsia" w:ascii="Times New Roman" w:hAnsi="Times New Roman"/>
                <w:color w:val="auto"/>
              </w:rPr>
              <w:t>5</w:t>
            </w:r>
          </w:p>
        </w:tc>
        <w:tc>
          <w:tcPr>
            <w:tcW w:w="496" w:type="dxa"/>
            <w:tcBorders>
              <w:tl2br w:val="nil"/>
              <w:tr2bl w:val="nil"/>
            </w:tcBorders>
            <w:vAlign w:val="center"/>
          </w:tcPr>
          <w:p w14:paraId="0E2F1B07">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6</w:t>
            </w:r>
          </w:p>
        </w:tc>
        <w:tc>
          <w:tcPr>
            <w:tcW w:w="495" w:type="dxa"/>
            <w:tcBorders>
              <w:tl2br w:val="nil"/>
              <w:tr2bl w:val="nil"/>
            </w:tcBorders>
            <w:vAlign w:val="center"/>
          </w:tcPr>
          <w:p w14:paraId="189F007A">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7</w:t>
            </w:r>
          </w:p>
        </w:tc>
        <w:tc>
          <w:tcPr>
            <w:tcW w:w="710" w:type="dxa"/>
            <w:tcBorders>
              <w:tl2br w:val="nil"/>
              <w:tr2bl w:val="nil"/>
            </w:tcBorders>
            <w:vAlign w:val="center"/>
          </w:tcPr>
          <w:p w14:paraId="04A41CFA">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21</w:t>
            </w:r>
          </w:p>
        </w:tc>
        <w:tc>
          <w:tcPr>
            <w:tcW w:w="3626" w:type="dxa"/>
            <w:tcBorders>
              <w:tl2br w:val="nil"/>
              <w:tr2bl w:val="nil"/>
            </w:tcBorders>
            <w:vAlign w:val="center"/>
          </w:tcPr>
          <w:p w14:paraId="7E380E82">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加油机使用</w:t>
            </w:r>
            <w:r>
              <w:rPr>
                <w:rFonts w:hint="eastAsia" w:ascii="Times New Roman" w:hAnsi="Times New Roman"/>
                <w:color w:val="auto"/>
              </w:rPr>
              <w:t>380</w:t>
            </w:r>
            <w:r>
              <w:rPr>
                <w:rFonts w:hint="eastAsia"/>
                <w:color w:val="auto"/>
              </w:rPr>
              <w:t>/</w:t>
            </w:r>
            <w:r>
              <w:rPr>
                <w:rFonts w:hint="eastAsia" w:ascii="Times New Roman" w:hAnsi="Times New Roman"/>
                <w:color w:val="auto"/>
              </w:rPr>
              <w:t>220V</w:t>
            </w:r>
            <w:r>
              <w:rPr>
                <w:rFonts w:hint="eastAsia"/>
                <w:color w:val="auto"/>
              </w:rPr>
              <w:t>电源供电，如果设备发生漏电可能导致触电事故，实际上加油机金属外壳有接地保护，供电线路也有漏电保护装置，可以设想，事故发生的可能性不大。</w:t>
            </w:r>
          </w:p>
        </w:tc>
        <w:tc>
          <w:tcPr>
            <w:tcW w:w="1311" w:type="dxa"/>
            <w:tcBorders>
              <w:tl2br w:val="nil"/>
              <w:tr2bl w:val="nil"/>
            </w:tcBorders>
            <w:vAlign w:val="center"/>
          </w:tcPr>
          <w:p w14:paraId="06756179">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可能危险，需要注意</w:t>
            </w:r>
          </w:p>
        </w:tc>
      </w:tr>
      <w:tr w14:paraId="33BD19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3" w:hRule="atLeast"/>
          <w:jc w:val="center"/>
        </w:trPr>
        <w:tc>
          <w:tcPr>
            <w:tcW w:w="1160" w:type="dxa"/>
            <w:vMerge w:val="continue"/>
            <w:tcBorders>
              <w:tl2br w:val="nil"/>
              <w:tr2bl w:val="nil"/>
            </w:tcBorders>
            <w:vAlign w:val="center"/>
          </w:tcPr>
          <w:p w14:paraId="1759253E">
            <w:pPr>
              <w:pStyle w:val="22"/>
              <w:keepNext w:val="0"/>
              <w:keepLines w:val="0"/>
              <w:widowControl/>
              <w:suppressLineNumbers w:val="0"/>
              <w:spacing w:before="0" w:beforeAutospacing="0" w:after="0" w:afterAutospacing="0"/>
              <w:ind w:left="0" w:right="0"/>
              <w:jc w:val="both"/>
              <w:rPr>
                <w:rFonts w:hint="default"/>
                <w:color w:val="auto"/>
              </w:rPr>
            </w:pPr>
          </w:p>
        </w:tc>
        <w:tc>
          <w:tcPr>
            <w:tcW w:w="842" w:type="dxa"/>
            <w:tcBorders>
              <w:tl2br w:val="nil"/>
              <w:tr2bl w:val="nil"/>
            </w:tcBorders>
            <w:vAlign w:val="center"/>
          </w:tcPr>
          <w:p w14:paraId="0EE3A323">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车辆伤害</w:t>
            </w:r>
          </w:p>
        </w:tc>
        <w:tc>
          <w:tcPr>
            <w:tcW w:w="567" w:type="dxa"/>
            <w:tcBorders>
              <w:tl2br w:val="nil"/>
              <w:tr2bl w:val="nil"/>
            </w:tcBorders>
            <w:vAlign w:val="center"/>
          </w:tcPr>
          <w:p w14:paraId="05F49773">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1</w:t>
            </w:r>
          </w:p>
        </w:tc>
        <w:tc>
          <w:tcPr>
            <w:tcW w:w="496" w:type="dxa"/>
            <w:tcBorders>
              <w:tl2br w:val="nil"/>
              <w:tr2bl w:val="nil"/>
            </w:tcBorders>
            <w:vAlign w:val="center"/>
          </w:tcPr>
          <w:p w14:paraId="3D9C9A1C">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6</w:t>
            </w:r>
          </w:p>
        </w:tc>
        <w:tc>
          <w:tcPr>
            <w:tcW w:w="495" w:type="dxa"/>
            <w:tcBorders>
              <w:tl2br w:val="nil"/>
              <w:tr2bl w:val="nil"/>
            </w:tcBorders>
            <w:vAlign w:val="center"/>
          </w:tcPr>
          <w:p w14:paraId="2DDB8420">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710" w:type="dxa"/>
            <w:tcBorders>
              <w:tl2br w:val="nil"/>
              <w:tr2bl w:val="nil"/>
            </w:tcBorders>
            <w:vAlign w:val="center"/>
          </w:tcPr>
          <w:p w14:paraId="169BEFBC">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18</w:t>
            </w:r>
          </w:p>
        </w:tc>
        <w:tc>
          <w:tcPr>
            <w:tcW w:w="3626" w:type="dxa"/>
            <w:tcBorders>
              <w:tl2br w:val="nil"/>
              <w:tr2bl w:val="nil"/>
            </w:tcBorders>
            <w:vAlign w:val="center"/>
          </w:tcPr>
          <w:p w14:paraId="7034AB21">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加油加气作业区车辆较多，如果站内进出的车辆未落实安全驾驶，又或者现场人员疏忽大意可能导致车辆伤害事故。但站内车辆行驶速度较低，完全意外，事故发生的可能性不大。</w:t>
            </w:r>
          </w:p>
        </w:tc>
        <w:tc>
          <w:tcPr>
            <w:tcW w:w="1311" w:type="dxa"/>
            <w:tcBorders>
              <w:tl2br w:val="nil"/>
              <w:tr2bl w:val="nil"/>
            </w:tcBorders>
            <w:vAlign w:val="center"/>
          </w:tcPr>
          <w:p w14:paraId="49A5518D">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稍有危险，可以接受</w:t>
            </w:r>
          </w:p>
        </w:tc>
      </w:tr>
      <w:tr w14:paraId="7C7747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1160" w:type="dxa"/>
            <w:vMerge w:val="continue"/>
            <w:tcBorders>
              <w:tl2br w:val="nil"/>
              <w:tr2bl w:val="nil"/>
            </w:tcBorders>
            <w:vAlign w:val="center"/>
          </w:tcPr>
          <w:p w14:paraId="3528A711">
            <w:pPr>
              <w:pStyle w:val="22"/>
              <w:keepNext w:val="0"/>
              <w:keepLines w:val="0"/>
              <w:widowControl/>
              <w:suppressLineNumbers w:val="0"/>
              <w:spacing w:before="0" w:beforeAutospacing="0" w:after="0" w:afterAutospacing="0"/>
              <w:ind w:left="0" w:right="0"/>
              <w:jc w:val="both"/>
              <w:rPr>
                <w:rFonts w:hint="default"/>
                <w:color w:val="auto"/>
              </w:rPr>
            </w:pPr>
          </w:p>
        </w:tc>
        <w:tc>
          <w:tcPr>
            <w:tcW w:w="842" w:type="dxa"/>
            <w:tcBorders>
              <w:tl2br w:val="nil"/>
              <w:tr2bl w:val="nil"/>
            </w:tcBorders>
            <w:vAlign w:val="center"/>
          </w:tcPr>
          <w:p w14:paraId="52F9702F">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中毒窒息</w:t>
            </w:r>
          </w:p>
        </w:tc>
        <w:tc>
          <w:tcPr>
            <w:tcW w:w="567" w:type="dxa"/>
            <w:tcBorders>
              <w:tl2br w:val="nil"/>
              <w:tr2bl w:val="nil"/>
            </w:tcBorders>
            <w:vAlign w:val="center"/>
          </w:tcPr>
          <w:p w14:paraId="50BE6D17">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0</w:t>
            </w:r>
            <w:r>
              <w:rPr>
                <w:rFonts w:hint="eastAsia"/>
                <w:color w:val="auto"/>
              </w:rPr>
              <w:t>.</w:t>
            </w:r>
            <w:r>
              <w:rPr>
                <w:rFonts w:hint="eastAsia" w:ascii="Times New Roman" w:hAnsi="Times New Roman"/>
                <w:color w:val="auto"/>
              </w:rPr>
              <w:t>5</w:t>
            </w:r>
          </w:p>
        </w:tc>
        <w:tc>
          <w:tcPr>
            <w:tcW w:w="496" w:type="dxa"/>
            <w:tcBorders>
              <w:tl2br w:val="nil"/>
              <w:tr2bl w:val="nil"/>
            </w:tcBorders>
            <w:vAlign w:val="center"/>
          </w:tcPr>
          <w:p w14:paraId="70C83CC7">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6</w:t>
            </w:r>
          </w:p>
        </w:tc>
        <w:tc>
          <w:tcPr>
            <w:tcW w:w="495" w:type="dxa"/>
            <w:tcBorders>
              <w:tl2br w:val="nil"/>
              <w:tr2bl w:val="nil"/>
            </w:tcBorders>
            <w:vAlign w:val="center"/>
          </w:tcPr>
          <w:p w14:paraId="2DA43A48">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710" w:type="dxa"/>
            <w:tcBorders>
              <w:tl2br w:val="nil"/>
              <w:tr2bl w:val="nil"/>
            </w:tcBorders>
            <w:vAlign w:val="center"/>
          </w:tcPr>
          <w:p w14:paraId="21BC3E5C">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9</w:t>
            </w:r>
          </w:p>
        </w:tc>
        <w:tc>
          <w:tcPr>
            <w:tcW w:w="3626" w:type="dxa"/>
            <w:tcBorders>
              <w:tl2br w:val="nil"/>
              <w:tr2bl w:val="nil"/>
            </w:tcBorders>
            <w:vAlign w:val="center"/>
          </w:tcPr>
          <w:p w14:paraId="5F6D65A2">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只有在短时间内大量吸入油品蒸气时，才可能发生中毒，加油作业区通风条件较好，不容易出现有毒有害蒸气积聚，事故发生的可能性不大。</w:t>
            </w:r>
          </w:p>
        </w:tc>
        <w:tc>
          <w:tcPr>
            <w:tcW w:w="1311" w:type="dxa"/>
            <w:tcBorders>
              <w:tl2br w:val="nil"/>
              <w:tr2bl w:val="nil"/>
            </w:tcBorders>
            <w:vAlign w:val="center"/>
          </w:tcPr>
          <w:p w14:paraId="59AA5B6B">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稍有危险，可以接受</w:t>
            </w:r>
          </w:p>
        </w:tc>
      </w:tr>
      <w:tr w14:paraId="211C7A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0" w:hRule="atLeast"/>
          <w:jc w:val="center"/>
        </w:trPr>
        <w:tc>
          <w:tcPr>
            <w:tcW w:w="1160" w:type="dxa"/>
            <w:vMerge w:val="restart"/>
            <w:tcBorders>
              <w:tl2br w:val="nil"/>
              <w:tr2bl w:val="nil"/>
            </w:tcBorders>
            <w:vAlign w:val="center"/>
          </w:tcPr>
          <w:p w14:paraId="52944472">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卸油作业</w:t>
            </w:r>
          </w:p>
        </w:tc>
        <w:tc>
          <w:tcPr>
            <w:tcW w:w="842" w:type="dxa"/>
            <w:tcBorders>
              <w:tl2br w:val="nil"/>
              <w:tr2bl w:val="nil"/>
            </w:tcBorders>
            <w:vAlign w:val="center"/>
          </w:tcPr>
          <w:p w14:paraId="6669D8EC">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火灾爆炸</w:t>
            </w:r>
          </w:p>
        </w:tc>
        <w:tc>
          <w:tcPr>
            <w:tcW w:w="567" w:type="dxa"/>
            <w:tcBorders>
              <w:tl2br w:val="nil"/>
              <w:tr2bl w:val="nil"/>
            </w:tcBorders>
            <w:vAlign w:val="center"/>
          </w:tcPr>
          <w:p w14:paraId="0287EB98">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0</w:t>
            </w:r>
            <w:r>
              <w:rPr>
                <w:rFonts w:hint="eastAsia"/>
                <w:color w:val="auto"/>
              </w:rPr>
              <w:t>.</w:t>
            </w:r>
            <w:r>
              <w:rPr>
                <w:rFonts w:hint="eastAsia" w:ascii="Times New Roman" w:hAnsi="Times New Roman"/>
                <w:color w:val="auto"/>
              </w:rPr>
              <w:t>5</w:t>
            </w:r>
          </w:p>
        </w:tc>
        <w:tc>
          <w:tcPr>
            <w:tcW w:w="496" w:type="dxa"/>
            <w:tcBorders>
              <w:tl2br w:val="nil"/>
              <w:tr2bl w:val="nil"/>
            </w:tcBorders>
            <w:vAlign w:val="center"/>
          </w:tcPr>
          <w:p w14:paraId="35554570">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495" w:type="dxa"/>
            <w:tcBorders>
              <w:tl2br w:val="nil"/>
              <w:tr2bl w:val="nil"/>
            </w:tcBorders>
            <w:vAlign w:val="center"/>
          </w:tcPr>
          <w:p w14:paraId="5C765168">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15</w:t>
            </w:r>
          </w:p>
        </w:tc>
        <w:tc>
          <w:tcPr>
            <w:tcW w:w="710" w:type="dxa"/>
            <w:tcBorders>
              <w:tl2br w:val="nil"/>
              <w:tr2bl w:val="nil"/>
            </w:tcBorders>
            <w:vAlign w:val="center"/>
          </w:tcPr>
          <w:p w14:paraId="0BC5A6DC">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22</w:t>
            </w:r>
            <w:r>
              <w:rPr>
                <w:rFonts w:hint="eastAsia"/>
                <w:color w:val="auto"/>
              </w:rPr>
              <w:t>.</w:t>
            </w:r>
            <w:r>
              <w:rPr>
                <w:rFonts w:hint="eastAsia" w:ascii="Times New Roman" w:hAnsi="Times New Roman"/>
                <w:color w:val="auto"/>
              </w:rPr>
              <w:t>5</w:t>
            </w:r>
          </w:p>
        </w:tc>
        <w:tc>
          <w:tcPr>
            <w:tcW w:w="3626" w:type="dxa"/>
            <w:tcBorders>
              <w:tl2br w:val="nil"/>
              <w:tr2bl w:val="nil"/>
            </w:tcBorders>
            <w:vAlign w:val="center"/>
          </w:tcPr>
          <w:p w14:paraId="081154C3">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在卸油时如果未遵守卸油作业操作规程，可能因静电未得到有效消除，卸油软管连接不良发生油品泄漏，遇火源可引发火灾甚至爆炸事故。只要落实卸油安全操作规程，事故发生的可能性不大。</w:t>
            </w:r>
          </w:p>
        </w:tc>
        <w:tc>
          <w:tcPr>
            <w:tcW w:w="1311" w:type="dxa"/>
            <w:tcBorders>
              <w:tl2br w:val="nil"/>
              <w:tr2bl w:val="nil"/>
            </w:tcBorders>
            <w:vAlign w:val="center"/>
          </w:tcPr>
          <w:p w14:paraId="0239F596">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可能危险，需要注意</w:t>
            </w:r>
          </w:p>
        </w:tc>
      </w:tr>
      <w:tr w14:paraId="231A80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160" w:type="dxa"/>
            <w:vMerge w:val="continue"/>
            <w:tcBorders>
              <w:tl2br w:val="nil"/>
              <w:tr2bl w:val="nil"/>
            </w:tcBorders>
            <w:vAlign w:val="center"/>
          </w:tcPr>
          <w:p w14:paraId="189F3E5A">
            <w:pPr>
              <w:pStyle w:val="22"/>
              <w:keepNext w:val="0"/>
              <w:keepLines w:val="0"/>
              <w:widowControl/>
              <w:suppressLineNumbers w:val="0"/>
              <w:spacing w:before="0" w:beforeAutospacing="0" w:after="0" w:afterAutospacing="0"/>
              <w:ind w:left="0" w:right="0"/>
              <w:jc w:val="both"/>
              <w:rPr>
                <w:rFonts w:hint="default"/>
                <w:color w:val="auto"/>
              </w:rPr>
            </w:pPr>
          </w:p>
        </w:tc>
        <w:tc>
          <w:tcPr>
            <w:tcW w:w="842" w:type="dxa"/>
            <w:tcBorders>
              <w:tl2br w:val="nil"/>
              <w:tr2bl w:val="nil"/>
            </w:tcBorders>
            <w:vAlign w:val="center"/>
          </w:tcPr>
          <w:p w14:paraId="13214858">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车辆伤害</w:t>
            </w:r>
          </w:p>
        </w:tc>
        <w:tc>
          <w:tcPr>
            <w:tcW w:w="567" w:type="dxa"/>
            <w:tcBorders>
              <w:tl2br w:val="nil"/>
              <w:tr2bl w:val="nil"/>
            </w:tcBorders>
            <w:vAlign w:val="center"/>
          </w:tcPr>
          <w:p w14:paraId="401CE665">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0</w:t>
            </w:r>
            <w:r>
              <w:rPr>
                <w:rFonts w:hint="eastAsia"/>
                <w:color w:val="auto"/>
              </w:rPr>
              <w:t>.</w:t>
            </w:r>
            <w:r>
              <w:rPr>
                <w:rFonts w:hint="eastAsia" w:ascii="Times New Roman" w:hAnsi="Times New Roman"/>
                <w:color w:val="auto"/>
              </w:rPr>
              <w:t>5</w:t>
            </w:r>
          </w:p>
        </w:tc>
        <w:tc>
          <w:tcPr>
            <w:tcW w:w="496" w:type="dxa"/>
            <w:tcBorders>
              <w:tl2br w:val="nil"/>
              <w:tr2bl w:val="nil"/>
            </w:tcBorders>
            <w:vAlign w:val="center"/>
          </w:tcPr>
          <w:p w14:paraId="3154A004">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495" w:type="dxa"/>
            <w:tcBorders>
              <w:tl2br w:val="nil"/>
              <w:tr2bl w:val="nil"/>
            </w:tcBorders>
            <w:vAlign w:val="center"/>
          </w:tcPr>
          <w:p w14:paraId="2B0276E0">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710" w:type="dxa"/>
            <w:tcBorders>
              <w:tl2br w:val="nil"/>
              <w:tr2bl w:val="nil"/>
            </w:tcBorders>
            <w:vAlign w:val="center"/>
          </w:tcPr>
          <w:p w14:paraId="73E0B977">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4</w:t>
            </w:r>
            <w:r>
              <w:rPr>
                <w:rFonts w:hint="eastAsia"/>
                <w:color w:val="auto"/>
              </w:rPr>
              <w:t>.</w:t>
            </w:r>
            <w:r>
              <w:rPr>
                <w:rFonts w:hint="eastAsia" w:ascii="Times New Roman" w:hAnsi="Times New Roman"/>
                <w:color w:val="auto"/>
              </w:rPr>
              <w:t>5</w:t>
            </w:r>
          </w:p>
        </w:tc>
        <w:tc>
          <w:tcPr>
            <w:tcW w:w="3626" w:type="dxa"/>
            <w:tcBorders>
              <w:tl2br w:val="nil"/>
              <w:tr2bl w:val="nil"/>
            </w:tcBorders>
            <w:vAlign w:val="center"/>
          </w:tcPr>
          <w:p w14:paraId="656449F9">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卸车作业区域一般只有一辆槽罐车，在车辆停靠时只要听从现场人员指挥，事故发生的可能性不大。</w:t>
            </w:r>
          </w:p>
        </w:tc>
        <w:tc>
          <w:tcPr>
            <w:tcW w:w="1311" w:type="dxa"/>
            <w:tcBorders>
              <w:tl2br w:val="nil"/>
              <w:tr2bl w:val="nil"/>
            </w:tcBorders>
            <w:vAlign w:val="center"/>
          </w:tcPr>
          <w:p w14:paraId="1BA199F7">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稍有危险，可以接受</w:t>
            </w:r>
          </w:p>
        </w:tc>
      </w:tr>
      <w:tr w14:paraId="6DBEFB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1160" w:type="dxa"/>
            <w:vMerge w:val="continue"/>
            <w:tcBorders>
              <w:tl2br w:val="nil"/>
              <w:tr2bl w:val="nil"/>
            </w:tcBorders>
            <w:vAlign w:val="center"/>
          </w:tcPr>
          <w:p w14:paraId="620739DA">
            <w:pPr>
              <w:pStyle w:val="22"/>
              <w:keepNext w:val="0"/>
              <w:keepLines w:val="0"/>
              <w:widowControl/>
              <w:suppressLineNumbers w:val="0"/>
              <w:spacing w:before="0" w:beforeAutospacing="0" w:after="0" w:afterAutospacing="0"/>
              <w:ind w:left="0" w:right="0"/>
              <w:jc w:val="both"/>
              <w:rPr>
                <w:rFonts w:hint="default"/>
                <w:color w:val="auto"/>
              </w:rPr>
            </w:pPr>
          </w:p>
        </w:tc>
        <w:tc>
          <w:tcPr>
            <w:tcW w:w="842" w:type="dxa"/>
            <w:tcBorders>
              <w:tl2br w:val="nil"/>
              <w:tr2bl w:val="nil"/>
            </w:tcBorders>
            <w:vAlign w:val="center"/>
          </w:tcPr>
          <w:p w14:paraId="1B84B101">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中毒窒息</w:t>
            </w:r>
          </w:p>
        </w:tc>
        <w:tc>
          <w:tcPr>
            <w:tcW w:w="567" w:type="dxa"/>
            <w:tcBorders>
              <w:tl2br w:val="nil"/>
              <w:tr2bl w:val="nil"/>
            </w:tcBorders>
            <w:vAlign w:val="center"/>
          </w:tcPr>
          <w:p w14:paraId="01154274">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0</w:t>
            </w:r>
            <w:r>
              <w:rPr>
                <w:rFonts w:hint="eastAsia"/>
                <w:color w:val="auto"/>
              </w:rPr>
              <w:t>.</w:t>
            </w:r>
            <w:r>
              <w:rPr>
                <w:rFonts w:hint="eastAsia" w:ascii="Times New Roman" w:hAnsi="Times New Roman"/>
                <w:color w:val="auto"/>
              </w:rPr>
              <w:t>5</w:t>
            </w:r>
          </w:p>
        </w:tc>
        <w:tc>
          <w:tcPr>
            <w:tcW w:w="496" w:type="dxa"/>
            <w:tcBorders>
              <w:tl2br w:val="nil"/>
              <w:tr2bl w:val="nil"/>
            </w:tcBorders>
            <w:vAlign w:val="center"/>
          </w:tcPr>
          <w:p w14:paraId="4144BA45">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495" w:type="dxa"/>
            <w:tcBorders>
              <w:tl2br w:val="nil"/>
              <w:tr2bl w:val="nil"/>
            </w:tcBorders>
            <w:vAlign w:val="center"/>
          </w:tcPr>
          <w:p w14:paraId="5E341566">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710" w:type="dxa"/>
            <w:tcBorders>
              <w:tl2br w:val="nil"/>
              <w:tr2bl w:val="nil"/>
            </w:tcBorders>
            <w:vAlign w:val="center"/>
          </w:tcPr>
          <w:p w14:paraId="68E5FD01">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4</w:t>
            </w:r>
            <w:r>
              <w:rPr>
                <w:rFonts w:hint="eastAsia"/>
                <w:color w:val="auto"/>
              </w:rPr>
              <w:t>.</w:t>
            </w:r>
            <w:r>
              <w:rPr>
                <w:rFonts w:hint="eastAsia" w:ascii="Times New Roman" w:hAnsi="Times New Roman"/>
                <w:color w:val="auto"/>
              </w:rPr>
              <w:t>5</w:t>
            </w:r>
          </w:p>
        </w:tc>
        <w:tc>
          <w:tcPr>
            <w:tcW w:w="3626" w:type="dxa"/>
            <w:tcBorders>
              <w:tl2br w:val="nil"/>
              <w:tr2bl w:val="nil"/>
            </w:tcBorders>
            <w:vAlign w:val="center"/>
          </w:tcPr>
          <w:p w14:paraId="41D0B1DE">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只有在短时间内大量吸入油品蒸气时，才可能发生中毒，卸油作业区通风条件较好，不容易出现有毒有害蒸气积聚，事故发生的可能性不大。</w:t>
            </w:r>
          </w:p>
        </w:tc>
        <w:tc>
          <w:tcPr>
            <w:tcW w:w="1311" w:type="dxa"/>
            <w:tcBorders>
              <w:tl2br w:val="nil"/>
              <w:tr2bl w:val="nil"/>
            </w:tcBorders>
            <w:vAlign w:val="center"/>
          </w:tcPr>
          <w:p w14:paraId="22431410">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稍有危险，可以接受</w:t>
            </w:r>
          </w:p>
        </w:tc>
      </w:tr>
      <w:tr w14:paraId="6D1371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1160" w:type="dxa"/>
            <w:tcBorders>
              <w:tl2br w:val="nil"/>
              <w:tr2bl w:val="nil"/>
            </w:tcBorders>
            <w:vAlign w:val="center"/>
          </w:tcPr>
          <w:p w14:paraId="2957B8D2">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配电作业</w:t>
            </w:r>
          </w:p>
        </w:tc>
        <w:tc>
          <w:tcPr>
            <w:tcW w:w="842" w:type="dxa"/>
            <w:tcBorders>
              <w:tl2br w:val="nil"/>
              <w:tr2bl w:val="nil"/>
            </w:tcBorders>
            <w:vAlign w:val="center"/>
          </w:tcPr>
          <w:p w14:paraId="746C4166">
            <w:pPr>
              <w:pStyle w:val="22"/>
              <w:keepNext w:val="0"/>
              <w:keepLines w:val="0"/>
              <w:widowControl/>
              <w:suppressLineNumbers w:val="0"/>
              <w:spacing w:before="0" w:beforeAutospacing="0" w:after="0" w:afterAutospacing="0"/>
              <w:ind w:left="0" w:right="0"/>
              <w:rPr>
                <w:rFonts w:hint="default"/>
                <w:color w:val="auto"/>
              </w:rPr>
            </w:pPr>
            <w:r>
              <w:rPr>
                <w:rFonts w:hint="eastAsia"/>
                <w:color w:val="auto"/>
              </w:rPr>
              <w:t>火灾、触电</w:t>
            </w:r>
          </w:p>
        </w:tc>
        <w:tc>
          <w:tcPr>
            <w:tcW w:w="567" w:type="dxa"/>
            <w:tcBorders>
              <w:tl2br w:val="nil"/>
              <w:tr2bl w:val="nil"/>
            </w:tcBorders>
            <w:vAlign w:val="center"/>
          </w:tcPr>
          <w:p w14:paraId="03FF9C85">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1</w:t>
            </w:r>
          </w:p>
        </w:tc>
        <w:tc>
          <w:tcPr>
            <w:tcW w:w="496" w:type="dxa"/>
            <w:tcBorders>
              <w:tl2br w:val="nil"/>
              <w:tr2bl w:val="nil"/>
            </w:tcBorders>
            <w:vAlign w:val="center"/>
          </w:tcPr>
          <w:p w14:paraId="524F905B">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3</w:t>
            </w:r>
          </w:p>
        </w:tc>
        <w:tc>
          <w:tcPr>
            <w:tcW w:w="495" w:type="dxa"/>
            <w:tcBorders>
              <w:tl2br w:val="nil"/>
              <w:tr2bl w:val="nil"/>
            </w:tcBorders>
            <w:vAlign w:val="center"/>
          </w:tcPr>
          <w:p w14:paraId="7F39C38D">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7</w:t>
            </w:r>
          </w:p>
        </w:tc>
        <w:tc>
          <w:tcPr>
            <w:tcW w:w="710" w:type="dxa"/>
            <w:tcBorders>
              <w:tl2br w:val="nil"/>
              <w:tr2bl w:val="nil"/>
            </w:tcBorders>
            <w:vAlign w:val="center"/>
          </w:tcPr>
          <w:p w14:paraId="67F33037">
            <w:pPr>
              <w:pStyle w:val="22"/>
              <w:keepNext w:val="0"/>
              <w:keepLines w:val="0"/>
              <w:widowControl/>
              <w:suppressLineNumbers w:val="0"/>
              <w:spacing w:before="0" w:beforeAutospacing="0" w:after="0" w:afterAutospacing="0"/>
              <w:ind w:left="0" w:right="0"/>
              <w:rPr>
                <w:rFonts w:hint="default"/>
                <w:color w:val="auto"/>
              </w:rPr>
            </w:pPr>
            <w:r>
              <w:rPr>
                <w:rFonts w:hint="eastAsia" w:ascii="Times New Roman" w:hAnsi="Times New Roman"/>
                <w:color w:val="auto"/>
              </w:rPr>
              <w:t>21</w:t>
            </w:r>
          </w:p>
        </w:tc>
        <w:tc>
          <w:tcPr>
            <w:tcW w:w="3626" w:type="dxa"/>
            <w:tcBorders>
              <w:tl2br w:val="nil"/>
              <w:tr2bl w:val="nil"/>
            </w:tcBorders>
            <w:vAlign w:val="center"/>
          </w:tcPr>
          <w:p w14:paraId="55737399">
            <w:pPr>
              <w:pStyle w:val="22"/>
              <w:keepNext w:val="0"/>
              <w:keepLines w:val="0"/>
              <w:widowControl/>
              <w:suppressLineNumbers w:val="0"/>
              <w:spacing w:before="0" w:beforeAutospacing="0" w:after="0" w:afterAutospacing="0"/>
              <w:ind w:left="0" w:right="0"/>
              <w:jc w:val="both"/>
              <w:rPr>
                <w:rFonts w:hint="eastAsia" w:eastAsia="宋体"/>
                <w:color w:val="auto"/>
                <w:lang w:eastAsia="zh-CN"/>
              </w:rPr>
            </w:pPr>
            <w:r>
              <w:rPr>
                <w:rFonts w:hint="eastAsia"/>
                <w:color w:val="auto"/>
              </w:rPr>
              <w:t>主要发生在</w:t>
            </w:r>
            <w:r>
              <w:rPr>
                <w:rFonts w:hint="eastAsia"/>
                <w:color w:val="auto"/>
                <w:lang w:val="en-US" w:eastAsia="zh-CN"/>
              </w:rPr>
              <w:t>箱式变压器、</w:t>
            </w:r>
            <w:r>
              <w:rPr>
                <w:rFonts w:hint="eastAsia"/>
                <w:color w:val="auto"/>
              </w:rPr>
              <w:t>检修作业等</w:t>
            </w:r>
            <w:r>
              <w:rPr>
                <w:rFonts w:hint="eastAsia"/>
                <w:color w:val="auto"/>
                <w:lang w:eastAsia="zh-CN"/>
              </w:rPr>
              <w:t>。</w:t>
            </w:r>
          </w:p>
        </w:tc>
        <w:tc>
          <w:tcPr>
            <w:tcW w:w="1311" w:type="dxa"/>
            <w:tcBorders>
              <w:tl2br w:val="nil"/>
              <w:tr2bl w:val="nil"/>
            </w:tcBorders>
            <w:vAlign w:val="center"/>
          </w:tcPr>
          <w:p w14:paraId="3C2354A6">
            <w:pPr>
              <w:pStyle w:val="22"/>
              <w:keepNext w:val="0"/>
              <w:keepLines w:val="0"/>
              <w:widowControl/>
              <w:suppressLineNumbers w:val="0"/>
              <w:spacing w:before="0" w:beforeAutospacing="0" w:after="0" w:afterAutospacing="0"/>
              <w:ind w:left="0" w:right="0"/>
              <w:jc w:val="both"/>
              <w:rPr>
                <w:rFonts w:hint="default"/>
                <w:color w:val="auto"/>
              </w:rPr>
            </w:pPr>
            <w:r>
              <w:rPr>
                <w:rFonts w:hint="eastAsia"/>
                <w:color w:val="auto"/>
              </w:rPr>
              <w:t>可能危险，需要注意</w:t>
            </w:r>
          </w:p>
        </w:tc>
      </w:tr>
    </w:tbl>
    <w:p w14:paraId="5EFE41D7">
      <w:pPr>
        <w:pStyle w:val="137"/>
        <w:snapToGrid w:val="0"/>
        <w:spacing w:line="360" w:lineRule="auto"/>
        <w:rPr>
          <w:color w:val="auto"/>
        </w:rPr>
      </w:pPr>
      <w:r>
        <w:rPr>
          <w:color w:val="auto"/>
        </w:rPr>
        <w:t>小结：</w:t>
      </w:r>
      <w:r>
        <w:rPr>
          <w:rFonts w:hint="eastAsia"/>
          <w:color w:val="auto"/>
          <w:szCs w:val="28"/>
        </w:rPr>
        <w:t>该加油站加油作业单元火灾爆炸风险为“可能危险，需要注意”</w:t>
      </w:r>
      <w:r>
        <w:rPr>
          <w:color w:val="auto"/>
          <w:szCs w:val="28"/>
        </w:rPr>
        <w:t>等级，表明</w:t>
      </w:r>
      <w:r>
        <w:rPr>
          <w:rFonts w:hint="eastAsia"/>
          <w:color w:val="auto"/>
          <w:szCs w:val="28"/>
        </w:rPr>
        <w:t>该加油站</w:t>
      </w:r>
      <w:r>
        <w:rPr>
          <w:color w:val="auto"/>
          <w:szCs w:val="28"/>
        </w:rPr>
        <w:t>需要引起足够的重视，采取措施，降低安全风险</w:t>
      </w:r>
      <w:r>
        <w:rPr>
          <w:rFonts w:hint="eastAsia"/>
          <w:color w:val="auto"/>
          <w:szCs w:val="28"/>
        </w:rPr>
        <w:t>。</w:t>
      </w:r>
      <w:r>
        <w:rPr>
          <w:rFonts w:hint="eastAsia"/>
          <w:color w:val="auto"/>
        </w:rPr>
        <w:t>该加油站</w:t>
      </w:r>
      <w:r>
        <w:rPr>
          <w:color w:val="auto"/>
        </w:rPr>
        <w:t>已采取以下措施防范事故发生：加油机供油管道设置有剪切阀，当加油机被拉倒或撞倒时剪切阀可自动关闭，防止油品泄漏；加油软管装有拉断阀，如果加油车辆未拨油枪就开车离开，拉断阀可自动关闭，防止油品泄漏；在加油作业区、营业厅等关键位置设置有紧急切断按钮，如果加油作业区因意外发生火灾，可按下紧急切断按钮，切断全站工艺设备的电源，防止事故进一</w:t>
      </w:r>
      <w:r>
        <w:rPr>
          <w:rFonts w:hint="eastAsia"/>
          <w:color w:val="auto"/>
          <w:lang w:eastAsia="zh-CN"/>
        </w:rPr>
        <w:t>步</w:t>
      </w:r>
      <w:r>
        <w:rPr>
          <w:color w:val="auto"/>
        </w:rPr>
        <w:t>扩大；该站没有开设自助加油，加油作业由经验丰富的工作人员负责，杜绝车主自己加油的情况</w:t>
      </w:r>
      <w:r>
        <w:rPr>
          <w:rFonts w:hint="eastAsia"/>
          <w:color w:val="auto"/>
        </w:rPr>
        <w:t>，同时，现场张贴有明显的安全警示标志，提醒现场人员注意防火安全；通过以上各种措施，可有效防止加油作业火灾爆炸事故发生。</w:t>
      </w:r>
    </w:p>
    <w:p w14:paraId="77627D3A">
      <w:pPr>
        <w:pStyle w:val="136"/>
        <w:snapToGrid w:val="0"/>
        <w:spacing w:line="360" w:lineRule="auto"/>
        <w:rPr>
          <w:b/>
          <w:bCs/>
          <w:color w:val="auto"/>
          <w:sz w:val="24"/>
          <w:highlight w:val="yellow"/>
        </w:rPr>
      </w:pPr>
      <w:r>
        <w:rPr>
          <w:rFonts w:hint="eastAsia"/>
          <w:color w:val="auto"/>
          <w:szCs w:val="28"/>
        </w:rPr>
        <w:t>其他</w:t>
      </w:r>
      <w:r>
        <w:rPr>
          <w:color w:val="auto"/>
          <w:szCs w:val="28"/>
        </w:rPr>
        <w:t>作业单元的风险等级为“</w:t>
      </w:r>
      <w:r>
        <w:rPr>
          <w:rFonts w:hint="eastAsia"/>
          <w:color w:val="auto"/>
          <w:szCs w:val="28"/>
        </w:rPr>
        <w:t>可能危险，需要注意</w:t>
      </w:r>
      <w:r>
        <w:rPr>
          <w:color w:val="auto"/>
          <w:szCs w:val="28"/>
        </w:rPr>
        <w:t>”或“稍有危险，可以接受”</w:t>
      </w:r>
      <w:r>
        <w:rPr>
          <w:color w:val="auto"/>
        </w:rPr>
        <w:t>，</w:t>
      </w:r>
      <w:r>
        <w:rPr>
          <w:rFonts w:hint="eastAsia"/>
          <w:color w:val="auto"/>
          <w:szCs w:val="28"/>
        </w:rPr>
        <w:t>因此，</w:t>
      </w:r>
      <w:r>
        <w:rPr>
          <w:color w:val="auto"/>
          <w:szCs w:val="28"/>
        </w:rPr>
        <w:t>企业</w:t>
      </w:r>
      <w:r>
        <w:rPr>
          <w:rFonts w:hint="eastAsia"/>
          <w:color w:val="auto"/>
          <w:szCs w:val="28"/>
          <w:lang w:eastAsia="zh-CN"/>
        </w:rPr>
        <w:t>必须</w:t>
      </w:r>
      <w:r>
        <w:rPr>
          <w:color w:val="auto"/>
          <w:szCs w:val="28"/>
        </w:rPr>
        <w:t>加强对生产过程中的安全管理，遵守安全操作规程，分主次认真做好作业场所管理、设备安全检修及人员的安全教育培训工作，并做好事故应急预案的演练，提高从业人员应急处置能力。</w:t>
      </w:r>
    </w:p>
    <w:p w14:paraId="62CAC240">
      <w:pPr>
        <w:pStyle w:val="5"/>
        <w:spacing w:line="360" w:lineRule="auto"/>
        <w:ind w:left="0" w:leftChars="0" w:firstLine="0" w:firstLineChars="0"/>
        <w:rPr>
          <w:rFonts w:hint="default" w:ascii="Times New Roman" w:hAnsi="Times New Roman" w:cs="Times New Roman"/>
          <w:color w:val="auto"/>
        </w:rPr>
      </w:pPr>
      <w:bookmarkStart w:id="745" w:name="_Toc7951"/>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r>
        <w:rPr>
          <w:rFonts w:hint="eastAsia" w:cs="Times New Roman"/>
          <w:color w:val="auto"/>
          <w:lang w:val="en-US" w:eastAsia="zh-CN"/>
        </w:rPr>
        <w:t>1</w:t>
      </w:r>
      <w:r>
        <w:rPr>
          <w:rFonts w:hint="default" w:ascii="Times New Roman" w:hAnsi="Times New Roman" w:cs="Times New Roman"/>
          <w:color w:val="auto"/>
        </w:rPr>
        <w:t>.</w:t>
      </w:r>
      <w:r>
        <w:rPr>
          <w:rFonts w:hint="default" w:ascii="Times New Roman" w:hAnsi="Times New Roman" w:cs="Times New Roman"/>
          <w:color w:val="auto"/>
          <w:lang w:val="en-US" w:eastAsia="zh-CN"/>
        </w:rPr>
        <w:t>3</w:t>
      </w:r>
      <w:r>
        <w:rPr>
          <w:rFonts w:hint="default" w:ascii="Times New Roman" w:hAnsi="Times New Roman" w:cs="Times New Roman"/>
          <w:color w:val="auto"/>
        </w:rPr>
        <w:t>固有危险程度分析过程</w:t>
      </w:r>
      <w:bookmarkEnd w:id="745"/>
    </w:p>
    <w:p w14:paraId="44845424">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1）定性分析建设项目工艺流程中涉及具有爆炸性、可燃性、毒性的化学品数量、含量、状态和所在的作业场所及其状况。</w:t>
      </w:r>
    </w:p>
    <w:p w14:paraId="0AC36355">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油品储存、输送过程中涉及易燃液体，当作业人员不按照操作规程操作、设备出现破损老化、安全设施失效、包装物损坏、安全管理不严格时，出现易燃油品泄漏，会形成爆炸性混合物，爆炸性混合物遇到明火、高温等点火源，引起火灾，达到爆炸极限，引起爆炸事故。</w:t>
      </w:r>
    </w:p>
    <w:p w14:paraId="34EF93BA">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该加油站涉及的危险化学品定量分析如下：</w:t>
      </w:r>
    </w:p>
    <w:p w14:paraId="634595A2">
      <w:pPr>
        <w:pStyle w:val="21"/>
        <w:rPr>
          <w:rFonts w:hint="default" w:ascii="Times New Roman" w:hAnsi="Times New Roman" w:cs="Times New Roman"/>
          <w:color w:val="auto"/>
          <w:szCs w:val="21"/>
        </w:rPr>
      </w:pPr>
      <w:r>
        <w:rPr>
          <w:rFonts w:hint="default" w:ascii="Times New Roman" w:hAnsi="Times New Roman" w:cs="Times New Roman"/>
          <w:color w:val="auto"/>
          <w:szCs w:val="21"/>
        </w:rPr>
        <w:t>F表</w:t>
      </w:r>
      <w:r>
        <w:rPr>
          <w:rFonts w:hint="eastAsia" w:cs="Times New Roman"/>
          <w:color w:val="auto"/>
          <w:szCs w:val="21"/>
          <w:lang w:val="en-US" w:eastAsia="zh-CN"/>
        </w:rPr>
        <w:t>4</w:t>
      </w:r>
      <w:r>
        <w:rPr>
          <w:rFonts w:hint="default" w:ascii="Times New Roman" w:hAnsi="Times New Roman" w:cs="Times New Roman"/>
          <w:color w:val="auto"/>
          <w:szCs w:val="21"/>
        </w:rPr>
        <w:t>.</w:t>
      </w:r>
      <w:r>
        <w:rPr>
          <w:rFonts w:hint="eastAsia" w:cs="Times New Roman"/>
          <w:color w:val="auto"/>
          <w:szCs w:val="21"/>
          <w:lang w:val="en-US" w:eastAsia="zh-CN"/>
        </w:rPr>
        <w:t>1</w:t>
      </w:r>
      <w:r>
        <w:rPr>
          <w:rFonts w:hint="default" w:ascii="Times New Roman" w:hAnsi="Times New Roman" w:cs="Times New Roman"/>
          <w:color w:val="auto"/>
          <w:szCs w:val="21"/>
        </w:rPr>
        <w:t>-</w:t>
      </w:r>
      <w:r>
        <w:rPr>
          <w:rFonts w:hint="eastAsia" w:cs="Times New Roman"/>
          <w:color w:val="auto"/>
          <w:szCs w:val="21"/>
          <w:lang w:val="en-US" w:eastAsia="zh-CN"/>
        </w:rPr>
        <w:t>10</w:t>
      </w:r>
      <w:r>
        <w:rPr>
          <w:rFonts w:hint="default" w:ascii="Times New Roman" w:hAnsi="Times New Roman" w:cs="Times New Roman"/>
          <w:color w:val="auto"/>
          <w:szCs w:val="21"/>
        </w:rPr>
        <w:t xml:space="preserve"> 该加油站涉及危险化学品数量、状态、作业场所及其状况表</w:t>
      </w:r>
    </w:p>
    <w:tbl>
      <w:tblPr>
        <w:tblStyle w:val="48"/>
        <w:tblW w:w="949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1"/>
        <w:gridCol w:w="969"/>
        <w:gridCol w:w="1319"/>
        <w:gridCol w:w="3140"/>
        <w:gridCol w:w="1091"/>
        <w:gridCol w:w="1162"/>
        <w:gridCol w:w="623"/>
        <w:gridCol w:w="652"/>
      </w:tblGrid>
      <w:tr w14:paraId="27BAA1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41" w:type="dxa"/>
            <w:tcBorders>
              <w:tl2br w:val="nil"/>
              <w:tr2bl w:val="nil"/>
            </w:tcBorders>
            <w:vAlign w:val="center"/>
          </w:tcPr>
          <w:p w14:paraId="56FD8F5A">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序号</w:t>
            </w:r>
          </w:p>
        </w:tc>
        <w:tc>
          <w:tcPr>
            <w:tcW w:w="969" w:type="dxa"/>
            <w:tcBorders>
              <w:tl2br w:val="nil"/>
              <w:tr2bl w:val="nil"/>
            </w:tcBorders>
            <w:vAlign w:val="center"/>
          </w:tcPr>
          <w:p w14:paraId="47EA1AA6">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1319" w:type="dxa"/>
            <w:tcBorders>
              <w:tl2br w:val="nil"/>
              <w:tr2bl w:val="nil"/>
            </w:tcBorders>
            <w:vAlign w:val="center"/>
          </w:tcPr>
          <w:p w14:paraId="56C4F8DD">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危险化学品目录序号</w:t>
            </w:r>
          </w:p>
        </w:tc>
        <w:tc>
          <w:tcPr>
            <w:tcW w:w="3140" w:type="dxa"/>
            <w:tcBorders>
              <w:tl2br w:val="nil"/>
              <w:tr2bl w:val="nil"/>
            </w:tcBorders>
            <w:vAlign w:val="center"/>
          </w:tcPr>
          <w:p w14:paraId="1A356898">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危险性类别</w:t>
            </w:r>
          </w:p>
        </w:tc>
        <w:tc>
          <w:tcPr>
            <w:tcW w:w="1091" w:type="dxa"/>
            <w:tcBorders>
              <w:tl2br w:val="nil"/>
              <w:tr2bl w:val="nil"/>
            </w:tcBorders>
            <w:vAlign w:val="center"/>
          </w:tcPr>
          <w:p w14:paraId="4800D86D">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储存位置、方式</w:t>
            </w:r>
          </w:p>
        </w:tc>
        <w:tc>
          <w:tcPr>
            <w:tcW w:w="1162" w:type="dxa"/>
            <w:tcBorders>
              <w:tl2br w:val="nil"/>
              <w:tr2bl w:val="nil"/>
            </w:tcBorders>
            <w:vAlign w:val="center"/>
          </w:tcPr>
          <w:p w14:paraId="6A44C797">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日常最大储存量（t）</w:t>
            </w:r>
          </w:p>
        </w:tc>
        <w:tc>
          <w:tcPr>
            <w:tcW w:w="623" w:type="dxa"/>
            <w:tcBorders>
              <w:tl2br w:val="nil"/>
              <w:tr2bl w:val="nil"/>
            </w:tcBorders>
            <w:vAlign w:val="center"/>
          </w:tcPr>
          <w:p w14:paraId="547DF6DC">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状态</w:t>
            </w:r>
          </w:p>
        </w:tc>
        <w:tc>
          <w:tcPr>
            <w:tcW w:w="652" w:type="dxa"/>
            <w:tcBorders>
              <w:tl2br w:val="nil"/>
              <w:tr2bl w:val="nil"/>
            </w:tcBorders>
            <w:vAlign w:val="center"/>
          </w:tcPr>
          <w:p w14:paraId="5020067F">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b/>
                <w:bCs/>
                <w:color w:val="auto"/>
              </w:rPr>
            </w:pPr>
            <w:r>
              <w:rPr>
                <w:rFonts w:hint="default" w:ascii="Times New Roman" w:hAnsi="Times New Roman" w:cs="Times New Roman"/>
                <w:b/>
                <w:bCs/>
                <w:color w:val="auto"/>
              </w:rPr>
              <w:t>储存状况</w:t>
            </w:r>
          </w:p>
        </w:tc>
      </w:tr>
      <w:tr w14:paraId="60E29E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541" w:type="dxa"/>
            <w:tcBorders>
              <w:tl2br w:val="nil"/>
              <w:tr2bl w:val="nil"/>
            </w:tcBorders>
            <w:vAlign w:val="center"/>
          </w:tcPr>
          <w:p w14:paraId="28F6F06C">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1</w:t>
            </w:r>
          </w:p>
        </w:tc>
        <w:tc>
          <w:tcPr>
            <w:tcW w:w="969" w:type="dxa"/>
            <w:tcBorders>
              <w:tl2br w:val="nil"/>
              <w:tr2bl w:val="nil"/>
            </w:tcBorders>
            <w:vAlign w:val="center"/>
          </w:tcPr>
          <w:p w14:paraId="4A46C8F9">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汽油</w:t>
            </w:r>
          </w:p>
        </w:tc>
        <w:tc>
          <w:tcPr>
            <w:tcW w:w="1319" w:type="dxa"/>
            <w:tcBorders>
              <w:tl2br w:val="nil"/>
              <w:tr2bl w:val="nil"/>
            </w:tcBorders>
            <w:vAlign w:val="center"/>
          </w:tcPr>
          <w:p w14:paraId="58CBD305">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1630</w:t>
            </w:r>
          </w:p>
        </w:tc>
        <w:tc>
          <w:tcPr>
            <w:tcW w:w="3140" w:type="dxa"/>
            <w:tcBorders>
              <w:tl2br w:val="nil"/>
              <w:tr2bl w:val="nil"/>
            </w:tcBorders>
            <w:vAlign w:val="center"/>
          </w:tcPr>
          <w:p w14:paraId="2D529925">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易燃液体，类别2*</w:t>
            </w:r>
          </w:p>
          <w:p w14:paraId="242FD7F8">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生殖细胞致突变性，类别1B</w:t>
            </w:r>
          </w:p>
          <w:p w14:paraId="3DF9AB9D">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致癌性，类别2</w:t>
            </w:r>
          </w:p>
          <w:p w14:paraId="3B3594B9">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吸入危害，类别1</w:t>
            </w:r>
          </w:p>
          <w:p w14:paraId="329A4232">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危害水生环境-急性危害，类别2</w:t>
            </w:r>
          </w:p>
          <w:p w14:paraId="410DE713">
            <w:pPr>
              <w:pStyle w:val="22"/>
              <w:keepNext w:val="0"/>
              <w:keepLines w:val="0"/>
              <w:widowControl/>
              <w:suppressLineNumbers w:val="0"/>
              <w:spacing w:before="0" w:beforeAutospacing="0" w:after="0" w:afterAutospacing="0" w:line="300" w:lineRule="exact"/>
              <w:ind w:left="0" w:right="0"/>
              <w:jc w:val="both"/>
              <w:rPr>
                <w:rFonts w:hint="default" w:ascii="Times New Roman" w:hAnsi="Times New Roman" w:cs="Times New Roman"/>
                <w:color w:val="auto"/>
              </w:rPr>
            </w:pPr>
            <w:r>
              <w:rPr>
                <w:rFonts w:hint="default" w:ascii="Times New Roman" w:hAnsi="Times New Roman" w:cs="Times New Roman"/>
                <w:color w:val="auto"/>
              </w:rPr>
              <w:t>危害水生环境-长期危害，类别2</w:t>
            </w:r>
          </w:p>
        </w:tc>
        <w:tc>
          <w:tcPr>
            <w:tcW w:w="1091" w:type="dxa"/>
            <w:tcBorders>
              <w:tl2br w:val="nil"/>
              <w:tr2bl w:val="nil"/>
            </w:tcBorders>
            <w:vAlign w:val="center"/>
          </w:tcPr>
          <w:p w14:paraId="274179E8">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埋地储罐区</w:t>
            </w:r>
          </w:p>
        </w:tc>
        <w:tc>
          <w:tcPr>
            <w:tcW w:w="1162" w:type="dxa"/>
            <w:tcBorders>
              <w:tl2br w:val="nil"/>
              <w:tr2bl w:val="nil"/>
            </w:tcBorders>
            <w:vAlign w:val="center"/>
          </w:tcPr>
          <w:p w14:paraId="528B2838">
            <w:pPr>
              <w:pStyle w:val="22"/>
              <w:keepNext w:val="0"/>
              <w:keepLines w:val="0"/>
              <w:widowControl/>
              <w:suppressLineNumbers w:val="0"/>
              <w:spacing w:before="0" w:beforeAutospacing="0" w:after="0" w:afterAutospacing="0" w:line="300" w:lineRule="exact"/>
              <w:ind w:left="0" w:right="0"/>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64.125</w:t>
            </w:r>
          </w:p>
        </w:tc>
        <w:tc>
          <w:tcPr>
            <w:tcW w:w="623" w:type="dxa"/>
            <w:tcBorders>
              <w:tl2br w:val="nil"/>
              <w:tr2bl w:val="nil"/>
            </w:tcBorders>
            <w:vAlign w:val="center"/>
          </w:tcPr>
          <w:p w14:paraId="7C125B36">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液体</w:t>
            </w:r>
          </w:p>
        </w:tc>
        <w:tc>
          <w:tcPr>
            <w:tcW w:w="652" w:type="dxa"/>
            <w:tcBorders>
              <w:tl2br w:val="nil"/>
              <w:tr2bl w:val="nil"/>
            </w:tcBorders>
            <w:vAlign w:val="center"/>
          </w:tcPr>
          <w:p w14:paraId="4C5F9368">
            <w:pPr>
              <w:pStyle w:val="22"/>
              <w:keepNext w:val="0"/>
              <w:keepLines w:val="0"/>
              <w:widowControl/>
              <w:suppressLineNumbers w:val="0"/>
              <w:spacing w:before="0" w:beforeAutospacing="0" w:after="0" w:afterAutospacing="0" w:line="300" w:lineRule="exact"/>
              <w:ind w:left="0" w:right="0"/>
              <w:rPr>
                <w:rFonts w:hint="default" w:ascii="Times New Roman" w:hAnsi="Times New Roman" w:cs="Times New Roman"/>
                <w:color w:val="auto"/>
              </w:rPr>
            </w:pPr>
            <w:r>
              <w:rPr>
                <w:rFonts w:hint="default" w:ascii="Times New Roman" w:hAnsi="Times New Roman" w:cs="Times New Roman"/>
                <w:color w:val="auto"/>
              </w:rPr>
              <w:t>常温常压</w:t>
            </w:r>
          </w:p>
        </w:tc>
      </w:tr>
      <w:tr w14:paraId="40EC89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497" w:type="dxa"/>
            <w:gridSpan w:val="8"/>
            <w:tcBorders>
              <w:tl2br w:val="nil"/>
              <w:tr2bl w:val="nil"/>
            </w:tcBorders>
            <w:vAlign w:val="center"/>
          </w:tcPr>
          <w:p w14:paraId="241BD730">
            <w:pPr>
              <w:pStyle w:val="22"/>
              <w:keepNext w:val="0"/>
              <w:keepLines w:val="0"/>
              <w:widowControl/>
              <w:suppressLineNumbers w:val="0"/>
              <w:spacing w:before="0" w:beforeAutospacing="0" w:after="0" w:afterAutospacing="0" w:line="300" w:lineRule="exact"/>
              <w:ind w:left="0" w:right="0"/>
              <w:jc w:val="both"/>
              <w:rPr>
                <w:rFonts w:hint="default"/>
                <w:color w:val="auto"/>
              </w:rPr>
            </w:pPr>
            <w:r>
              <w:rPr>
                <w:rFonts w:hint="default"/>
                <w:color w:val="auto"/>
              </w:rPr>
              <w:t>日常最大储存量按照储罐充装系数为</w:t>
            </w:r>
            <w:r>
              <w:rPr>
                <w:rFonts w:hint="default" w:ascii="Times New Roman" w:hAnsi="Times New Roman"/>
                <w:color w:val="auto"/>
              </w:rPr>
              <w:t>0</w:t>
            </w:r>
            <w:r>
              <w:rPr>
                <w:rFonts w:hint="default"/>
                <w:color w:val="auto"/>
              </w:rPr>
              <w:t>.</w:t>
            </w:r>
            <w:r>
              <w:rPr>
                <w:rFonts w:hint="default" w:ascii="Times New Roman" w:hAnsi="Times New Roman"/>
                <w:color w:val="auto"/>
              </w:rPr>
              <w:t>9</w:t>
            </w:r>
            <w:r>
              <w:rPr>
                <w:rFonts w:hint="eastAsia" w:ascii="Times New Roman" w:hAnsi="Times New Roman"/>
                <w:color w:val="auto"/>
                <w:lang w:val="en-US" w:eastAsia="zh-CN"/>
              </w:rPr>
              <w:t>5</w:t>
            </w:r>
            <w:r>
              <w:rPr>
                <w:rFonts w:hint="default"/>
                <w:color w:val="auto"/>
              </w:rPr>
              <w:t>计算得出。</w:t>
            </w:r>
          </w:p>
          <w:p w14:paraId="2BA9BC0F">
            <w:pPr>
              <w:pStyle w:val="22"/>
              <w:keepNext w:val="0"/>
              <w:keepLines w:val="0"/>
              <w:widowControl/>
              <w:suppressLineNumbers w:val="0"/>
              <w:spacing w:before="0" w:beforeAutospacing="0" w:after="0" w:afterAutospacing="0" w:line="300" w:lineRule="exact"/>
              <w:ind w:left="0" w:right="0"/>
              <w:jc w:val="both"/>
              <w:rPr>
                <w:rFonts w:hint="default"/>
                <w:color w:val="auto"/>
              </w:rPr>
            </w:pPr>
            <w:r>
              <w:rPr>
                <w:rFonts w:hint="default"/>
                <w:color w:val="auto"/>
              </w:rPr>
              <w:t>汽油密度取</w:t>
            </w:r>
            <w:r>
              <w:rPr>
                <w:rFonts w:hint="default" w:ascii="Times New Roman" w:hAnsi="Times New Roman"/>
                <w:color w:val="auto"/>
              </w:rPr>
              <w:t>0</w:t>
            </w:r>
            <w:r>
              <w:rPr>
                <w:rFonts w:hint="default"/>
                <w:color w:val="auto"/>
              </w:rPr>
              <w:t>.</w:t>
            </w:r>
            <w:r>
              <w:rPr>
                <w:rFonts w:hint="default" w:ascii="Times New Roman" w:hAnsi="Times New Roman"/>
                <w:color w:val="auto"/>
              </w:rPr>
              <w:t>75g</w:t>
            </w:r>
            <w:r>
              <w:rPr>
                <w:rFonts w:hint="default"/>
                <w:color w:val="auto"/>
              </w:rPr>
              <w:t>/</w:t>
            </w:r>
            <w:r>
              <w:rPr>
                <w:rFonts w:hint="default" w:ascii="Times New Roman" w:hAnsi="Times New Roman"/>
                <w:color w:val="auto"/>
              </w:rPr>
              <w:t>cm</w:t>
            </w:r>
            <w:r>
              <w:rPr>
                <w:rFonts w:hint="default" w:ascii="Times New Roman" w:hAnsi="Times New Roman"/>
                <w:color w:val="auto"/>
                <w:vertAlign w:val="superscript"/>
              </w:rPr>
              <w:t>3</w:t>
            </w:r>
            <w:r>
              <w:rPr>
                <w:rFonts w:hint="eastAsia"/>
                <w:color w:val="auto"/>
              </w:rPr>
              <w:t>。</w:t>
            </w:r>
          </w:p>
        </w:tc>
      </w:tr>
    </w:tbl>
    <w:p w14:paraId="2D95024C">
      <w:pPr>
        <w:spacing w:line="360" w:lineRule="auto"/>
        <w:ind w:firstLine="560"/>
        <w:rPr>
          <w:color w:val="auto"/>
        </w:rPr>
      </w:pPr>
      <w:r>
        <w:rPr>
          <w:rFonts w:hint="eastAsia" w:ascii="Times New Roman" w:hAnsi="Times New Roman"/>
          <w:color w:val="auto"/>
        </w:rPr>
        <w:t>2</w:t>
      </w:r>
      <w:r>
        <w:rPr>
          <w:rFonts w:hint="eastAsia"/>
          <w:color w:val="auto"/>
        </w:rPr>
        <w:t>）</w:t>
      </w:r>
      <w:r>
        <w:rPr>
          <w:color w:val="auto"/>
        </w:rPr>
        <w:t>定量分析建设项目涉及具有爆炸性、可燃性、毒性的化学品的固有危险程度</w:t>
      </w:r>
      <w:r>
        <w:rPr>
          <w:rFonts w:hint="eastAsia"/>
          <w:color w:val="auto"/>
        </w:rPr>
        <w:t>：</w:t>
      </w:r>
    </w:p>
    <w:p w14:paraId="5EA56978">
      <w:pPr>
        <w:spacing w:line="360" w:lineRule="auto"/>
        <w:ind w:firstLine="560"/>
        <w:jc w:val="left"/>
        <w:rPr>
          <w:rFonts w:ascii="宋体" w:hAnsi="宋体"/>
          <w:color w:val="auto"/>
        </w:rPr>
      </w:pPr>
      <w:r>
        <w:rPr>
          <w:rFonts w:ascii="Times New Roman" w:hAnsi="Times New Roman" w:eastAsia="Times New Roman"/>
          <w:color w:val="auto"/>
        </w:rPr>
        <w:t>TNT</w:t>
      </w:r>
      <w:r>
        <w:rPr>
          <w:rFonts w:ascii="宋体" w:hAnsi="宋体"/>
          <w:color w:val="auto"/>
        </w:rPr>
        <w:t>当量计算公式</w:t>
      </w:r>
      <w:r>
        <w:rPr>
          <w:rFonts w:ascii="Times New Roman" w:hAnsi="Times New Roman" w:eastAsia="Times New Roman"/>
          <w:color w:val="auto"/>
        </w:rPr>
        <w:t>W</w:t>
      </w:r>
      <w:r>
        <w:rPr>
          <w:rFonts w:ascii="Times New Roman" w:hAnsi="Times New Roman" w:eastAsia="Times New Roman"/>
          <w:color w:val="auto"/>
          <w:sz w:val="18"/>
          <w:vertAlign w:val="subscript"/>
        </w:rPr>
        <w:t>TNT</w:t>
      </w:r>
      <w:r>
        <w:rPr>
          <w:rFonts w:eastAsia="Times New Roman"/>
          <w:color w:val="auto"/>
        </w:rPr>
        <w:t>=</w:t>
      </w:r>
      <w:r>
        <w:rPr>
          <w:rFonts w:ascii="Times New Roman" w:hAnsi="Times New Roman" w:eastAsia="Times New Roman"/>
          <w:color w:val="auto"/>
        </w:rPr>
        <w:t>1</w:t>
      </w:r>
      <w:r>
        <w:rPr>
          <w:rFonts w:eastAsia="Times New Roman"/>
          <w:color w:val="auto"/>
        </w:rPr>
        <w:t>.</w:t>
      </w:r>
      <w:r>
        <w:rPr>
          <w:rFonts w:ascii="Times New Roman" w:hAnsi="Times New Roman" w:eastAsia="Times New Roman"/>
          <w:color w:val="auto"/>
        </w:rPr>
        <w:t>8aW</w:t>
      </w:r>
      <w:r>
        <w:rPr>
          <w:rFonts w:ascii="Times New Roman" w:hAnsi="Times New Roman" w:eastAsia="Times New Roman"/>
          <w:color w:val="auto"/>
          <w:sz w:val="18"/>
        </w:rPr>
        <w:t>f</w:t>
      </w:r>
      <w:r>
        <w:rPr>
          <w:rFonts w:ascii="Times New Roman" w:hAnsi="Times New Roman" w:eastAsia="Times New Roman"/>
          <w:color w:val="auto"/>
        </w:rPr>
        <w:t>Q</w:t>
      </w:r>
      <w:r>
        <w:rPr>
          <w:rFonts w:ascii="Times New Roman" w:hAnsi="Times New Roman" w:eastAsia="Times New Roman"/>
          <w:color w:val="auto"/>
          <w:sz w:val="18"/>
        </w:rPr>
        <w:t>f</w:t>
      </w:r>
      <w:r>
        <w:rPr>
          <w:rFonts w:eastAsia="Times New Roman"/>
          <w:color w:val="auto"/>
        </w:rPr>
        <w:t>/</w:t>
      </w:r>
      <w:r>
        <w:rPr>
          <w:rFonts w:ascii="Times New Roman" w:hAnsi="Times New Roman" w:eastAsia="Times New Roman"/>
          <w:color w:val="auto"/>
        </w:rPr>
        <w:t>Q</w:t>
      </w:r>
      <w:r>
        <w:rPr>
          <w:rFonts w:ascii="Times New Roman" w:hAnsi="Times New Roman" w:eastAsia="Times New Roman"/>
          <w:color w:val="auto"/>
          <w:sz w:val="18"/>
        </w:rPr>
        <w:t>TNT</w:t>
      </w:r>
      <w:r>
        <w:rPr>
          <w:rFonts w:ascii="宋体" w:hAnsi="宋体"/>
          <w:color w:val="auto"/>
        </w:rPr>
        <w:t>，</w:t>
      </w:r>
    </w:p>
    <w:p w14:paraId="7A0093E8">
      <w:pPr>
        <w:spacing w:line="360" w:lineRule="auto"/>
        <w:ind w:firstLine="560"/>
        <w:jc w:val="left"/>
        <w:rPr>
          <w:rFonts w:ascii="宋体" w:hAnsi="宋体"/>
          <w:color w:val="auto"/>
        </w:rPr>
      </w:pPr>
      <w:r>
        <w:rPr>
          <w:rFonts w:ascii="宋体" w:hAnsi="宋体"/>
          <w:color w:val="auto"/>
        </w:rPr>
        <w:t>式中：</w:t>
      </w:r>
      <w:r>
        <w:rPr>
          <w:rFonts w:ascii="Times New Roman" w:hAnsi="Times New Roman" w:eastAsia="Times New Roman"/>
          <w:color w:val="auto"/>
        </w:rPr>
        <w:t>W</w:t>
      </w:r>
      <w:r>
        <w:rPr>
          <w:rFonts w:ascii="Times New Roman" w:hAnsi="Times New Roman" w:eastAsia="Times New Roman"/>
          <w:color w:val="auto"/>
          <w:sz w:val="18"/>
          <w:vertAlign w:val="subscript"/>
        </w:rPr>
        <w:t>TNT</w:t>
      </w:r>
      <w:r>
        <w:rPr>
          <w:rFonts w:ascii="宋体" w:hAnsi="宋体"/>
          <w:color w:val="auto"/>
        </w:rPr>
        <w:t>——蒸汽云的</w:t>
      </w:r>
      <w:r>
        <w:rPr>
          <w:rFonts w:ascii="Times New Roman" w:hAnsi="Times New Roman" w:eastAsia="Times New Roman"/>
          <w:color w:val="auto"/>
        </w:rPr>
        <w:t>TNT</w:t>
      </w:r>
      <w:r>
        <w:rPr>
          <w:rFonts w:ascii="宋体" w:hAnsi="宋体"/>
          <w:color w:val="auto"/>
        </w:rPr>
        <w:t>当量，</w:t>
      </w:r>
      <w:r>
        <w:rPr>
          <w:rFonts w:ascii="Times New Roman" w:hAnsi="Times New Roman" w:eastAsia="Times New Roman"/>
          <w:color w:val="auto"/>
        </w:rPr>
        <w:t>kg</w:t>
      </w:r>
      <w:r>
        <w:rPr>
          <w:rFonts w:ascii="宋体" w:hAnsi="宋体"/>
          <w:color w:val="auto"/>
        </w:rPr>
        <w:t>；</w:t>
      </w:r>
    </w:p>
    <w:p w14:paraId="6DEEC04B">
      <w:pPr>
        <w:spacing w:line="360" w:lineRule="auto"/>
        <w:ind w:firstLine="1400" w:firstLineChars="500"/>
        <w:jc w:val="left"/>
        <w:rPr>
          <w:rFonts w:ascii="宋体" w:hAnsi="宋体"/>
          <w:color w:val="auto"/>
        </w:rPr>
      </w:pPr>
      <w:r>
        <w:rPr>
          <w:rFonts w:ascii="Times New Roman" w:hAnsi="Times New Roman" w:eastAsia="Times New Roman"/>
          <w:color w:val="auto"/>
        </w:rPr>
        <w:t>W</w:t>
      </w:r>
      <w:r>
        <w:rPr>
          <w:rFonts w:ascii="Times New Roman" w:hAnsi="Times New Roman" w:eastAsia="Times New Roman"/>
          <w:color w:val="auto"/>
          <w:sz w:val="18"/>
        </w:rPr>
        <w:t>f</w:t>
      </w:r>
      <w:r>
        <w:rPr>
          <w:rFonts w:ascii="宋体" w:hAnsi="宋体"/>
          <w:color w:val="auto"/>
        </w:rPr>
        <w:t>——蒸汽云中燃料的总质量，</w:t>
      </w:r>
      <w:r>
        <w:rPr>
          <w:rFonts w:ascii="Times New Roman" w:hAnsi="Times New Roman" w:eastAsia="Times New Roman"/>
          <w:color w:val="auto"/>
        </w:rPr>
        <w:t>kg</w:t>
      </w:r>
      <w:r>
        <w:rPr>
          <w:rFonts w:ascii="宋体" w:hAnsi="宋体"/>
          <w:color w:val="auto"/>
        </w:rPr>
        <w:t>；</w:t>
      </w:r>
    </w:p>
    <w:p w14:paraId="258C1463">
      <w:pPr>
        <w:spacing w:line="360" w:lineRule="auto"/>
        <w:ind w:firstLine="1400" w:firstLineChars="500"/>
        <w:jc w:val="left"/>
        <w:rPr>
          <w:rFonts w:ascii="宋体" w:hAnsi="宋体"/>
          <w:color w:val="auto"/>
        </w:rPr>
      </w:pPr>
      <w:r>
        <w:rPr>
          <w:rFonts w:ascii="Times New Roman" w:hAnsi="Times New Roman" w:eastAsia="Times New Roman"/>
          <w:color w:val="auto"/>
        </w:rPr>
        <w:t>Q</w:t>
      </w:r>
      <w:r>
        <w:rPr>
          <w:rFonts w:ascii="Times New Roman" w:hAnsi="Times New Roman" w:eastAsia="Times New Roman"/>
          <w:color w:val="auto"/>
          <w:sz w:val="18"/>
        </w:rPr>
        <w:t>f</w:t>
      </w:r>
      <w:r>
        <w:rPr>
          <w:rFonts w:ascii="宋体" w:hAnsi="宋体"/>
          <w:color w:val="auto"/>
        </w:rPr>
        <w:t>——蒸汽的燃烧热，</w:t>
      </w:r>
      <w:r>
        <w:rPr>
          <w:rFonts w:ascii="Times New Roman" w:hAnsi="Times New Roman" w:eastAsia="Times New Roman"/>
          <w:color w:val="auto"/>
        </w:rPr>
        <w:t>kJ</w:t>
      </w:r>
      <w:r>
        <w:rPr>
          <w:rFonts w:eastAsia="Times New Roman"/>
          <w:color w:val="auto"/>
        </w:rPr>
        <w:t>/</w:t>
      </w:r>
      <w:r>
        <w:rPr>
          <w:rFonts w:ascii="Times New Roman" w:hAnsi="Times New Roman" w:eastAsia="Times New Roman"/>
          <w:color w:val="auto"/>
        </w:rPr>
        <w:t>kg</w:t>
      </w:r>
      <w:r>
        <w:rPr>
          <w:rFonts w:ascii="宋体" w:hAnsi="宋体"/>
          <w:color w:val="auto"/>
        </w:rPr>
        <w:t>；</w:t>
      </w:r>
    </w:p>
    <w:p w14:paraId="40F65E6A">
      <w:pPr>
        <w:spacing w:line="360" w:lineRule="auto"/>
        <w:ind w:firstLine="1400" w:firstLineChars="500"/>
        <w:rPr>
          <w:rFonts w:ascii="宋体" w:hAnsi="宋体"/>
          <w:color w:val="auto"/>
        </w:rPr>
      </w:pPr>
      <w:r>
        <w:rPr>
          <w:rFonts w:ascii="Times New Roman" w:hAnsi="Times New Roman" w:eastAsia="Times New Roman"/>
          <w:color w:val="auto"/>
        </w:rPr>
        <w:t>a</w:t>
      </w:r>
      <w:r>
        <w:rPr>
          <w:rFonts w:ascii="宋体" w:hAnsi="宋体"/>
          <w:color w:val="auto"/>
        </w:rPr>
        <w:t>——可燃气体蒸气云的当量系数，取</w:t>
      </w:r>
      <w:r>
        <w:rPr>
          <w:rFonts w:ascii="Times New Roman" w:hAnsi="Times New Roman" w:eastAsia="Times New Roman"/>
          <w:color w:val="auto"/>
        </w:rPr>
        <w:t>0</w:t>
      </w:r>
      <w:r>
        <w:rPr>
          <w:rFonts w:eastAsia="Times New Roman"/>
          <w:color w:val="auto"/>
        </w:rPr>
        <w:t>.</w:t>
      </w:r>
      <w:r>
        <w:rPr>
          <w:rFonts w:ascii="Times New Roman" w:hAnsi="Times New Roman" w:eastAsia="Times New Roman"/>
          <w:color w:val="auto"/>
        </w:rPr>
        <w:t>04</w:t>
      </w:r>
      <w:r>
        <w:rPr>
          <w:rFonts w:ascii="宋体" w:hAnsi="宋体"/>
          <w:color w:val="auto"/>
        </w:rPr>
        <w:t>；</w:t>
      </w:r>
    </w:p>
    <w:p w14:paraId="2D25ADFC">
      <w:pPr>
        <w:spacing w:line="360" w:lineRule="auto"/>
        <w:ind w:firstLine="1400" w:firstLineChars="500"/>
        <w:jc w:val="left"/>
        <w:rPr>
          <w:rFonts w:ascii="宋体" w:hAnsi="宋体"/>
          <w:color w:val="auto"/>
        </w:rPr>
      </w:pPr>
      <w:r>
        <w:rPr>
          <w:rFonts w:ascii="Times New Roman" w:hAnsi="Times New Roman" w:eastAsia="Times New Roman"/>
          <w:color w:val="auto"/>
        </w:rPr>
        <w:t>Q</w:t>
      </w:r>
      <w:r>
        <w:rPr>
          <w:rFonts w:ascii="Times New Roman" w:hAnsi="Times New Roman" w:eastAsia="Times New Roman"/>
          <w:color w:val="auto"/>
          <w:sz w:val="18"/>
          <w:vertAlign w:val="subscript"/>
        </w:rPr>
        <w:t>TNT</w:t>
      </w:r>
      <w:r>
        <w:rPr>
          <w:rFonts w:ascii="宋体" w:hAnsi="宋体"/>
          <w:color w:val="auto"/>
        </w:rPr>
        <w:t>——</w:t>
      </w:r>
      <w:r>
        <w:rPr>
          <w:rFonts w:ascii="Times New Roman" w:hAnsi="Times New Roman" w:eastAsia="Times New Roman"/>
          <w:color w:val="auto"/>
        </w:rPr>
        <w:t>TNT</w:t>
      </w:r>
      <w:r>
        <w:rPr>
          <w:rFonts w:ascii="宋体" w:hAnsi="宋体"/>
          <w:color w:val="auto"/>
        </w:rPr>
        <w:t>燃烧热，取</w:t>
      </w:r>
      <w:r>
        <w:rPr>
          <w:rFonts w:ascii="Times New Roman" w:hAnsi="Times New Roman" w:eastAsia="Times New Roman"/>
          <w:color w:val="auto"/>
        </w:rPr>
        <w:t>4500kJ</w:t>
      </w:r>
      <w:r>
        <w:rPr>
          <w:rFonts w:eastAsia="Times New Roman"/>
          <w:color w:val="auto"/>
        </w:rPr>
        <w:t>/</w:t>
      </w:r>
      <w:r>
        <w:rPr>
          <w:rFonts w:ascii="Times New Roman" w:hAnsi="Times New Roman" w:eastAsia="Times New Roman"/>
          <w:color w:val="auto"/>
        </w:rPr>
        <w:t>kg</w:t>
      </w:r>
      <w:r>
        <w:rPr>
          <w:rFonts w:ascii="宋体" w:hAnsi="宋体"/>
          <w:color w:val="auto"/>
        </w:rPr>
        <w:t>；</w:t>
      </w:r>
    </w:p>
    <w:p w14:paraId="5969CA4A">
      <w:pPr>
        <w:spacing w:line="360" w:lineRule="auto"/>
        <w:ind w:firstLine="1400" w:firstLineChars="500"/>
        <w:rPr>
          <w:rFonts w:ascii="宋体" w:hAnsi="宋体"/>
          <w:color w:val="auto"/>
        </w:rPr>
      </w:pPr>
      <w:r>
        <w:rPr>
          <w:rFonts w:ascii="Times New Roman" w:hAnsi="Times New Roman" w:eastAsia="Times New Roman"/>
          <w:color w:val="auto"/>
        </w:rPr>
        <w:t>1</w:t>
      </w:r>
      <w:r>
        <w:rPr>
          <w:rFonts w:eastAsia="Times New Roman"/>
          <w:color w:val="auto"/>
        </w:rPr>
        <w:t>.</w:t>
      </w:r>
      <w:r>
        <w:rPr>
          <w:rFonts w:ascii="Times New Roman" w:hAnsi="Times New Roman" w:eastAsia="Times New Roman"/>
          <w:color w:val="auto"/>
        </w:rPr>
        <w:t>8</w:t>
      </w:r>
      <w:r>
        <w:rPr>
          <w:rFonts w:ascii="宋体" w:hAnsi="宋体"/>
          <w:color w:val="auto"/>
        </w:rPr>
        <w:t>——地面爆炸系数。</w:t>
      </w:r>
    </w:p>
    <w:p w14:paraId="662D1887">
      <w:pPr>
        <w:spacing w:line="360" w:lineRule="auto"/>
        <w:ind w:firstLine="560"/>
        <w:rPr>
          <w:color w:val="auto"/>
        </w:rPr>
      </w:pPr>
      <w:r>
        <w:rPr>
          <w:rFonts w:hint="eastAsia"/>
          <w:color w:val="auto"/>
        </w:rPr>
        <w:t>该加油站</w:t>
      </w:r>
      <w:r>
        <w:rPr>
          <w:color w:val="auto"/>
        </w:rPr>
        <w:t>具有爆炸性的化学品的质量及相当于梯恩梯（</w:t>
      </w:r>
      <w:r>
        <w:rPr>
          <w:rFonts w:ascii="Times New Roman" w:hAnsi="Times New Roman"/>
          <w:color w:val="auto"/>
        </w:rPr>
        <w:t>TNT</w:t>
      </w:r>
      <w:r>
        <w:rPr>
          <w:color w:val="auto"/>
        </w:rPr>
        <w:t>）的摩尔量换算如下表：</w:t>
      </w:r>
    </w:p>
    <w:p w14:paraId="5E25C12F">
      <w:pPr>
        <w:pStyle w:val="21"/>
        <w:rPr>
          <w:rFonts w:ascii="黑体" w:hAnsi="黑体" w:cs="黑体"/>
          <w:color w:val="auto"/>
        </w:rPr>
      </w:pPr>
      <w:r>
        <w:rPr>
          <w:rFonts w:hint="eastAsia" w:ascii="Times New Roman" w:hAnsi="Times New Roman" w:cs="黑体"/>
          <w:color w:val="auto"/>
        </w:rPr>
        <w:t>F</w:t>
      </w:r>
      <w:r>
        <w:rPr>
          <w:rFonts w:hint="eastAsia" w:ascii="黑体" w:hAnsi="黑体" w:cs="黑体"/>
          <w:color w:val="auto"/>
        </w:rPr>
        <w:t>表</w:t>
      </w:r>
      <w:r>
        <w:rPr>
          <w:rFonts w:hint="eastAsia" w:cs="黑体"/>
          <w:color w:val="auto"/>
          <w:lang w:val="en-US" w:eastAsia="zh-CN"/>
        </w:rPr>
        <w:t>4</w:t>
      </w:r>
      <w:r>
        <w:rPr>
          <w:rFonts w:hint="eastAsia" w:ascii="黑体" w:hAnsi="黑体" w:cs="黑体"/>
          <w:color w:val="auto"/>
        </w:rPr>
        <w:t>.</w:t>
      </w:r>
      <w:r>
        <w:rPr>
          <w:rFonts w:hint="eastAsia" w:cs="黑体"/>
          <w:color w:val="auto"/>
          <w:lang w:val="en-US" w:eastAsia="zh-CN"/>
        </w:rPr>
        <w:t>1-11</w:t>
      </w:r>
      <w:r>
        <w:rPr>
          <w:rFonts w:hint="eastAsia" w:ascii="黑体" w:hAnsi="黑体" w:cs="黑体"/>
          <w:color w:val="auto"/>
        </w:rPr>
        <w:t xml:space="preserve"> 具有爆炸性的化学品的质量、燃烧热及</w:t>
      </w:r>
      <w:r>
        <w:rPr>
          <w:rFonts w:hint="eastAsia" w:ascii="Times New Roman" w:hAnsi="Times New Roman" w:cs="黑体"/>
          <w:color w:val="auto"/>
        </w:rPr>
        <w:t>TNT</w:t>
      </w:r>
      <w:r>
        <w:rPr>
          <w:rFonts w:hint="eastAsia" w:ascii="黑体" w:hAnsi="黑体" w:cs="黑体"/>
          <w:color w:val="auto"/>
        </w:rPr>
        <w:t>当量换算表</w:t>
      </w:r>
    </w:p>
    <w:tbl>
      <w:tblPr>
        <w:tblStyle w:val="48"/>
        <w:tblW w:w="939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134"/>
        <w:gridCol w:w="830"/>
        <w:gridCol w:w="1139"/>
        <w:gridCol w:w="1488"/>
        <w:gridCol w:w="1099"/>
        <w:gridCol w:w="657"/>
        <w:gridCol w:w="663"/>
        <w:gridCol w:w="755"/>
        <w:gridCol w:w="952"/>
      </w:tblGrid>
      <w:tr w14:paraId="0A5375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4" w:type="dxa"/>
            <w:tcBorders>
              <w:tl2br w:val="nil"/>
              <w:tr2bl w:val="nil"/>
            </w:tcBorders>
            <w:vAlign w:val="center"/>
          </w:tcPr>
          <w:p w14:paraId="0CF210A5">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b/>
                <w:bCs/>
                <w:color w:val="auto"/>
                <w:szCs w:val="21"/>
              </w:rPr>
              <w:t>品名</w:t>
            </w:r>
          </w:p>
        </w:tc>
        <w:tc>
          <w:tcPr>
            <w:tcW w:w="1134" w:type="dxa"/>
            <w:tcBorders>
              <w:tl2br w:val="nil"/>
              <w:tr2bl w:val="nil"/>
            </w:tcBorders>
            <w:vAlign w:val="center"/>
          </w:tcPr>
          <w:p w14:paraId="3751A04D">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b/>
                <w:bCs/>
                <w:color w:val="auto"/>
                <w:szCs w:val="21"/>
              </w:rPr>
              <w:t>位置</w:t>
            </w:r>
          </w:p>
        </w:tc>
        <w:tc>
          <w:tcPr>
            <w:tcW w:w="830" w:type="dxa"/>
            <w:tcBorders>
              <w:tl2br w:val="nil"/>
              <w:tr2bl w:val="nil"/>
            </w:tcBorders>
            <w:vAlign w:val="center"/>
          </w:tcPr>
          <w:p w14:paraId="3D3FD531">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b/>
                <w:bCs/>
                <w:color w:val="auto"/>
                <w:szCs w:val="21"/>
              </w:rPr>
              <w:t>数量（</w:t>
            </w:r>
            <w:r>
              <w:rPr>
                <w:rFonts w:hint="default" w:ascii="Times New Roman" w:hAnsi="Times New Roman"/>
                <w:b/>
                <w:bCs/>
                <w:color w:val="auto"/>
                <w:szCs w:val="21"/>
              </w:rPr>
              <w:t>t</w:t>
            </w:r>
            <w:r>
              <w:rPr>
                <w:rFonts w:hint="default"/>
                <w:b/>
                <w:bCs/>
                <w:color w:val="auto"/>
                <w:szCs w:val="21"/>
              </w:rPr>
              <w:t>）</w:t>
            </w:r>
          </w:p>
        </w:tc>
        <w:tc>
          <w:tcPr>
            <w:tcW w:w="1139" w:type="dxa"/>
            <w:tcBorders>
              <w:tl2br w:val="nil"/>
              <w:tr2bl w:val="nil"/>
            </w:tcBorders>
            <w:vAlign w:val="center"/>
          </w:tcPr>
          <w:p w14:paraId="0090C282">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b/>
                <w:bCs/>
                <w:color w:val="auto"/>
                <w:szCs w:val="21"/>
              </w:rPr>
              <w:t>燃烧热（</w:t>
            </w:r>
            <w:r>
              <w:rPr>
                <w:rFonts w:hint="default" w:ascii="Times New Roman" w:hAnsi="Times New Roman"/>
                <w:b/>
                <w:bCs/>
                <w:color w:val="auto"/>
                <w:szCs w:val="21"/>
              </w:rPr>
              <w:t>kJ</w:t>
            </w:r>
            <w:r>
              <w:rPr>
                <w:rFonts w:hint="default"/>
                <w:b/>
                <w:bCs/>
                <w:color w:val="auto"/>
                <w:szCs w:val="21"/>
              </w:rPr>
              <w:t>/</w:t>
            </w:r>
            <w:r>
              <w:rPr>
                <w:rFonts w:hint="default" w:ascii="Times New Roman" w:hAnsi="Times New Roman"/>
                <w:b/>
                <w:bCs/>
                <w:color w:val="auto"/>
                <w:szCs w:val="21"/>
              </w:rPr>
              <w:t>kg</w:t>
            </w:r>
            <w:r>
              <w:rPr>
                <w:rFonts w:hint="default"/>
                <w:b/>
                <w:bCs/>
                <w:color w:val="auto"/>
                <w:szCs w:val="21"/>
              </w:rPr>
              <w:t>）</w:t>
            </w:r>
          </w:p>
        </w:tc>
        <w:tc>
          <w:tcPr>
            <w:tcW w:w="1488" w:type="dxa"/>
            <w:tcBorders>
              <w:tl2br w:val="nil"/>
              <w:tr2bl w:val="nil"/>
            </w:tcBorders>
            <w:vAlign w:val="center"/>
          </w:tcPr>
          <w:p w14:paraId="40FC07EF">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b/>
                <w:bCs/>
                <w:color w:val="auto"/>
                <w:szCs w:val="21"/>
              </w:rPr>
              <w:t>完全燃烧产生的热量（</w:t>
            </w:r>
            <w:r>
              <w:rPr>
                <w:rFonts w:hint="default" w:ascii="Times New Roman" w:hAnsi="Times New Roman"/>
                <w:b/>
                <w:bCs/>
                <w:color w:val="auto"/>
                <w:szCs w:val="21"/>
              </w:rPr>
              <w:t>kJ</w:t>
            </w:r>
            <w:r>
              <w:rPr>
                <w:rFonts w:hint="default"/>
                <w:b/>
                <w:bCs/>
                <w:color w:val="auto"/>
                <w:szCs w:val="21"/>
              </w:rPr>
              <w:t>）</w:t>
            </w:r>
          </w:p>
        </w:tc>
        <w:tc>
          <w:tcPr>
            <w:tcW w:w="1099" w:type="dxa"/>
            <w:tcBorders>
              <w:tl2br w:val="nil"/>
              <w:tr2bl w:val="nil"/>
            </w:tcBorders>
            <w:vAlign w:val="center"/>
          </w:tcPr>
          <w:p w14:paraId="3FE91373">
            <w:pPr>
              <w:pStyle w:val="22"/>
              <w:keepNext w:val="0"/>
              <w:keepLines w:val="0"/>
              <w:widowControl/>
              <w:suppressLineNumbers w:val="0"/>
              <w:spacing w:before="0" w:beforeAutospacing="0" w:after="0" w:afterAutospacing="0"/>
              <w:ind w:left="0" w:right="0"/>
              <w:rPr>
                <w:rFonts w:hint="default"/>
                <w:b/>
                <w:bCs/>
                <w:color w:val="auto"/>
                <w:szCs w:val="21"/>
              </w:rPr>
            </w:pPr>
            <w:r>
              <w:rPr>
                <w:rFonts w:hint="default" w:ascii="Times New Roman" w:hAnsi="Times New Roman"/>
                <w:b/>
                <w:bCs/>
                <w:color w:val="auto"/>
                <w:szCs w:val="21"/>
              </w:rPr>
              <w:t>TNT</w:t>
            </w:r>
            <w:r>
              <w:rPr>
                <w:rFonts w:hint="default"/>
                <w:b/>
                <w:bCs/>
                <w:color w:val="auto"/>
                <w:szCs w:val="21"/>
              </w:rPr>
              <w:t>当量（</w:t>
            </w:r>
            <w:r>
              <w:rPr>
                <w:rFonts w:hint="default" w:ascii="Times New Roman" w:hAnsi="Times New Roman"/>
                <w:b/>
                <w:bCs/>
                <w:color w:val="auto"/>
                <w:szCs w:val="21"/>
              </w:rPr>
              <w:t>t</w:t>
            </w:r>
            <w:r>
              <w:rPr>
                <w:rFonts w:hint="default"/>
                <w:b/>
                <w:bCs/>
                <w:color w:val="auto"/>
                <w:szCs w:val="21"/>
              </w:rPr>
              <w:t>）</w:t>
            </w:r>
          </w:p>
        </w:tc>
        <w:tc>
          <w:tcPr>
            <w:tcW w:w="657" w:type="dxa"/>
            <w:tcBorders>
              <w:tl2br w:val="nil"/>
              <w:tr2bl w:val="nil"/>
            </w:tcBorders>
            <w:vAlign w:val="center"/>
          </w:tcPr>
          <w:p w14:paraId="014AE4A4">
            <w:pPr>
              <w:pStyle w:val="22"/>
              <w:keepNext w:val="0"/>
              <w:keepLines w:val="0"/>
              <w:widowControl/>
              <w:suppressLineNumbers w:val="0"/>
              <w:spacing w:before="0" w:beforeAutospacing="0" w:after="0" w:afterAutospacing="0" w:line="300" w:lineRule="exact"/>
              <w:ind w:left="0" w:right="0"/>
              <w:rPr>
                <w:rFonts w:hint="default"/>
                <w:b/>
                <w:bCs/>
                <w:color w:val="auto"/>
                <w:szCs w:val="21"/>
              </w:rPr>
            </w:pPr>
            <w:r>
              <w:rPr>
                <w:rFonts w:hint="default"/>
                <w:b/>
                <w:bCs/>
                <w:color w:val="auto"/>
                <w:szCs w:val="21"/>
              </w:rPr>
              <w:t>状态</w:t>
            </w:r>
          </w:p>
        </w:tc>
        <w:tc>
          <w:tcPr>
            <w:tcW w:w="663" w:type="dxa"/>
            <w:tcBorders>
              <w:tl2br w:val="nil"/>
              <w:tr2bl w:val="nil"/>
            </w:tcBorders>
            <w:vAlign w:val="center"/>
          </w:tcPr>
          <w:p w14:paraId="73792C7A">
            <w:pPr>
              <w:pStyle w:val="22"/>
              <w:keepNext w:val="0"/>
              <w:keepLines w:val="0"/>
              <w:widowControl/>
              <w:suppressLineNumbers w:val="0"/>
              <w:spacing w:before="0" w:beforeAutospacing="0" w:after="0" w:afterAutospacing="0" w:line="300" w:lineRule="exact"/>
              <w:ind w:left="0" w:right="0"/>
              <w:rPr>
                <w:rFonts w:hint="default"/>
                <w:b/>
                <w:bCs/>
                <w:color w:val="auto"/>
                <w:szCs w:val="21"/>
              </w:rPr>
            </w:pPr>
            <w:r>
              <w:rPr>
                <w:rFonts w:hint="default"/>
                <w:b/>
                <w:bCs/>
                <w:color w:val="auto"/>
                <w:szCs w:val="21"/>
              </w:rPr>
              <w:t>温度</w:t>
            </w:r>
          </w:p>
        </w:tc>
        <w:tc>
          <w:tcPr>
            <w:tcW w:w="755" w:type="dxa"/>
            <w:tcBorders>
              <w:tl2br w:val="nil"/>
              <w:tr2bl w:val="nil"/>
            </w:tcBorders>
            <w:vAlign w:val="center"/>
          </w:tcPr>
          <w:p w14:paraId="5841EAC1">
            <w:pPr>
              <w:pStyle w:val="22"/>
              <w:keepNext w:val="0"/>
              <w:keepLines w:val="0"/>
              <w:widowControl/>
              <w:suppressLineNumbers w:val="0"/>
              <w:spacing w:before="0" w:beforeAutospacing="0" w:after="0" w:afterAutospacing="0" w:line="300" w:lineRule="exact"/>
              <w:ind w:left="0" w:right="0"/>
              <w:rPr>
                <w:rFonts w:hint="default"/>
                <w:b/>
                <w:bCs/>
                <w:color w:val="auto"/>
                <w:szCs w:val="21"/>
              </w:rPr>
            </w:pPr>
            <w:r>
              <w:rPr>
                <w:rFonts w:hint="default"/>
                <w:b/>
                <w:bCs/>
                <w:color w:val="auto"/>
                <w:szCs w:val="21"/>
              </w:rPr>
              <w:t>压力</w:t>
            </w:r>
          </w:p>
        </w:tc>
        <w:tc>
          <w:tcPr>
            <w:tcW w:w="952" w:type="dxa"/>
            <w:tcBorders>
              <w:tl2br w:val="nil"/>
              <w:tr2bl w:val="nil"/>
            </w:tcBorders>
            <w:vAlign w:val="center"/>
          </w:tcPr>
          <w:p w14:paraId="7B1F8E91">
            <w:pPr>
              <w:pStyle w:val="22"/>
              <w:keepNext w:val="0"/>
              <w:keepLines w:val="0"/>
              <w:widowControl/>
              <w:suppressLineNumbers w:val="0"/>
              <w:spacing w:before="0" w:beforeAutospacing="0" w:after="0" w:afterAutospacing="0" w:line="300" w:lineRule="exact"/>
              <w:ind w:left="0" w:right="0"/>
              <w:rPr>
                <w:rFonts w:hint="default"/>
                <w:b/>
                <w:bCs/>
                <w:color w:val="auto"/>
                <w:szCs w:val="21"/>
              </w:rPr>
            </w:pPr>
            <w:r>
              <w:rPr>
                <w:rFonts w:hint="default"/>
                <w:b/>
                <w:bCs/>
                <w:color w:val="auto"/>
                <w:szCs w:val="21"/>
              </w:rPr>
              <w:t>主要危险性</w:t>
            </w:r>
          </w:p>
        </w:tc>
      </w:tr>
      <w:tr w14:paraId="051BB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74" w:type="dxa"/>
            <w:tcBorders>
              <w:tl2br w:val="nil"/>
              <w:tr2bl w:val="nil"/>
            </w:tcBorders>
            <w:vAlign w:val="center"/>
          </w:tcPr>
          <w:p w14:paraId="402A45A4">
            <w:pPr>
              <w:pStyle w:val="22"/>
              <w:keepNext w:val="0"/>
              <w:keepLines w:val="0"/>
              <w:widowControl/>
              <w:suppressLineNumbers w:val="0"/>
              <w:spacing w:before="0" w:beforeAutospacing="0" w:after="0" w:afterAutospacing="0"/>
              <w:ind w:left="0" w:leftChars="0" w:right="0" w:rightChars="0" w:firstLine="0" w:firstLineChars="0"/>
              <w:rPr>
                <w:rFonts w:hint="default"/>
                <w:color w:val="auto"/>
                <w:szCs w:val="21"/>
              </w:rPr>
            </w:pPr>
            <w:r>
              <w:rPr>
                <w:rFonts w:hint="default"/>
                <w:color w:val="auto"/>
                <w:szCs w:val="21"/>
              </w:rPr>
              <w:t>汽油</w:t>
            </w:r>
          </w:p>
        </w:tc>
        <w:tc>
          <w:tcPr>
            <w:tcW w:w="1134" w:type="dxa"/>
            <w:tcBorders>
              <w:tl2br w:val="nil"/>
              <w:tr2bl w:val="nil"/>
            </w:tcBorders>
            <w:vAlign w:val="center"/>
          </w:tcPr>
          <w:p w14:paraId="731F5A42">
            <w:pPr>
              <w:pStyle w:val="22"/>
              <w:keepNext w:val="0"/>
              <w:keepLines w:val="0"/>
              <w:widowControl/>
              <w:suppressLineNumbers w:val="0"/>
              <w:spacing w:before="0" w:beforeAutospacing="0" w:after="0" w:afterAutospacing="0"/>
              <w:ind w:left="0" w:leftChars="0" w:right="0" w:rightChars="0" w:firstLine="0" w:firstLineChars="0"/>
              <w:rPr>
                <w:rFonts w:hint="default"/>
                <w:color w:val="auto"/>
                <w:szCs w:val="21"/>
              </w:rPr>
            </w:pPr>
            <w:r>
              <w:rPr>
                <w:rFonts w:hint="default"/>
                <w:color w:val="auto"/>
                <w:szCs w:val="21"/>
              </w:rPr>
              <w:t>埋地油罐</w:t>
            </w:r>
          </w:p>
        </w:tc>
        <w:tc>
          <w:tcPr>
            <w:tcW w:w="830" w:type="dxa"/>
            <w:tcBorders>
              <w:tl2br w:val="nil"/>
              <w:tr2bl w:val="nil"/>
            </w:tcBorders>
            <w:vAlign w:val="center"/>
          </w:tcPr>
          <w:p w14:paraId="2479E263">
            <w:pPr>
              <w:pStyle w:val="22"/>
              <w:keepNext w:val="0"/>
              <w:keepLines w:val="0"/>
              <w:widowControl/>
              <w:suppressLineNumbers w:val="0"/>
              <w:spacing w:before="0" w:beforeAutospacing="0" w:after="0" w:afterAutospacing="0"/>
              <w:ind w:left="0" w:leftChars="0" w:right="0" w:rightChars="0" w:firstLine="0" w:firstLineChars="0"/>
              <w:rPr>
                <w:rFonts w:hint="default" w:eastAsia="宋体"/>
                <w:color w:val="auto"/>
                <w:szCs w:val="21"/>
                <w:lang w:val="en-US" w:eastAsia="zh-CN"/>
              </w:rPr>
            </w:pPr>
            <w:r>
              <w:rPr>
                <w:rFonts w:hint="eastAsia" w:ascii="Times New Roman" w:hAnsi="Times New Roman"/>
                <w:color w:val="auto"/>
                <w:szCs w:val="21"/>
                <w:lang w:val="en-US" w:eastAsia="zh-CN"/>
              </w:rPr>
              <w:t>64</w:t>
            </w:r>
            <w:r>
              <w:rPr>
                <w:rFonts w:hint="eastAsia"/>
                <w:color w:val="auto"/>
                <w:szCs w:val="21"/>
                <w:lang w:val="en-US" w:eastAsia="zh-CN"/>
              </w:rPr>
              <w:t>.</w:t>
            </w:r>
            <w:r>
              <w:rPr>
                <w:rFonts w:hint="eastAsia" w:ascii="Times New Roman" w:hAnsi="Times New Roman"/>
                <w:color w:val="auto"/>
                <w:szCs w:val="21"/>
                <w:lang w:val="en-US" w:eastAsia="zh-CN"/>
              </w:rPr>
              <w:t>125</w:t>
            </w:r>
          </w:p>
        </w:tc>
        <w:tc>
          <w:tcPr>
            <w:tcW w:w="1139" w:type="dxa"/>
            <w:tcBorders>
              <w:tl2br w:val="nil"/>
              <w:tr2bl w:val="nil"/>
            </w:tcBorders>
            <w:vAlign w:val="center"/>
          </w:tcPr>
          <w:p w14:paraId="0FC8B7EE">
            <w:pPr>
              <w:pStyle w:val="22"/>
              <w:keepNext w:val="0"/>
              <w:keepLines w:val="0"/>
              <w:widowControl/>
              <w:suppressLineNumbers w:val="0"/>
              <w:spacing w:before="0" w:beforeAutospacing="0" w:after="0" w:afterAutospacing="0"/>
              <w:ind w:left="0" w:leftChars="0" w:right="0" w:rightChars="0" w:firstLine="0" w:firstLineChars="0"/>
              <w:rPr>
                <w:rFonts w:hint="default"/>
                <w:color w:val="auto"/>
                <w:szCs w:val="21"/>
              </w:rPr>
            </w:pPr>
            <w:r>
              <w:rPr>
                <w:rFonts w:hint="default" w:ascii="Times New Roman" w:hAnsi="Times New Roman"/>
                <w:color w:val="auto"/>
                <w:szCs w:val="21"/>
              </w:rPr>
              <w:t>4</w:t>
            </w:r>
            <w:r>
              <w:rPr>
                <w:rFonts w:hint="default"/>
                <w:color w:val="auto"/>
                <w:szCs w:val="21"/>
              </w:rPr>
              <w:t>.</w:t>
            </w:r>
            <w:r>
              <w:rPr>
                <w:rFonts w:hint="default" w:ascii="Times New Roman" w:hAnsi="Times New Roman"/>
                <w:color w:val="auto"/>
                <w:szCs w:val="21"/>
              </w:rPr>
              <w:t>6</w:t>
            </w:r>
            <w:r>
              <w:rPr>
                <w:rFonts w:hint="default"/>
                <w:color w:val="auto"/>
                <w:szCs w:val="21"/>
              </w:rPr>
              <w:t>×</w:t>
            </w:r>
            <w:r>
              <w:rPr>
                <w:rFonts w:hint="default" w:ascii="Times New Roman" w:hAnsi="Times New Roman"/>
                <w:color w:val="auto"/>
                <w:szCs w:val="21"/>
              </w:rPr>
              <w:t>10</w:t>
            </w:r>
            <w:r>
              <w:rPr>
                <w:rFonts w:hint="default" w:ascii="Times New Roman" w:hAnsi="Times New Roman"/>
                <w:color w:val="auto"/>
                <w:szCs w:val="21"/>
                <w:vertAlign w:val="superscript"/>
              </w:rPr>
              <w:t>4</w:t>
            </w:r>
          </w:p>
        </w:tc>
        <w:tc>
          <w:tcPr>
            <w:tcW w:w="1488" w:type="dxa"/>
            <w:tcBorders>
              <w:tl2br w:val="nil"/>
              <w:tr2bl w:val="nil"/>
            </w:tcBorders>
            <w:vAlign w:val="center"/>
          </w:tcPr>
          <w:p w14:paraId="7F50F399">
            <w:pPr>
              <w:pStyle w:val="22"/>
              <w:keepNext w:val="0"/>
              <w:keepLines w:val="0"/>
              <w:widowControl/>
              <w:suppressLineNumbers w:val="0"/>
              <w:spacing w:before="0" w:beforeAutospacing="0" w:after="0" w:afterAutospacing="0"/>
              <w:ind w:left="0" w:leftChars="0" w:right="0" w:rightChars="0" w:firstLine="0" w:firstLineChars="0"/>
              <w:rPr>
                <w:rFonts w:hint="default"/>
                <w:color w:val="auto"/>
                <w:szCs w:val="21"/>
              </w:rPr>
            </w:pPr>
            <w:r>
              <w:rPr>
                <w:rFonts w:hint="eastAsia" w:ascii="Times New Roman" w:hAnsi="Times New Roman"/>
                <w:color w:val="auto"/>
                <w:szCs w:val="21"/>
                <w:lang w:val="en-US" w:eastAsia="zh-CN"/>
              </w:rPr>
              <w:t>2</w:t>
            </w:r>
            <w:r>
              <w:rPr>
                <w:rFonts w:hint="eastAsia"/>
                <w:color w:val="auto"/>
                <w:szCs w:val="21"/>
                <w:lang w:val="en-US" w:eastAsia="zh-CN"/>
              </w:rPr>
              <w:t>.</w:t>
            </w:r>
            <w:r>
              <w:rPr>
                <w:rFonts w:hint="eastAsia" w:ascii="Times New Roman" w:hAnsi="Times New Roman"/>
                <w:color w:val="auto"/>
                <w:szCs w:val="21"/>
                <w:lang w:val="en-US" w:eastAsia="zh-CN"/>
              </w:rPr>
              <w:t>95</w:t>
            </w:r>
            <w:r>
              <w:rPr>
                <w:rFonts w:hint="eastAsia"/>
                <w:color w:val="auto"/>
                <w:szCs w:val="21"/>
              </w:rPr>
              <w:t>×</w:t>
            </w:r>
            <w:r>
              <w:rPr>
                <w:rFonts w:hint="eastAsia" w:ascii="Times New Roman" w:hAnsi="Times New Roman"/>
                <w:color w:val="auto"/>
                <w:szCs w:val="21"/>
              </w:rPr>
              <w:t>10</w:t>
            </w:r>
            <w:r>
              <w:rPr>
                <w:rFonts w:hint="default" w:ascii="Times New Roman" w:hAnsi="Times New Roman"/>
                <w:color w:val="auto"/>
                <w:szCs w:val="21"/>
                <w:vertAlign w:val="superscript"/>
              </w:rPr>
              <w:t>9</w:t>
            </w:r>
          </w:p>
        </w:tc>
        <w:tc>
          <w:tcPr>
            <w:tcW w:w="1099" w:type="dxa"/>
            <w:tcBorders>
              <w:tl2br w:val="nil"/>
              <w:tr2bl w:val="nil"/>
            </w:tcBorders>
            <w:vAlign w:val="center"/>
          </w:tcPr>
          <w:p w14:paraId="42CE7C4E">
            <w:pPr>
              <w:pStyle w:val="22"/>
              <w:keepNext w:val="0"/>
              <w:keepLines w:val="0"/>
              <w:widowControl/>
              <w:suppressLineNumbers w:val="0"/>
              <w:spacing w:before="0" w:beforeAutospacing="0" w:after="0" w:afterAutospacing="0"/>
              <w:ind w:left="0" w:leftChars="0" w:right="0" w:rightChars="0" w:firstLine="0" w:firstLineChars="0"/>
              <w:rPr>
                <w:rFonts w:hint="default" w:eastAsia="宋体"/>
                <w:color w:val="auto"/>
                <w:szCs w:val="21"/>
                <w:lang w:val="en-US" w:eastAsia="zh-CN"/>
              </w:rPr>
            </w:pPr>
            <w:r>
              <w:rPr>
                <w:rFonts w:hint="default" w:ascii="Times New Roman" w:hAnsi="Times New Roman" w:eastAsia="宋体"/>
                <w:color w:val="auto"/>
                <w:szCs w:val="21"/>
                <w:lang w:val="en-US" w:eastAsia="zh-CN"/>
              </w:rPr>
              <w:t>47.196</w:t>
            </w:r>
          </w:p>
        </w:tc>
        <w:tc>
          <w:tcPr>
            <w:tcW w:w="657" w:type="dxa"/>
            <w:tcBorders>
              <w:tl2br w:val="nil"/>
              <w:tr2bl w:val="nil"/>
            </w:tcBorders>
            <w:vAlign w:val="center"/>
          </w:tcPr>
          <w:p w14:paraId="7C8A5AF4">
            <w:pPr>
              <w:pStyle w:val="22"/>
              <w:keepNext w:val="0"/>
              <w:keepLines w:val="0"/>
              <w:widowControl/>
              <w:suppressLineNumbers w:val="0"/>
              <w:spacing w:before="0" w:beforeAutospacing="0" w:after="0" w:afterAutospacing="0" w:line="300" w:lineRule="exact"/>
              <w:ind w:left="0" w:leftChars="0" w:right="0" w:rightChars="0" w:firstLine="0" w:firstLineChars="0"/>
              <w:rPr>
                <w:rFonts w:hint="default"/>
                <w:color w:val="auto"/>
                <w:szCs w:val="21"/>
              </w:rPr>
            </w:pPr>
            <w:r>
              <w:rPr>
                <w:rFonts w:hint="eastAsia"/>
                <w:color w:val="auto"/>
                <w:szCs w:val="21"/>
              </w:rPr>
              <w:t>液态</w:t>
            </w:r>
          </w:p>
        </w:tc>
        <w:tc>
          <w:tcPr>
            <w:tcW w:w="663" w:type="dxa"/>
            <w:tcBorders>
              <w:tl2br w:val="nil"/>
              <w:tr2bl w:val="nil"/>
            </w:tcBorders>
            <w:vAlign w:val="center"/>
          </w:tcPr>
          <w:p w14:paraId="62269C20">
            <w:pPr>
              <w:pStyle w:val="22"/>
              <w:keepNext w:val="0"/>
              <w:keepLines w:val="0"/>
              <w:widowControl/>
              <w:suppressLineNumbers w:val="0"/>
              <w:spacing w:before="0" w:beforeAutospacing="0" w:after="0" w:afterAutospacing="0" w:line="300" w:lineRule="exact"/>
              <w:ind w:left="0" w:leftChars="0" w:right="0" w:rightChars="0" w:firstLine="0" w:firstLineChars="0"/>
              <w:rPr>
                <w:rFonts w:hint="default"/>
                <w:color w:val="auto"/>
                <w:szCs w:val="21"/>
              </w:rPr>
            </w:pPr>
            <w:r>
              <w:rPr>
                <w:rFonts w:hint="eastAsia"/>
                <w:color w:val="auto"/>
                <w:szCs w:val="21"/>
              </w:rPr>
              <w:t>常温</w:t>
            </w:r>
          </w:p>
        </w:tc>
        <w:tc>
          <w:tcPr>
            <w:tcW w:w="755" w:type="dxa"/>
            <w:tcBorders>
              <w:tl2br w:val="nil"/>
              <w:tr2bl w:val="nil"/>
            </w:tcBorders>
            <w:vAlign w:val="center"/>
          </w:tcPr>
          <w:p w14:paraId="620BD9F7">
            <w:pPr>
              <w:pStyle w:val="22"/>
              <w:keepNext w:val="0"/>
              <w:keepLines w:val="0"/>
              <w:widowControl/>
              <w:suppressLineNumbers w:val="0"/>
              <w:spacing w:before="0" w:beforeAutospacing="0" w:after="0" w:afterAutospacing="0" w:line="300" w:lineRule="exact"/>
              <w:ind w:left="0" w:leftChars="0" w:right="0" w:rightChars="0" w:firstLine="0" w:firstLineChars="0"/>
              <w:rPr>
                <w:rFonts w:hint="default"/>
                <w:color w:val="auto"/>
                <w:szCs w:val="21"/>
              </w:rPr>
            </w:pPr>
            <w:r>
              <w:rPr>
                <w:rFonts w:hint="eastAsia"/>
                <w:color w:val="auto"/>
                <w:szCs w:val="21"/>
              </w:rPr>
              <w:t>常压</w:t>
            </w:r>
          </w:p>
        </w:tc>
        <w:tc>
          <w:tcPr>
            <w:tcW w:w="952" w:type="dxa"/>
            <w:tcBorders>
              <w:tl2br w:val="nil"/>
              <w:tr2bl w:val="nil"/>
            </w:tcBorders>
            <w:vAlign w:val="center"/>
          </w:tcPr>
          <w:p w14:paraId="7AFBBB5F">
            <w:pPr>
              <w:pStyle w:val="22"/>
              <w:keepNext w:val="0"/>
              <w:keepLines w:val="0"/>
              <w:widowControl/>
              <w:suppressLineNumbers w:val="0"/>
              <w:spacing w:before="0" w:beforeAutospacing="0" w:after="0" w:afterAutospacing="0" w:line="300" w:lineRule="exact"/>
              <w:ind w:left="0" w:leftChars="0" w:right="0" w:rightChars="0" w:firstLine="0" w:firstLineChars="0"/>
              <w:rPr>
                <w:rFonts w:hint="default"/>
                <w:color w:val="auto"/>
                <w:szCs w:val="21"/>
              </w:rPr>
            </w:pPr>
            <w:r>
              <w:rPr>
                <w:rFonts w:hint="eastAsia"/>
                <w:color w:val="auto"/>
                <w:szCs w:val="21"/>
              </w:rPr>
              <w:t>火灾、爆炸、中毒</w:t>
            </w:r>
          </w:p>
        </w:tc>
      </w:tr>
      <w:tr w14:paraId="2223AE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9391" w:type="dxa"/>
            <w:gridSpan w:val="10"/>
            <w:tcBorders>
              <w:tl2br w:val="nil"/>
              <w:tr2bl w:val="nil"/>
            </w:tcBorders>
            <w:vAlign w:val="center"/>
          </w:tcPr>
          <w:p w14:paraId="14993DB8">
            <w:pPr>
              <w:keepNext w:val="0"/>
              <w:keepLines w:val="0"/>
              <w:widowControl/>
              <w:suppressLineNumbers w:val="0"/>
              <w:spacing w:before="0" w:beforeAutospacing="0" w:after="0" w:afterAutospacing="0" w:line="240" w:lineRule="auto"/>
              <w:ind w:left="0" w:right="0" w:firstLine="0" w:firstLineChars="0"/>
              <w:rPr>
                <w:rFonts w:hint="default"/>
                <w:color w:val="auto"/>
                <w:sz w:val="21"/>
                <w:szCs w:val="21"/>
              </w:rPr>
            </w:pPr>
            <w:r>
              <w:rPr>
                <w:rFonts w:hint="default"/>
                <w:b/>
                <w:bCs/>
                <w:color w:val="auto"/>
                <w:sz w:val="21"/>
                <w:szCs w:val="21"/>
              </w:rPr>
              <w:t>备注：</w:t>
            </w:r>
            <w:r>
              <w:rPr>
                <w:rFonts w:hint="eastAsia"/>
                <w:b/>
                <w:bCs/>
                <w:color w:val="auto"/>
                <w:sz w:val="21"/>
                <w:szCs w:val="21"/>
              </w:rPr>
              <w:t>数量为日常最大储存量，按照充装系数</w:t>
            </w:r>
            <w:r>
              <w:rPr>
                <w:rFonts w:hint="eastAsia" w:ascii="Times New Roman" w:hAnsi="Times New Roman"/>
                <w:b/>
                <w:bCs/>
                <w:color w:val="auto"/>
                <w:sz w:val="21"/>
                <w:szCs w:val="21"/>
              </w:rPr>
              <w:t>0</w:t>
            </w:r>
            <w:r>
              <w:rPr>
                <w:rFonts w:hint="eastAsia"/>
                <w:b/>
                <w:bCs/>
                <w:color w:val="auto"/>
                <w:sz w:val="21"/>
                <w:szCs w:val="21"/>
                <w:lang w:val="en-US" w:eastAsia="zh-CN"/>
              </w:rPr>
              <w:t>.</w:t>
            </w:r>
            <w:r>
              <w:rPr>
                <w:rFonts w:hint="eastAsia" w:ascii="Times New Roman" w:hAnsi="Times New Roman"/>
                <w:b/>
                <w:bCs/>
                <w:color w:val="auto"/>
                <w:sz w:val="21"/>
                <w:szCs w:val="21"/>
              </w:rPr>
              <w:t>9</w:t>
            </w:r>
            <w:r>
              <w:rPr>
                <w:rFonts w:hint="eastAsia" w:ascii="Times New Roman" w:hAnsi="Times New Roman"/>
                <w:b/>
                <w:bCs/>
                <w:color w:val="auto"/>
                <w:sz w:val="21"/>
                <w:szCs w:val="21"/>
                <w:lang w:val="en-US" w:eastAsia="zh-CN"/>
              </w:rPr>
              <w:t>5</w:t>
            </w:r>
            <w:r>
              <w:rPr>
                <w:rFonts w:hint="eastAsia"/>
                <w:b/>
                <w:bCs/>
                <w:color w:val="auto"/>
                <w:sz w:val="21"/>
                <w:szCs w:val="21"/>
              </w:rPr>
              <w:t>计算得出</w:t>
            </w:r>
            <w:r>
              <w:rPr>
                <w:rFonts w:hint="default"/>
                <w:b/>
                <w:bCs/>
                <w:color w:val="auto"/>
                <w:sz w:val="21"/>
                <w:szCs w:val="21"/>
              </w:rPr>
              <w:t>。</w:t>
            </w:r>
          </w:p>
        </w:tc>
      </w:tr>
    </w:tbl>
    <w:p w14:paraId="4DD512CA">
      <w:pPr>
        <w:pStyle w:val="21"/>
        <w:rPr>
          <w:color w:val="auto"/>
        </w:rPr>
      </w:pPr>
    </w:p>
    <w:p w14:paraId="7A685089">
      <w:pPr>
        <w:pStyle w:val="4"/>
        <w:spacing w:line="360" w:lineRule="auto"/>
        <w:jc w:val="both"/>
        <w:rPr>
          <w:rFonts w:hint="default" w:ascii="Times New Roman" w:hAnsi="Times New Roman" w:cs="Times New Roman"/>
          <w:color w:val="auto"/>
        </w:rPr>
      </w:pPr>
      <w:bookmarkStart w:id="746" w:name="_Toc239"/>
      <w:bookmarkStart w:id="747" w:name="_Toc29696"/>
      <w:bookmarkStart w:id="748" w:name="_Toc20433"/>
      <w:r>
        <w:rPr>
          <w:rFonts w:hint="default" w:ascii="Times New Roman" w:hAnsi="Times New Roman" w:cs="Times New Roman"/>
          <w:color w:val="auto"/>
        </w:rPr>
        <w:t>F</w:t>
      </w:r>
      <w:r>
        <w:rPr>
          <w:rFonts w:hint="default" w:ascii="Times New Roman" w:hAnsi="Times New Roman" w:cs="Times New Roman"/>
          <w:color w:val="auto"/>
          <w:lang w:val="en-US" w:eastAsia="zh-CN"/>
        </w:rPr>
        <w:t>4</w:t>
      </w:r>
      <w:r>
        <w:rPr>
          <w:rFonts w:hint="default" w:ascii="Times New Roman" w:hAnsi="Times New Roman" w:cs="Times New Roman"/>
          <w:color w:val="auto"/>
        </w:rPr>
        <w:t>.</w:t>
      </w:r>
      <w:bookmarkEnd w:id="695"/>
      <w:bookmarkEnd w:id="696"/>
      <w:bookmarkEnd w:id="697"/>
      <w:bookmarkEnd w:id="698"/>
      <w:bookmarkEnd w:id="699"/>
      <w:r>
        <w:rPr>
          <w:rFonts w:hint="default" w:ascii="Times New Roman" w:hAnsi="Times New Roman" w:cs="Times New Roman"/>
          <w:color w:val="auto"/>
          <w:lang w:val="en-US" w:eastAsia="zh-CN"/>
        </w:rPr>
        <w:t>2</w:t>
      </w:r>
      <w:r>
        <w:rPr>
          <w:rFonts w:hint="default" w:ascii="Times New Roman" w:hAnsi="Times New Roman" w:cs="Times New Roman"/>
          <w:color w:val="auto"/>
        </w:rPr>
        <w:t>安全条件和安全生产条件的分析过程</w:t>
      </w:r>
      <w:bookmarkEnd w:id="746"/>
      <w:bookmarkEnd w:id="747"/>
      <w:bookmarkEnd w:id="748"/>
    </w:p>
    <w:p w14:paraId="110AA4D1">
      <w:pPr>
        <w:pStyle w:val="5"/>
        <w:spacing w:line="360" w:lineRule="auto"/>
        <w:ind w:left="0" w:leftChars="0" w:firstLine="0" w:firstLineChars="0"/>
        <w:rPr>
          <w:rFonts w:hint="default" w:ascii="Times New Roman" w:hAnsi="Times New Roman" w:cs="Times New Roman"/>
          <w:color w:val="auto"/>
        </w:rPr>
      </w:pPr>
      <w:bookmarkStart w:id="749" w:name="_Toc18926"/>
      <w:bookmarkStart w:id="750" w:name="_Toc207511353"/>
      <w:r>
        <w:rPr>
          <w:rFonts w:hint="default" w:ascii="Times New Roman" w:hAnsi="Times New Roman" w:cs="Times New Roman"/>
          <w:color w:val="auto"/>
        </w:rPr>
        <w:t>F</w:t>
      </w:r>
      <w:r>
        <w:rPr>
          <w:rFonts w:hint="default" w:ascii="Times New Roman" w:hAnsi="Times New Roman" w:cs="Times New Roman"/>
          <w:color w:val="auto"/>
          <w:lang w:val="en-US" w:eastAsia="zh-CN"/>
        </w:rPr>
        <w:t>4</w:t>
      </w:r>
      <w:r>
        <w:rPr>
          <w:rFonts w:hint="default" w:ascii="Times New Roman" w:hAnsi="Times New Roman" w:cs="Times New Roman"/>
          <w:color w:val="auto"/>
        </w:rPr>
        <w:t>.</w:t>
      </w:r>
      <w:r>
        <w:rPr>
          <w:rFonts w:hint="default" w:ascii="Times New Roman" w:hAnsi="Times New Roman" w:cs="Times New Roman"/>
          <w:color w:val="auto"/>
          <w:lang w:val="en-US" w:eastAsia="zh-CN"/>
        </w:rPr>
        <w:t>2</w:t>
      </w:r>
      <w:r>
        <w:rPr>
          <w:rFonts w:hint="default" w:ascii="Times New Roman" w:hAnsi="Times New Roman" w:cs="Times New Roman"/>
          <w:color w:val="auto"/>
        </w:rPr>
        <w:t>.1建设项目的安全条件</w:t>
      </w:r>
      <w:bookmarkEnd w:id="749"/>
    </w:p>
    <w:p w14:paraId="1FD780AA">
      <w:pPr>
        <w:keepNext w:val="0"/>
        <w:keepLines w:val="0"/>
        <w:pageBreakBefore w:val="0"/>
        <w:widowControl/>
        <w:kinsoku/>
        <w:wordWrap/>
        <w:overflowPunct/>
        <w:topLinePunct w:val="0"/>
        <w:autoSpaceDE/>
        <w:autoSpaceDN/>
        <w:bidi w:val="0"/>
        <w:adjustRightInd/>
        <w:spacing w:line="358" w:lineRule="auto"/>
        <w:ind w:firstLine="562"/>
        <w:textAlignment w:val="auto"/>
        <w:rPr>
          <w:b/>
          <w:bCs/>
          <w:color w:val="auto"/>
        </w:rPr>
      </w:pPr>
      <w:r>
        <w:rPr>
          <w:rFonts w:hint="eastAsia"/>
          <w:b/>
          <w:bCs/>
          <w:color w:val="auto"/>
        </w:rPr>
        <w:t>（</w:t>
      </w:r>
      <w:r>
        <w:rPr>
          <w:rFonts w:hint="eastAsia" w:ascii="Times New Roman" w:hAnsi="Times New Roman"/>
          <w:b/>
          <w:bCs/>
          <w:color w:val="auto"/>
        </w:rPr>
        <w:t>1</w:t>
      </w:r>
      <w:r>
        <w:rPr>
          <w:rFonts w:hint="eastAsia"/>
          <w:b/>
          <w:bCs/>
          <w:color w:val="auto"/>
        </w:rPr>
        <w:t>）</w:t>
      </w:r>
      <w:r>
        <w:rPr>
          <w:b/>
          <w:bCs/>
          <w:color w:val="auto"/>
        </w:rPr>
        <w:t>建设项目对周边单位生产、经营活动或者居民生活的影响</w:t>
      </w:r>
    </w:p>
    <w:p w14:paraId="23691B28">
      <w:pPr>
        <w:keepNext w:val="0"/>
        <w:keepLines w:val="0"/>
        <w:pageBreakBefore w:val="0"/>
        <w:widowControl/>
        <w:kinsoku/>
        <w:wordWrap/>
        <w:overflowPunct/>
        <w:topLinePunct w:val="0"/>
        <w:autoSpaceDE/>
        <w:autoSpaceDN/>
        <w:bidi w:val="0"/>
        <w:adjustRightInd/>
        <w:spacing w:line="360" w:lineRule="auto"/>
        <w:ind w:firstLine="560"/>
        <w:textAlignment w:val="auto"/>
        <w:rPr>
          <w:color w:val="auto"/>
        </w:rPr>
      </w:pPr>
      <w:r>
        <w:rPr>
          <w:rFonts w:hint="eastAsia"/>
          <w:color w:val="auto"/>
        </w:rPr>
        <w:t>该加油站</w:t>
      </w:r>
      <w:r>
        <w:rPr>
          <w:color w:val="auto"/>
        </w:rPr>
        <w:t>主要危险有害因素为火灾、爆炸。</w:t>
      </w:r>
    </w:p>
    <w:p w14:paraId="124E44C8">
      <w:pPr>
        <w:keepNext w:val="0"/>
        <w:keepLines w:val="0"/>
        <w:pageBreakBefore w:val="0"/>
        <w:widowControl/>
        <w:kinsoku/>
        <w:wordWrap/>
        <w:overflowPunct/>
        <w:topLinePunct w:val="0"/>
        <w:autoSpaceDE/>
        <w:autoSpaceDN/>
        <w:bidi w:val="0"/>
        <w:adjustRightInd/>
        <w:spacing w:line="360" w:lineRule="auto"/>
        <w:ind w:firstLine="560"/>
        <w:textAlignment w:val="auto"/>
        <w:rPr>
          <w:rFonts w:hint="eastAsia"/>
          <w:b/>
          <w:bCs/>
          <w:color w:val="auto"/>
        </w:rPr>
      </w:pPr>
      <w:r>
        <w:rPr>
          <w:rFonts w:hint="eastAsia"/>
          <w:color w:val="auto"/>
        </w:rPr>
        <w:t>该站位于</w:t>
      </w:r>
      <w:r>
        <w:rPr>
          <w:rFonts w:hint="eastAsia"/>
          <w:color w:val="auto"/>
          <w:lang w:val="en-US" w:eastAsia="zh-CN"/>
        </w:rPr>
        <w:t>江西省铜鼓县城南路</w:t>
      </w:r>
      <w:r>
        <w:rPr>
          <w:rFonts w:hint="eastAsia"/>
          <w:color w:val="auto"/>
        </w:rPr>
        <w:t>，</w:t>
      </w:r>
      <w:r>
        <w:rPr>
          <w:rFonts w:hint="eastAsia"/>
          <w:color w:val="auto"/>
          <w:shd w:val="clear"/>
          <w:lang w:val="en-US" w:eastAsia="zh-CN"/>
        </w:rPr>
        <w:t>加油站东面为饭店，东南面为民房，南面为闲置办公楼，西南面为住宅楼，西面为住宅楼，北面为城南东路，安全间距均符合要求。</w:t>
      </w:r>
    </w:p>
    <w:p w14:paraId="5E7B26DF">
      <w:pPr>
        <w:keepNext w:val="0"/>
        <w:keepLines w:val="0"/>
        <w:pageBreakBefore w:val="0"/>
        <w:widowControl/>
        <w:kinsoku/>
        <w:wordWrap/>
        <w:overflowPunct/>
        <w:topLinePunct w:val="0"/>
        <w:autoSpaceDE/>
        <w:autoSpaceDN/>
        <w:bidi w:val="0"/>
        <w:adjustRightInd/>
        <w:spacing w:line="358" w:lineRule="auto"/>
        <w:ind w:firstLine="562"/>
        <w:textAlignment w:val="auto"/>
        <w:rPr>
          <w:b/>
          <w:bCs/>
          <w:color w:val="auto"/>
        </w:rPr>
      </w:pPr>
      <w:r>
        <w:rPr>
          <w:rFonts w:hint="eastAsia"/>
          <w:b/>
          <w:bCs/>
          <w:color w:val="auto"/>
        </w:rPr>
        <w:t>（</w:t>
      </w:r>
      <w:r>
        <w:rPr>
          <w:rFonts w:hint="eastAsia" w:ascii="Times New Roman" w:hAnsi="Times New Roman"/>
          <w:b/>
          <w:bCs/>
          <w:color w:val="auto"/>
        </w:rPr>
        <w:t>2</w:t>
      </w:r>
      <w:r>
        <w:rPr>
          <w:rFonts w:hint="eastAsia"/>
          <w:b/>
          <w:bCs/>
          <w:color w:val="auto"/>
        </w:rPr>
        <w:t>）</w:t>
      </w:r>
      <w:r>
        <w:rPr>
          <w:b/>
          <w:bCs/>
          <w:color w:val="auto"/>
        </w:rPr>
        <w:t>建设项目周边单位生产、经营活动对建设项目投入使用后的影响</w:t>
      </w:r>
    </w:p>
    <w:p w14:paraId="207DDBF2">
      <w:pPr>
        <w:keepNext w:val="0"/>
        <w:keepLines w:val="0"/>
        <w:pageBreakBefore w:val="0"/>
        <w:widowControl/>
        <w:kinsoku/>
        <w:wordWrap/>
        <w:overflowPunct/>
        <w:topLinePunct w:val="0"/>
        <w:autoSpaceDE/>
        <w:autoSpaceDN/>
        <w:bidi w:val="0"/>
        <w:adjustRightInd/>
        <w:spacing w:line="358" w:lineRule="auto"/>
        <w:ind w:firstLine="560"/>
        <w:textAlignment w:val="auto"/>
        <w:rPr>
          <w:rFonts w:ascii="宋体" w:hAnsi="宋体"/>
          <w:color w:val="auto"/>
        </w:rPr>
      </w:pPr>
      <w:r>
        <w:rPr>
          <w:rFonts w:hint="eastAsia"/>
          <w:color w:val="auto"/>
        </w:rPr>
        <w:t>该站位于</w:t>
      </w:r>
      <w:r>
        <w:rPr>
          <w:rFonts w:hint="eastAsia"/>
          <w:color w:val="auto"/>
          <w:lang w:val="en-US" w:eastAsia="zh-CN"/>
        </w:rPr>
        <w:t>江西省铜鼓县城南路</w:t>
      </w:r>
      <w:r>
        <w:rPr>
          <w:rFonts w:hint="eastAsia"/>
          <w:color w:val="auto"/>
        </w:rPr>
        <w:t>，</w:t>
      </w:r>
      <w:r>
        <w:rPr>
          <w:rFonts w:hint="eastAsia"/>
          <w:color w:val="auto"/>
          <w:shd w:val="clear"/>
          <w:lang w:val="en-US" w:eastAsia="zh-CN"/>
        </w:rPr>
        <w:t>加油站东面为饭店，东南面为民房，南面为闲置办公楼，西南面为住宅楼，西面为住宅楼，北面为城南东路</w:t>
      </w:r>
      <w:r>
        <w:rPr>
          <w:rFonts w:hint="eastAsia" w:ascii="Times New Roman" w:hAnsi="Times New Roman" w:eastAsia="宋体" w:cs="Times New Roman"/>
          <w:szCs w:val="28"/>
          <w:lang w:val="en-US" w:eastAsia="zh-CN"/>
        </w:rPr>
        <w:t>。</w:t>
      </w:r>
      <w:r>
        <w:rPr>
          <w:rFonts w:hint="eastAsia"/>
          <w:color w:val="auto"/>
        </w:rPr>
        <w:t>站外周边环境距离该加油站的距离均符合《汽车加油加气加氢站技术标准》（</w:t>
      </w:r>
      <w:r>
        <w:rPr>
          <w:rFonts w:hint="eastAsia" w:ascii="Times New Roman" w:hAnsi="Times New Roman"/>
          <w:color w:val="auto"/>
        </w:rPr>
        <w:t>GB</w:t>
      </w:r>
      <w:r>
        <w:rPr>
          <w:rFonts w:hint="eastAsia"/>
          <w:color w:val="auto"/>
        </w:rPr>
        <w:t xml:space="preserve"> </w:t>
      </w:r>
      <w:r>
        <w:rPr>
          <w:rFonts w:hint="eastAsia" w:ascii="Times New Roman" w:hAnsi="Times New Roman"/>
          <w:color w:val="auto"/>
        </w:rPr>
        <w:t>50156</w:t>
      </w:r>
      <w:r>
        <w:rPr>
          <w:rFonts w:hint="eastAsia"/>
          <w:color w:val="auto"/>
        </w:rPr>
        <w:t>-</w:t>
      </w:r>
      <w:r>
        <w:rPr>
          <w:rFonts w:hint="eastAsia" w:ascii="Times New Roman" w:hAnsi="Times New Roman"/>
          <w:color w:val="auto"/>
        </w:rPr>
        <w:t>2021</w:t>
      </w:r>
      <w:r>
        <w:rPr>
          <w:rFonts w:hint="eastAsia"/>
          <w:color w:val="auto"/>
        </w:rPr>
        <w:t>）中相应防火距离的要求，所以，周边环境对该加油站影响较小。</w:t>
      </w:r>
    </w:p>
    <w:p w14:paraId="1D23F1B7">
      <w:pPr>
        <w:keepNext w:val="0"/>
        <w:keepLines w:val="0"/>
        <w:pageBreakBefore w:val="0"/>
        <w:widowControl/>
        <w:kinsoku/>
        <w:wordWrap/>
        <w:overflowPunct/>
        <w:topLinePunct w:val="0"/>
        <w:autoSpaceDE/>
        <w:autoSpaceDN/>
        <w:bidi w:val="0"/>
        <w:adjustRightInd/>
        <w:snapToGrid w:val="0"/>
        <w:spacing w:line="358" w:lineRule="auto"/>
        <w:ind w:firstLine="562"/>
        <w:textAlignment w:val="auto"/>
        <w:rPr>
          <w:b/>
          <w:bCs/>
          <w:color w:val="auto"/>
        </w:rPr>
      </w:pPr>
      <w:r>
        <w:rPr>
          <w:rFonts w:hint="eastAsia"/>
          <w:b/>
          <w:bCs/>
          <w:color w:val="auto"/>
        </w:rPr>
        <w:t>（</w:t>
      </w:r>
      <w:r>
        <w:rPr>
          <w:rFonts w:hint="eastAsia" w:ascii="Times New Roman" w:hAnsi="Times New Roman"/>
          <w:b/>
          <w:bCs/>
          <w:color w:val="auto"/>
        </w:rPr>
        <w:t>3</w:t>
      </w:r>
      <w:r>
        <w:rPr>
          <w:rFonts w:hint="eastAsia"/>
          <w:b/>
          <w:bCs/>
          <w:color w:val="auto"/>
        </w:rPr>
        <w:t>）</w:t>
      </w:r>
      <w:r>
        <w:rPr>
          <w:b/>
          <w:bCs/>
          <w:color w:val="auto"/>
        </w:rPr>
        <w:t>当地自然条件对建设项目的影响</w:t>
      </w:r>
    </w:p>
    <w:p w14:paraId="7425551C">
      <w:pPr>
        <w:keepNext w:val="0"/>
        <w:keepLines w:val="0"/>
        <w:pageBreakBefore w:val="0"/>
        <w:widowControl/>
        <w:kinsoku/>
        <w:wordWrap/>
        <w:overflowPunct/>
        <w:topLinePunct w:val="0"/>
        <w:autoSpaceDE/>
        <w:autoSpaceDN/>
        <w:bidi w:val="0"/>
        <w:adjustRightInd/>
        <w:snapToGrid w:val="0"/>
        <w:spacing w:line="358" w:lineRule="auto"/>
        <w:ind w:firstLine="560"/>
        <w:textAlignment w:val="auto"/>
        <w:rPr>
          <w:rFonts w:hint="eastAsia" w:ascii="宋体" w:hAnsi="宋体" w:eastAsia="宋体" w:cs="宋体"/>
          <w:color w:val="auto"/>
          <w:szCs w:val="28"/>
          <w:lang w:eastAsia="zh-CN"/>
        </w:rPr>
      </w:pPr>
      <w:r>
        <w:rPr>
          <w:rFonts w:ascii="宋体" w:hAnsi="宋体"/>
          <w:color w:val="auto"/>
        </w:rPr>
        <w:t>台风影响：</w:t>
      </w:r>
      <w:r>
        <w:rPr>
          <w:rFonts w:hint="eastAsia" w:ascii="宋体" w:hAnsi="宋体" w:cs="宋体"/>
          <w:color w:val="auto"/>
          <w:szCs w:val="28"/>
        </w:rPr>
        <w:t>该加油站位于</w:t>
      </w:r>
      <w:r>
        <w:rPr>
          <w:rFonts w:hint="eastAsia" w:ascii="宋体" w:hAnsi="宋体" w:cs="宋体"/>
          <w:color w:val="auto"/>
          <w:szCs w:val="28"/>
          <w:lang w:val="en-US" w:eastAsia="zh-CN"/>
        </w:rPr>
        <w:t>江西省宜春市铜鼓县</w:t>
      </w:r>
      <w:r>
        <w:rPr>
          <w:rFonts w:hint="eastAsia" w:ascii="宋体" w:hAnsi="宋体" w:cs="宋体"/>
          <w:color w:val="auto"/>
          <w:szCs w:val="28"/>
        </w:rPr>
        <w:t>，该地区很少有台风，受台风影响较小</w:t>
      </w:r>
      <w:r>
        <w:rPr>
          <w:rFonts w:hint="eastAsia" w:ascii="宋体" w:hAnsi="宋体" w:cs="宋体"/>
          <w:color w:val="auto"/>
          <w:szCs w:val="28"/>
          <w:lang w:eastAsia="zh-CN"/>
        </w:rPr>
        <w:t>。</w:t>
      </w:r>
    </w:p>
    <w:p w14:paraId="4AECFA2D">
      <w:pPr>
        <w:keepNext w:val="0"/>
        <w:keepLines w:val="0"/>
        <w:pageBreakBefore w:val="0"/>
        <w:widowControl/>
        <w:kinsoku/>
        <w:wordWrap/>
        <w:overflowPunct/>
        <w:topLinePunct w:val="0"/>
        <w:autoSpaceDE/>
        <w:autoSpaceDN/>
        <w:bidi w:val="0"/>
        <w:adjustRightInd/>
        <w:snapToGrid w:val="0"/>
        <w:spacing w:line="358" w:lineRule="auto"/>
        <w:ind w:firstLine="560"/>
        <w:jc w:val="left"/>
        <w:textAlignment w:val="auto"/>
        <w:rPr>
          <w:rFonts w:ascii="宋体" w:hAnsi="宋体"/>
          <w:color w:val="auto"/>
        </w:rPr>
      </w:pPr>
      <w:r>
        <w:rPr>
          <w:rFonts w:ascii="宋体" w:hAnsi="宋体"/>
          <w:color w:val="auto"/>
        </w:rPr>
        <w:t>雷暴影响：</w:t>
      </w:r>
      <w:r>
        <w:rPr>
          <w:rFonts w:hint="eastAsia" w:ascii="宋体" w:hAnsi="宋体"/>
          <w:color w:val="auto"/>
        </w:rPr>
        <w:t>该</w:t>
      </w:r>
      <w:r>
        <w:rPr>
          <w:rFonts w:ascii="宋体" w:hAnsi="宋体"/>
          <w:color w:val="auto"/>
        </w:rPr>
        <w:t>地区全年雷暴天数较多，若防雷设施失效，雷雨天气里，建筑物、工艺装置、设施和人员有遭受雷击的危险。</w:t>
      </w:r>
    </w:p>
    <w:p w14:paraId="065E33B3">
      <w:pPr>
        <w:keepNext w:val="0"/>
        <w:keepLines w:val="0"/>
        <w:pageBreakBefore w:val="0"/>
        <w:widowControl/>
        <w:kinsoku/>
        <w:wordWrap/>
        <w:overflowPunct/>
        <w:topLinePunct w:val="0"/>
        <w:autoSpaceDE/>
        <w:autoSpaceDN/>
        <w:bidi w:val="0"/>
        <w:adjustRightInd/>
        <w:snapToGrid w:val="0"/>
        <w:spacing w:line="358" w:lineRule="auto"/>
        <w:ind w:firstLine="560"/>
        <w:textAlignment w:val="auto"/>
        <w:rPr>
          <w:rFonts w:ascii="宋体" w:hAnsi="宋体" w:cs="宋体"/>
          <w:color w:val="auto"/>
          <w:szCs w:val="28"/>
        </w:rPr>
      </w:pPr>
      <w:r>
        <w:rPr>
          <w:rFonts w:ascii="宋体" w:hAnsi="宋体"/>
          <w:color w:val="auto"/>
        </w:rPr>
        <w:t>暴雨影响：</w:t>
      </w:r>
      <w:r>
        <w:rPr>
          <w:rFonts w:hint="eastAsia" w:ascii="宋体" w:hAnsi="宋体" w:cs="宋体"/>
          <w:color w:val="auto"/>
          <w:szCs w:val="28"/>
        </w:rPr>
        <w:t>该地区</w:t>
      </w:r>
      <w:r>
        <w:rPr>
          <w:rFonts w:hint="eastAsia" w:ascii="宋体" w:hAnsi="宋体" w:cs="宋体"/>
          <w:color w:val="auto"/>
          <w:szCs w:val="28"/>
          <w:lang w:eastAsia="zh-CN"/>
        </w:rPr>
        <w:t>处于</w:t>
      </w:r>
      <w:r>
        <w:rPr>
          <w:rFonts w:hint="eastAsia" w:ascii="宋体" w:hAnsi="宋体"/>
          <w:color w:val="auto"/>
          <w:szCs w:val="28"/>
        </w:rPr>
        <w:t>中亚热带季风湿润气候，雨量丰沛，</w:t>
      </w:r>
      <w:r>
        <w:rPr>
          <w:rFonts w:hint="eastAsia" w:ascii="宋体" w:hAnsi="宋体" w:cs="宋体"/>
          <w:color w:val="auto"/>
          <w:szCs w:val="28"/>
        </w:rPr>
        <w:t>夏季多暴雨，如下水道阻塞，水泄不及，可能造成内涝积水。</w:t>
      </w:r>
    </w:p>
    <w:p w14:paraId="070D0A1C">
      <w:pPr>
        <w:keepNext w:val="0"/>
        <w:keepLines w:val="0"/>
        <w:pageBreakBefore w:val="0"/>
        <w:widowControl/>
        <w:kinsoku/>
        <w:wordWrap/>
        <w:overflowPunct/>
        <w:topLinePunct w:val="0"/>
        <w:autoSpaceDE/>
        <w:autoSpaceDN/>
        <w:bidi w:val="0"/>
        <w:adjustRightInd/>
        <w:snapToGrid w:val="0"/>
        <w:spacing w:line="358" w:lineRule="auto"/>
        <w:ind w:firstLine="560"/>
        <w:jc w:val="left"/>
        <w:textAlignment w:val="auto"/>
        <w:rPr>
          <w:rFonts w:ascii="宋体" w:hAnsi="宋体"/>
          <w:color w:val="auto"/>
        </w:rPr>
      </w:pPr>
      <w:r>
        <w:rPr>
          <w:rFonts w:ascii="宋体" w:hAnsi="宋体"/>
          <w:color w:val="auto"/>
        </w:rPr>
        <w:t>洪水影响：洪水一般都由暴雨引起，短时间的大强度降雨，有时可能引起</w:t>
      </w:r>
      <w:r>
        <w:rPr>
          <w:rFonts w:hint="eastAsia" w:ascii="宋体" w:hAnsi="宋体"/>
          <w:color w:val="auto"/>
        </w:rPr>
        <w:t>山洪暴发</w:t>
      </w:r>
      <w:r>
        <w:rPr>
          <w:rFonts w:ascii="宋体" w:hAnsi="宋体"/>
          <w:color w:val="auto"/>
        </w:rPr>
        <w:t>，形成洪水径流。在局部地区，如沟、洼地或河流，洪水有很强的冲蚀能力，可形成侵蚀沟或造成坍塌，对加油站的安全运行构成威胁。</w:t>
      </w:r>
    </w:p>
    <w:p w14:paraId="3A81E399">
      <w:pPr>
        <w:keepNext w:val="0"/>
        <w:keepLines w:val="0"/>
        <w:pageBreakBefore w:val="0"/>
        <w:widowControl/>
        <w:kinsoku/>
        <w:wordWrap/>
        <w:overflowPunct/>
        <w:topLinePunct w:val="0"/>
        <w:autoSpaceDE/>
        <w:autoSpaceDN/>
        <w:bidi w:val="0"/>
        <w:adjustRightInd/>
        <w:snapToGrid w:val="0"/>
        <w:spacing w:line="358" w:lineRule="auto"/>
        <w:ind w:firstLine="560"/>
        <w:jc w:val="left"/>
        <w:textAlignment w:val="auto"/>
        <w:rPr>
          <w:color w:val="auto"/>
        </w:rPr>
      </w:pPr>
      <w:r>
        <w:rPr>
          <w:color w:val="auto"/>
        </w:rPr>
        <w:t>高温天气影响：该地区夏季极端最高气温可达</w:t>
      </w:r>
      <w:r>
        <w:rPr>
          <w:rFonts w:hint="eastAsia"/>
          <w:color w:val="auto"/>
          <w:lang w:val="en-US" w:eastAsia="zh-CN"/>
        </w:rPr>
        <w:t>39.8℃</w:t>
      </w:r>
      <w:r>
        <w:rPr>
          <w:color w:val="auto"/>
        </w:rPr>
        <w:t>左右，高气温会使密闭容器内压增加，易发生爆裂，另外，高温天气容易引起人员中暑。</w:t>
      </w:r>
    </w:p>
    <w:p w14:paraId="06841258">
      <w:pPr>
        <w:keepNext w:val="0"/>
        <w:keepLines w:val="0"/>
        <w:pageBreakBefore w:val="0"/>
        <w:widowControl w:val="0"/>
        <w:kinsoku/>
        <w:wordWrap/>
        <w:overflowPunct/>
        <w:topLinePunct w:val="0"/>
        <w:autoSpaceDE/>
        <w:autoSpaceDN/>
        <w:bidi w:val="0"/>
        <w:adjustRightInd/>
        <w:snapToGrid w:val="0"/>
        <w:spacing w:line="358" w:lineRule="auto"/>
        <w:ind w:firstLine="560"/>
        <w:textAlignment w:val="auto"/>
        <w:rPr>
          <w:color w:val="auto"/>
        </w:rPr>
      </w:pPr>
      <w:r>
        <w:rPr>
          <w:color w:val="auto"/>
        </w:rPr>
        <w:t>地质灾害及地震影响：</w:t>
      </w:r>
      <w:r>
        <w:rPr>
          <w:color w:val="auto"/>
          <w:szCs w:val="28"/>
        </w:rPr>
        <w:t>该加油站所处区域</w:t>
      </w:r>
      <w:r>
        <w:rPr>
          <w:rFonts w:hint="eastAsia"/>
          <w:color w:val="auto"/>
          <w:szCs w:val="28"/>
          <w:lang w:val="en-US" w:eastAsia="zh-CN"/>
        </w:rPr>
        <w:t>无不良地质</w:t>
      </w:r>
      <w:r>
        <w:rPr>
          <w:color w:val="auto"/>
          <w:szCs w:val="28"/>
        </w:rPr>
        <w:t>。</w:t>
      </w:r>
      <w:r>
        <w:rPr>
          <w:color w:val="auto"/>
        </w:rPr>
        <w:t>该加油站</w:t>
      </w:r>
      <w:r>
        <w:rPr>
          <w:rFonts w:hint="eastAsia"/>
          <w:color w:val="auto"/>
          <w:lang w:eastAsia="zh-CN"/>
        </w:rPr>
        <w:t>所在</w:t>
      </w:r>
      <w:r>
        <w:rPr>
          <w:color w:val="auto"/>
        </w:rPr>
        <w:t>区域的地震设防烈度为</w:t>
      </w:r>
      <w:r>
        <w:rPr>
          <w:rFonts w:ascii="Times New Roman" w:hAnsi="Times New Roman"/>
          <w:color w:val="auto"/>
        </w:rPr>
        <w:t>6</w:t>
      </w:r>
      <w:r>
        <w:rPr>
          <w:color w:val="auto"/>
        </w:rPr>
        <w:t>度。应当按照高于当地房屋建筑的抗震设防要求进行设计，增强抗震设防能力。</w:t>
      </w:r>
    </w:p>
    <w:p w14:paraId="353F836D">
      <w:pPr>
        <w:keepNext w:val="0"/>
        <w:keepLines w:val="0"/>
        <w:pageBreakBefore w:val="0"/>
        <w:widowControl/>
        <w:kinsoku/>
        <w:wordWrap/>
        <w:overflowPunct/>
        <w:topLinePunct w:val="0"/>
        <w:autoSpaceDE/>
        <w:autoSpaceDN/>
        <w:bidi w:val="0"/>
        <w:adjustRightInd/>
        <w:snapToGrid w:val="0"/>
        <w:spacing w:line="358" w:lineRule="auto"/>
        <w:ind w:firstLine="560"/>
        <w:textAlignment w:val="auto"/>
        <w:rPr>
          <w:color w:val="auto"/>
          <w:szCs w:val="28"/>
        </w:rPr>
      </w:pPr>
      <w:r>
        <w:rPr>
          <w:color w:val="auto"/>
          <w:szCs w:val="28"/>
          <w:lang w:bidi="ar"/>
        </w:rPr>
        <w:t>建设项目地面排水条件良好，雨水均可及时排出站外。油罐埋地敷设，采用钢带紧固抗浮防止油罐受地下水作用而上浮。</w:t>
      </w:r>
    </w:p>
    <w:p w14:paraId="15CC11DD">
      <w:pPr>
        <w:pStyle w:val="5"/>
        <w:spacing w:line="360" w:lineRule="auto"/>
        <w:ind w:left="0" w:leftChars="0" w:firstLine="0" w:firstLineChars="0"/>
        <w:rPr>
          <w:rFonts w:hint="default" w:ascii="Times New Roman" w:hAnsi="Times New Roman" w:cs="Times New Roman"/>
          <w:color w:val="auto"/>
        </w:rPr>
      </w:pPr>
      <w:bookmarkStart w:id="751" w:name="_Toc23385"/>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r>
        <w:rPr>
          <w:rFonts w:hint="eastAsia" w:cs="Times New Roman"/>
          <w:color w:val="auto"/>
          <w:lang w:val="en-US" w:eastAsia="zh-CN"/>
        </w:rPr>
        <w:t>2</w:t>
      </w:r>
      <w:r>
        <w:rPr>
          <w:rFonts w:hint="default" w:ascii="Times New Roman" w:hAnsi="Times New Roman" w:cs="Times New Roman"/>
          <w:color w:val="auto"/>
        </w:rPr>
        <w:t>.2选择的主要装置、设备、设施及其安全可靠性</w:t>
      </w:r>
      <w:bookmarkEnd w:id="751"/>
    </w:p>
    <w:p w14:paraId="03CACE16">
      <w:pPr>
        <w:numPr>
          <w:ilvl w:val="0"/>
          <w:numId w:val="17"/>
        </w:numPr>
        <w:spacing w:line="360" w:lineRule="auto"/>
        <w:ind w:firstLine="560"/>
        <w:rPr>
          <w:color w:val="auto"/>
        </w:rPr>
      </w:pPr>
      <w:r>
        <w:rPr>
          <w:rFonts w:hint="default" w:ascii="Times New Roman" w:hAnsi="Times New Roman" w:cs="Times New Roman"/>
          <w:color w:val="auto"/>
        </w:rPr>
        <w:t>该加油站采用埋地储罐贮存汽油，这种埋地卧式储罐安全性好，储罐着火率低。储罐采用不低于加强级防腐涂层保护，使用寿命较长，</w:t>
      </w:r>
      <w:r>
        <w:rPr>
          <w:rFonts w:hint="eastAsia"/>
          <w:color w:val="auto"/>
        </w:rPr>
        <w:t>有效防止腐蚀穿孔泄漏油品所造成的污染。</w:t>
      </w:r>
    </w:p>
    <w:p w14:paraId="175D2B68">
      <w:pPr>
        <w:numPr>
          <w:ilvl w:val="0"/>
          <w:numId w:val="17"/>
        </w:numPr>
        <w:spacing w:line="360" w:lineRule="auto"/>
        <w:ind w:firstLine="560"/>
        <w:rPr>
          <w:color w:val="auto"/>
        </w:rPr>
      </w:pPr>
      <w:r>
        <w:rPr>
          <w:rFonts w:hint="eastAsia"/>
          <w:color w:val="auto"/>
        </w:rPr>
        <w:t>该加油站采用埋地双层罐贮存油品，能有效防止油品渗漏。</w:t>
      </w:r>
    </w:p>
    <w:p w14:paraId="65752728">
      <w:pPr>
        <w:numPr>
          <w:ilvl w:val="0"/>
          <w:numId w:val="17"/>
        </w:numPr>
        <w:spacing w:line="360" w:lineRule="auto"/>
        <w:ind w:firstLine="560"/>
        <w:rPr>
          <w:color w:val="auto"/>
        </w:rPr>
      </w:pPr>
      <w:r>
        <w:rPr>
          <w:rFonts w:hint="eastAsia"/>
          <w:color w:val="auto"/>
        </w:rPr>
        <w:t>出油管线采用</w:t>
      </w:r>
      <w:r>
        <w:rPr>
          <w:rFonts w:hint="eastAsia"/>
          <w:color w:val="auto"/>
          <w:lang w:eastAsia="zh-CN"/>
        </w:rPr>
        <w:t>双层复合管</w:t>
      </w:r>
      <w:r>
        <w:rPr>
          <w:rFonts w:hint="eastAsia"/>
          <w:color w:val="auto"/>
        </w:rPr>
        <w:t>，外层具有防腐功能；其余加油工艺管道采用无缝钢管，防腐采用不低于加强级的防腐绝缘保护层，防腐结构满足规范《石油化工设备和管道涂料防腐蚀设计标准》（</w:t>
      </w:r>
      <w:r>
        <w:rPr>
          <w:rFonts w:hint="eastAsia" w:ascii="Times New Roman" w:hAnsi="Times New Roman"/>
          <w:color w:val="auto"/>
        </w:rPr>
        <w:t>SH</w:t>
      </w:r>
      <w:r>
        <w:rPr>
          <w:rFonts w:hint="eastAsia"/>
          <w:color w:val="auto"/>
        </w:rPr>
        <w:t>/</w:t>
      </w:r>
      <w:r>
        <w:rPr>
          <w:rFonts w:hint="eastAsia" w:ascii="Times New Roman" w:hAnsi="Times New Roman"/>
          <w:color w:val="auto"/>
        </w:rPr>
        <w:t>T</w:t>
      </w:r>
      <w:r>
        <w:rPr>
          <w:rFonts w:hint="eastAsia"/>
          <w:color w:val="auto"/>
        </w:rPr>
        <w:t xml:space="preserve"> </w:t>
      </w:r>
      <w:r>
        <w:rPr>
          <w:rFonts w:hint="eastAsia" w:ascii="Times New Roman" w:hAnsi="Times New Roman"/>
          <w:color w:val="auto"/>
        </w:rPr>
        <w:t>3022</w:t>
      </w:r>
      <w:r>
        <w:rPr>
          <w:rFonts w:hint="eastAsia"/>
          <w:color w:val="auto"/>
        </w:rPr>
        <w:t>-</w:t>
      </w:r>
      <w:r>
        <w:rPr>
          <w:rFonts w:hint="eastAsia" w:ascii="Times New Roman" w:hAnsi="Times New Roman"/>
          <w:color w:val="auto"/>
        </w:rPr>
        <w:t>2019</w:t>
      </w:r>
      <w:r>
        <w:rPr>
          <w:rFonts w:hint="eastAsia"/>
          <w:color w:val="auto"/>
        </w:rPr>
        <w:t>）加强级防腐结构要求。油罐采用双层油罐，具有较好的防腐蚀能力和防油品渗漏能力。</w:t>
      </w:r>
    </w:p>
    <w:p w14:paraId="7C73E7EB">
      <w:pPr>
        <w:numPr>
          <w:ilvl w:val="0"/>
          <w:numId w:val="17"/>
        </w:numPr>
        <w:spacing w:line="360" w:lineRule="auto"/>
        <w:ind w:firstLine="560"/>
        <w:rPr>
          <w:color w:val="auto"/>
        </w:rPr>
      </w:pPr>
      <w:r>
        <w:rPr>
          <w:rFonts w:hint="eastAsia"/>
          <w:color w:val="auto"/>
        </w:rPr>
        <w:t>加油站设有卸油油气回收系统能有效防止泄漏的油气污染大气环境。</w:t>
      </w:r>
    </w:p>
    <w:p w14:paraId="32166D47">
      <w:pPr>
        <w:numPr>
          <w:ilvl w:val="0"/>
          <w:numId w:val="17"/>
        </w:numPr>
        <w:spacing w:line="360" w:lineRule="auto"/>
        <w:ind w:firstLine="560"/>
        <w:rPr>
          <w:color w:val="auto"/>
        </w:rPr>
      </w:pPr>
      <w:r>
        <w:rPr>
          <w:rFonts w:hint="eastAsia"/>
          <w:color w:val="auto"/>
        </w:rPr>
        <w:t>加油站卸车点装设接地安全保护装置（静电接地报警器）。</w:t>
      </w:r>
    </w:p>
    <w:p w14:paraId="0A52AD6C">
      <w:pPr>
        <w:pStyle w:val="5"/>
        <w:spacing w:line="360" w:lineRule="auto"/>
        <w:ind w:left="0" w:leftChars="0" w:firstLine="0" w:firstLineChars="0"/>
        <w:rPr>
          <w:rFonts w:hint="default" w:ascii="Times New Roman" w:hAnsi="Times New Roman" w:cs="Times New Roman"/>
          <w:color w:val="auto"/>
        </w:rPr>
      </w:pPr>
      <w:bookmarkStart w:id="752" w:name="_Toc30976"/>
      <w:r>
        <w:rPr>
          <w:rFonts w:hint="default" w:ascii="Times New Roman" w:hAnsi="Times New Roman" w:cs="Times New Roman"/>
          <w:color w:val="auto"/>
        </w:rPr>
        <w:t>F</w:t>
      </w:r>
      <w:r>
        <w:rPr>
          <w:rFonts w:hint="eastAsia" w:cs="Times New Roman"/>
          <w:color w:val="auto"/>
          <w:lang w:val="en-US" w:eastAsia="zh-CN"/>
        </w:rPr>
        <w:t>4</w:t>
      </w:r>
      <w:r>
        <w:rPr>
          <w:rFonts w:hint="default" w:ascii="Times New Roman" w:hAnsi="Times New Roman" w:cs="Times New Roman"/>
          <w:color w:val="auto"/>
        </w:rPr>
        <w:t>.</w:t>
      </w:r>
      <w:r>
        <w:rPr>
          <w:rFonts w:hint="eastAsia" w:cs="Times New Roman"/>
          <w:color w:val="auto"/>
          <w:lang w:val="en-US" w:eastAsia="zh-CN"/>
        </w:rPr>
        <w:t>2</w:t>
      </w:r>
      <w:r>
        <w:rPr>
          <w:rFonts w:hint="default" w:ascii="Times New Roman" w:hAnsi="Times New Roman" w:cs="Times New Roman"/>
          <w:color w:val="auto"/>
        </w:rPr>
        <w:t>.3事故案例分析评价</w:t>
      </w:r>
      <w:bookmarkEnd w:id="752"/>
    </w:p>
    <w:p w14:paraId="6CE2BFF8">
      <w:pPr>
        <w:spacing w:line="360" w:lineRule="auto"/>
        <w:ind w:firstLine="562"/>
        <w:rPr>
          <w:rFonts w:hint="default" w:ascii="Times New Roman" w:hAnsi="Times New Roman" w:cs="Times New Roman"/>
          <w:b/>
          <w:bCs/>
          <w:color w:val="auto"/>
        </w:rPr>
      </w:pPr>
      <w:r>
        <w:rPr>
          <w:rFonts w:hint="default" w:ascii="Times New Roman" w:hAnsi="Times New Roman" w:cs="Times New Roman"/>
          <w:b/>
          <w:bCs/>
          <w:color w:val="auto"/>
        </w:rPr>
        <w:t>1）事故案例</w:t>
      </w:r>
    </w:p>
    <w:p w14:paraId="2D4DF717">
      <w:pPr>
        <w:spacing w:line="360" w:lineRule="auto"/>
        <w:ind w:firstLine="560"/>
        <w:rPr>
          <w:rFonts w:hint="default" w:ascii="Times New Roman" w:hAnsi="Times New Roman" w:cs="Times New Roman"/>
          <w:color w:val="auto"/>
        </w:rPr>
      </w:pPr>
      <w:r>
        <w:rPr>
          <w:rFonts w:hint="default" w:ascii="Times New Roman" w:hAnsi="Times New Roman" w:cs="Times New Roman"/>
          <w:color w:val="auto"/>
        </w:rPr>
        <w:t>事故案例一：</w:t>
      </w:r>
    </w:p>
    <w:p w14:paraId="02A1D5E9">
      <w:pPr>
        <w:spacing w:line="360" w:lineRule="auto"/>
        <w:ind w:firstLine="560"/>
        <w:rPr>
          <w:color w:val="auto"/>
        </w:rPr>
      </w:pPr>
      <w:r>
        <w:rPr>
          <w:rFonts w:hint="default" w:ascii="Times New Roman" w:hAnsi="Times New Roman" w:cs="Times New Roman"/>
          <w:color w:val="auto"/>
        </w:rPr>
        <w:t>2007年11月24日上午7时50分，上海杨高南路浦三路口，中石油上</w:t>
      </w:r>
      <w:r>
        <w:rPr>
          <w:color w:val="auto"/>
        </w:rPr>
        <w:t>海浦东加油站发生爆炸。据统计，爆炸造成</w:t>
      </w:r>
      <w:r>
        <w:rPr>
          <w:rFonts w:ascii="Times New Roman" w:hAnsi="Times New Roman"/>
          <w:color w:val="auto"/>
        </w:rPr>
        <w:t>2</w:t>
      </w:r>
      <w:r>
        <w:rPr>
          <w:color w:val="auto"/>
        </w:rPr>
        <w:t>名加油站工人和</w:t>
      </w:r>
      <w:r>
        <w:rPr>
          <w:rFonts w:ascii="Times New Roman" w:hAnsi="Times New Roman"/>
          <w:color w:val="auto"/>
        </w:rPr>
        <w:t>2</w:t>
      </w:r>
      <w:r>
        <w:rPr>
          <w:color w:val="auto"/>
        </w:rPr>
        <w:t>名路人死亡，另有</w:t>
      </w:r>
      <w:r>
        <w:rPr>
          <w:rFonts w:ascii="Times New Roman" w:hAnsi="Times New Roman"/>
          <w:color w:val="auto"/>
        </w:rPr>
        <w:t>40</w:t>
      </w:r>
      <w:r>
        <w:rPr>
          <w:color w:val="auto"/>
        </w:rPr>
        <w:t>人受伤，其中</w:t>
      </w:r>
      <w:r>
        <w:rPr>
          <w:rFonts w:ascii="Times New Roman" w:hAnsi="Times New Roman"/>
          <w:color w:val="auto"/>
        </w:rPr>
        <w:t>2</w:t>
      </w:r>
      <w:r>
        <w:rPr>
          <w:color w:val="auto"/>
        </w:rPr>
        <w:t>人重伤。</w:t>
      </w:r>
    </w:p>
    <w:p w14:paraId="5BF4FB0A">
      <w:pPr>
        <w:spacing w:line="360" w:lineRule="auto"/>
        <w:ind w:firstLine="560"/>
        <w:rPr>
          <w:color w:val="auto"/>
        </w:rPr>
      </w:pPr>
      <w:r>
        <w:rPr>
          <w:color w:val="auto"/>
        </w:rPr>
        <w:t>爆炸事故原因分析：是在停业检修过程中，现场</w:t>
      </w:r>
      <w:r>
        <w:rPr>
          <w:rFonts w:ascii="Times New Roman" w:hAnsi="Times New Roman"/>
          <w:color w:val="auto"/>
        </w:rPr>
        <w:t>2</w:t>
      </w:r>
      <w:r>
        <w:rPr>
          <w:color w:val="auto"/>
        </w:rPr>
        <w:t>名施工人员违章作业，在未对与管道相通的</w:t>
      </w:r>
      <w:r>
        <w:rPr>
          <w:rFonts w:ascii="Times New Roman" w:hAnsi="Times New Roman"/>
          <w:color w:val="auto"/>
        </w:rPr>
        <w:t>2</w:t>
      </w:r>
      <w:r>
        <w:rPr>
          <w:color w:val="auto"/>
        </w:rPr>
        <w:t>号储气罐进行有效安全隔离情况下，用压缩空气对管道实施气密性试验，导致该储气罐内未经清洗置换的液化石油气与压缩空气混合，引起化学性爆炸。</w:t>
      </w:r>
    </w:p>
    <w:p w14:paraId="61EDAF5D">
      <w:pPr>
        <w:spacing w:line="360" w:lineRule="auto"/>
        <w:ind w:firstLine="560"/>
        <w:rPr>
          <w:color w:val="auto"/>
        </w:rPr>
      </w:pPr>
      <w:r>
        <w:rPr>
          <w:color w:val="auto"/>
        </w:rPr>
        <w:t>事故案例二：</w:t>
      </w:r>
    </w:p>
    <w:p w14:paraId="5DA6EB7F">
      <w:pPr>
        <w:spacing w:line="360" w:lineRule="auto"/>
        <w:ind w:firstLine="560"/>
        <w:rPr>
          <w:color w:val="auto"/>
        </w:rPr>
      </w:pPr>
      <w:r>
        <w:rPr>
          <w:rFonts w:ascii="Times New Roman" w:hAnsi="Times New Roman"/>
          <w:color w:val="auto"/>
        </w:rPr>
        <w:t>2008</w:t>
      </w:r>
      <w:r>
        <w:rPr>
          <w:color w:val="auto"/>
        </w:rPr>
        <w:t>年</w:t>
      </w:r>
      <w:r>
        <w:rPr>
          <w:rFonts w:ascii="Times New Roman" w:hAnsi="Times New Roman"/>
          <w:color w:val="auto"/>
        </w:rPr>
        <w:t>6</w:t>
      </w:r>
      <w:r>
        <w:rPr>
          <w:color w:val="auto"/>
        </w:rPr>
        <w:t>月</w:t>
      </w:r>
      <w:r>
        <w:rPr>
          <w:rFonts w:ascii="Times New Roman" w:hAnsi="Times New Roman"/>
          <w:color w:val="auto"/>
        </w:rPr>
        <w:t>24</w:t>
      </w:r>
      <w:r>
        <w:rPr>
          <w:color w:val="auto"/>
        </w:rPr>
        <w:t>日，广东汕头市达濠旭源加油站雇请焊工和组织油站员工，在储罐区清洗柴油空罐，当天</w:t>
      </w:r>
      <w:r>
        <w:rPr>
          <w:rFonts w:ascii="Times New Roman" w:hAnsi="Times New Roman"/>
          <w:color w:val="auto"/>
        </w:rPr>
        <w:t>19</w:t>
      </w:r>
      <w:r>
        <w:rPr>
          <w:color w:val="auto"/>
        </w:rPr>
        <w:t>时</w:t>
      </w:r>
      <w:r>
        <w:rPr>
          <w:rFonts w:ascii="Times New Roman" w:hAnsi="Times New Roman"/>
          <w:color w:val="auto"/>
        </w:rPr>
        <w:t>15</w:t>
      </w:r>
      <w:r>
        <w:rPr>
          <w:color w:val="auto"/>
        </w:rPr>
        <w:t>分左右，对潜油泵接管加长并进行焊接作业时，突然发生爆燃，造成当时在场作业人员</w:t>
      </w:r>
      <w:r>
        <w:rPr>
          <w:rFonts w:ascii="Times New Roman" w:hAnsi="Times New Roman"/>
          <w:color w:val="auto"/>
        </w:rPr>
        <w:t>1</w:t>
      </w:r>
      <w:r>
        <w:rPr>
          <w:color w:val="auto"/>
        </w:rPr>
        <w:t>人死亡，</w:t>
      </w:r>
      <w:r>
        <w:rPr>
          <w:rFonts w:ascii="Times New Roman" w:hAnsi="Times New Roman"/>
          <w:color w:val="auto"/>
        </w:rPr>
        <w:t>3</w:t>
      </w:r>
      <w:r>
        <w:rPr>
          <w:color w:val="auto"/>
        </w:rPr>
        <w:t>人受伤。</w:t>
      </w:r>
    </w:p>
    <w:p w14:paraId="65393EC0">
      <w:pPr>
        <w:spacing w:line="360" w:lineRule="auto"/>
        <w:ind w:firstLine="560"/>
        <w:rPr>
          <w:color w:val="auto"/>
        </w:rPr>
      </w:pPr>
      <w:r>
        <w:rPr>
          <w:color w:val="auto"/>
        </w:rPr>
        <w:t>爆燃事故原因分析：是</w:t>
      </w:r>
      <w:r>
        <w:rPr>
          <w:rFonts w:hint="eastAsia"/>
          <w:color w:val="auto"/>
        </w:rPr>
        <w:t>该加油站</w:t>
      </w:r>
      <w:r>
        <w:rPr>
          <w:color w:val="auto"/>
        </w:rPr>
        <w:t>在清洗储罐区柴油空罐时，没有按照有关规定报告有关部门，擅自动火焊接潜油泵管。操作时，未采取足够的安全防范措施，未落实安全操作规程，所雇两个焊工无特种作业资质，未持证上岗，属违章动火作业，导致电焊火花引燃柴油空罐内未经清洗置换的柴油油气，造成爆燃事故的发生。</w:t>
      </w:r>
    </w:p>
    <w:p w14:paraId="6D71EDF0">
      <w:pPr>
        <w:widowControl w:val="0"/>
        <w:tabs>
          <w:tab w:val="left" w:pos="1035"/>
          <w:tab w:val="center" w:pos="4153"/>
        </w:tabs>
        <w:topLinePunct/>
        <w:snapToGrid w:val="0"/>
        <w:spacing w:line="360" w:lineRule="auto"/>
        <w:ind w:firstLine="560" w:firstLineChars="200"/>
        <w:jc w:val="both"/>
        <w:rPr>
          <w:rFonts w:ascii="Times New Roman" w:hAnsi="宋体" w:eastAsia="宋体" w:cs="Times New Roman"/>
          <w:b w:val="0"/>
          <w:bCs/>
          <w:color w:val="auto"/>
          <w:sz w:val="28"/>
          <w:szCs w:val="28"/>
          <w:lang w:val="en-US" w:eastAsia="zh-CN" w:bidi="ar-SA"/>
        </w:rPr>
      </w:pPr>
      <w:r>
        <w:rPr>
          <w:rFonts w:hint="eastAsia" w:ascii="Times New Roman" w:hAnsi="宋体" w:eastAsia="宋体" w:cs="Times New Roman"/>
          <w:b w:val="0"/>
          <w:bCs/>
          <w:color w:val="auto"/>
          <w:sz w:val="28"/>
          <w:szCs w:val="28"/>
          <w:lang w:val="en-US" w:eastAsia="zh-CN" w:bidi="ar-SA"/>
        </w:rPr>
        <w:t>事故案例</w:t>
      </w:r>
      <w:r>
        <w:rPr>
          <w:rFonts w:ascii="Times New Roman" w:hAnsi="宋体" w:eastAsia="宋体" w:cs="Times New Roman"/>
          <w:b w:val="0"/>
          <w:bCs/>
          <w:color w:val="auto"/>
          <w:sz w:val="28"/>
          <w:szCs w:val="28"/>
          <w:lang w:val="en-US" w:eastAsia="zh-CN" w:bidi="ar-SA"/>
        </w:rPr>
        <w:t>三</w:t>
      </w:r>
      <w:r>
        <w:rPr>
          <w:rFonts w:hint="eastAsia" w:ascii="Times New Roman" w:hAnsi="宋体" w:eastAsia="宋体" w:cs="Times New Roman"/>
          <w:b w:val="0"/>
          <w:bCs/>
          <w:color w:val="auto"/>
          <w:sz w:val="28"/>
          <w:szCs w:val="28"/>
          <w:lang w:val="en-US" w:eastAsia="zh-CN" w:bidi="ar-SA"/>
        </w:rPr>
        <w:t>：</w:t>
      </w:r>
      <w:r>
        <w:rPr>
          <w:rFonts w:ascii="Times New Roman" w:hAnsi="宋体" w:eastAsia="宋体" w:cs="Times New Roman"/>
          <w:b w:val="0"/>
          <w:bCs/>
          <w:color w:val="auto"/>
          <w:sz w:val="28"/>
          <w:szCs w:val="28"/>
          <w:lang w:val="en-US" w:eastAsia="zh-CN" w:bidi="ar-SA"/>
        </w:rPr>
        <w:t>某加油站“</w:t>
      </w:r>
      <w:r>
        <w:rPr>
          <w:rFonts w:ascii="Times New Roman" w:hAnsi="Times New Roman" w:eastAsia="宋体" w:cs="Times New Roman"/>
          <w:b w:val="0"/>
          <w:bCs/>
          <w:color w:val="auto"/>
          <w:sz w:val="28"/>
          <w:szCs w:val="28"/>
          <w:lang w:val="en-US" w:eastAsia="zh-CN" w:bidi="ar-SA"/>
        </w:rPr>
        <w:t>4</w:t>
      </w:r>
      <w:r>
        <w:rPr>
          <w:rFonts w:ascii="Times New Roman" w:hAnsi="宋体" w:eastAsia="宋体" w:cs="Times New Roman"/>
          <w:b w:val="0"/>
          <w:bCs/>
          <w:color w:val="auto"/>
          <w:sz w:val="28"/>
          <w:szCs w:val="28"/>
          <w:lang w:val="en-US" w:eastAsia="zh-CN" w:bidi="ar-SA"/>
        </w:rPr>
        <w:t>.</w:t>
      </w:r>
      <w:r>
        <w:rPr>
          <w:rFonts w:ascii="Times New Roman" w:hAnsi="Times New Roman" w:eastAsia="宋体" w:cs="Times New Roman"/>
          <w:b w:val="0"/>
          <w:bCs/>
          <w:color w:val="auto"/>
          <w:sz w:val="28"/>
          <w:szCs w:val="28"/>
          <w:lang w:val="en-US" w:eastAsia="zh-CN" w:bidi="ar-SA"/>
        </w:rPr>
        <w:t>11</w:t>
      </w:r>
      <w:r>
        <w:rPr>
          <w:rFonts w:ascii="Times New Roman" w:hAnsi="宋体" w:eastAsia="宋体" w:cs="Times New Roman"/>
          <w:b w:val="0"/>
          <w:bCs/>
          <w:color w:val="auto"/>
          <w:sz w:val="28"/>
          <w:szCs w:val="28"/>
          <w:lang w:val="en-US" w:eastAsia="zh-CN" w:bidi="ar-SA"/>
        </w:rPr>
        <w:t>”汽油冒油事件</w:t>
      </w:r>
    </w:p>
    <w:p w14:paraId="114EBE07">
      <w:pPr>
        <w:widowControl w:val="0"/>
        <w:tabs>
          <w:tab w:val="left" w:pos="1035"/>
          <w:tab w:val="center" w:pos="4153"/>
        </w:tabs>
        <w:topLinePunct/>
        <w:snapToGrid w:val="0"/>
        <w:spacing w:line="360" w:lineRule="auto"/>
        <w:ind w:firstLine="560" w:firstLineChars="200"/>
        <w:jc w:val="both"/>
        <w:rPr>
          <w:rFonts w:hint="eastAsia" w:ascii="Times New Roman" w:hAnsi="宋体" w:eastAsia="宋体" w:cs="Times New Roman"/>
          <w:color w:val="auto"/>
          <w:sz w:val="28"/>
          <w:szCs w:val="28"/>
          <w:lang w:val="en-US" w:eastAsia="zh-CN" w:bidi="ar-SA"/>
        </w:rPr>
      </w:pPr>
      <w:r>
        <w:rPr>
          <w:rFonts w:ascii="Times New Roman" w:hAnsi="Times New Roman" w:eastAsia="宋体" w:cs="Times New Roman"/>
          <w:color w:val="auto"/>
          <w:sz w:val="28"/>
          <w:szCs w:val="28"/>
          <w:lang w:val="en-US" w:eastAsia="zh-CN" w:bidi="ar-SA"/>
        </w:rPr>
        <w:t>2015</w:t>
      </w:r>
      <w:r>
        <w:rPr>
          <w:rFonts w:ascii="Times New Roman" w:hAnsi="宋体" w:eastAsia="宋体" w:cs="Times New Roman"/>
          <w:color w:val="auto"/>
          <w:sz w:val="28"/>
          <w:szCs w:val="28"/>
          <w:lang w:val="en-US" w:eastAsia="zh-CN" w:bidi="ar-SA"/>
        </w:rPr>
        <w:t>年</w:t>
      </w:r>
      <w:r>
        <w:rPr>
          <w:rFonts w:ascii="Times New Roman" w:hAnsi="Times New Roman" w:eastAsia="宋体" w:cs="Times New Roman"/>
          <w:color w:val="auto"/>
          <w:sz w:val="28"/>
          <w:szCs w:val="28"/>
          <w:lang w:val="en-US" w:eastAsia="zh-CN" w:bidi="ar-SA"/>
        </w:rPr>
        <w:t>4</w:t>
      </w:r>
      <w:r>
        <w:rPr>
          <w:rFonts w:ascii="Times New Roman" w:hAnsi="宋体" w:eastAsia="宋体" w:cs="Times New Roman"/>
          <w:color w:val="auto"/>
          <w:sz w:val="28"/>
          <w:szCs w:val="28"/>
          <w:lang w:val="en-US" w:eastAsia="zh-CN" w:bidi="ar-SA"/>
        </w:rPr>
        <w:t>月</w:t>
      </w:r>
      <w:r>
        <w:rPr>
          <w:rFonts w:ascii="Times New Roman" w:hAnsi="Times New Roman" w:eastAsia="宋体" w:cs="Times New Roman"/>
          <w:color w:val="auto"/>
          <w:sz w:val="28"/>
          <w:szCs w:val="28"/>
          <w:lang w:val="en-US" w:eastAsia="zh-CN" w:bidi="ar-SA"/>
        </w:rPr>
        <w:t>11</w:t>
      </w:r>
      <w:r>
        <w:rPr>
          <w:rFonts w:ascii="Times New Roman" w:hAnsi="宋体" w:eastAsia="宋体" w:cs="Times New Roman"/>
          <w:color w:val="auto"/>
          <w:sz w:val="28"/>
          <w:szCs w:val="28"/>
          <w:lang w:val="en-US" w:eastAsia="zh-CN" w:bidi="ar-SA"/>
        </w:rPr>
        <w:t>日上午</w:t>
      </w:r>
      <w:r>
        <w:rPr>
          <w:rFonts w:ascii="Times New Roman" w:hAnsi="Times New Roman" w:eastAsia="宋体" w:cs="Times New Roman"/>
          <w:color w:val="auto"/>
          <w:sz w:val="28"/>
          <w:szCs w:val="28"/>
          <w:lang w:val="en-US" w:eastAsia="zh-CN" w:bidi="ar-SA"/>
        </w:rPr>
        <w:t>8</w:t>
      </w:r>
      <w:r>
        <w:rPr>
          <w:rFonts w:ascii="Times New Roman" w:hAnsi="宋体" w:eastAsia="宋体" w:cs="Times New Roman"/>
          <w:color w:val="auto"/>
          <w:sz w:val="28"/>
          <w:szCs w:val="28"/>
          <w:lang w:val="en-US" w:eastAsia="zh-CN" w:bidi="ar-SA"/>
        </w:rPr>
        <w:t>时</w:t>
      </w:r>
      <w:r>
        <w:rPr>
          <w:rFonts w:ascii="Times New Roman" w:hAnsi="Times New Roman" w:eastAsia="宋体" w:cs="Times New Roman"/>
          <w:color w:val="auto"/>
          <w:sz w:val="28"/>
          <w:szCs w:val="28"/>
          <w:lang w:val="en-US" w:eastAsia="zh-CN" w:bidi="ar-SA"/>
        </w:rPr>
        <w:t>33</w:t>
      </w:r>
      <w:r>
        <w:rPr>
          <w:rFonts w:ascii="Times New Roman" w:hAnsi="宋体" w:eastAsia="宋体" w:cs="Times New Roman"/>
          <w:color w:val="auto"/>
          <w:sz w:val="28"/>
          <w:szCs w:val="28"/>
          <w:lang w:val="en-US" w:eastAsia="zh-CN" w:bidi="ar-SA"/>
        </w:rPr>
        <w:t>分，某加油站在接卸</w:t>
      </w:r>
      <w:r>
        <w:rPr>
          <w:rFonts w:ascii="Times New Roman" w:hAnsi="Times New Roman" w:eastAsia="宋体" w:cs="Times New Roman"/>
          <w:color w:val="auto"/>
          <w:sz w:val="28"/>
          <w:szCs w:val="28"/>
          <w:lang w:val="en-US" w:eastAsia="zh-CN" w:bidi="ar-SA"/>
        </w:rPr>
        <w:t>10000</w:t>
      </w:r>
      <w:r>
        <w:rPr>
          <w:rFonts w:ascii="Times New Roman" w:hAnsi="宋体" w:eastAsia="宋体" w:cs="Times New Roman"/>
          <w:color w:val="auto"/>
          <w:sz w:val="28"/>
          <w:szCs w:val="28"/>
          <w:lang w:val="en-US" w:eastAsia="zh-CN" w:bidi="ar-SA"/>
        </w:rPr>
        <w:t>升</w:t>
      </w:r>
      <w:r>
        <w:rPr>
          <w:rFonts w:ascii="Times New Roman" w:hAnsi="Times New Roman" w:eastAsia="宋体" w:cs="Times New Roman"/>
          <w:color w:val="auto"/>
          <w:sz w:val="28"/>
          <w:szCs w:val="28"/>
          <w:lang w:val="en-US" w:eastAsia="zh-CN" w:bidi="ar-SA"/>
        </w:rPr>
        <w:t>93</w:t>
      </w:r>
      <w:r>
        <w:rPr>
          <w:rFonts w:ascii="Times New Roman" w:hAnsi="宋体" w:eastAsia="宋体" w:cs="Times New Roman"/>
          <w:color w:val="auto"/>
          <w:sz w:val="28"/>
          <w:szCs w:val="28"/>
          <w:lang w:val="en-US" w:eastAsia="zh-CN" w:bidi="ar-SA"/>
        </w:rPr>
        <w:t>#汽油至</w:t>
      </w:r>
      <w:r>
        <w:rPr>
          <w:rFonts w:ascii="Times New Roman" w:hAnsi="Times New Roman" w:eastAsia="宋体" w:cs="Times New Roman"/>
          <w:color w:val="auto"/>
          <w:sz w:val="28"/>
          <w:szCs w:val="28"/>
          <w:lang w:val="en-US" w:eastAsia="zh-CN" w:bidi="ar-SA"/>
        </w:rPr>
        <w:t>4</w:t>
      </w:r>
      <w:r>
        <w:rPr>
          <w:rFonts w:ascii="Times New Roman" w:hAnsi="宋体" w:eastAsia="宋体" w:cs="Times New Roman"/>
          <w:color w:val="auto"/>
          <w:sz w:val="28"/>
          <w:szCs w:val="28"/>
          <w:lang w:val="en-US" w:eastAsia="zh-CN" w:bidi="ar-SA"/>
        </w:rPr>
        <w:t>#罐</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该罐空容量为</w:t>
      </w:r>
      <w:r>
        <w:rPr>
          <w:rFonts w:ascii="Times New Roman" w:hAnsi="Times New Roman" w:eastAsia="宋体" w:cs="Times New Roman"/>
          <w:color w:val="auto"/>
          <w:sz w:val="28"/>
          <w:szCs w:val="28"/>
          <w:lang w:val="en-US" w:eastAsia="zh-CN" w:bidi="ar-SA"/>
        </w:rPr>
        <w:t>12000</w:t>
      </w:r>
      <w:r>
        <w:rPr>
          <w:rFonts w:ascii="Times New Roman" w:hAnsi="宋体" w:eastAsia="宋体" w:cs="Times New Roman"/>
          <w:color w:val="auto"/>
          <w:sz w:val="28"/>
          <w:szCs w:val="28"/>
          <w:lang w:val="en-US" w:eastAsia="zh-CN" w:bidi="ar-SA"/>
        </w:rPr>
        <w:t>升</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时，领班</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因站长不在加油站</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误将卸油胶管连接至正在营业的</w:t>
      </w:r>
      <w:r>
        <w:rPr>
          <w:rFonts w:ascii="Times New Roman" w:hAnsi="Times New Roman" w:eastAsia="宋体" w:cs="Times New Roman"/>
          <w:color w:val="auto"/>
          <w:sz w:val="28"/>
          <w:szCs w:val="28"/>
          <w:lang w:val="en-US" w:eastAsia="zh-CN" w:bidi="ar-SA"/>
        </w:rPr>
        <w:t>3</w:t>
      </w:r>
      <w:r>
        <w:rPr>
          <w:rFonts w:ascii="Times New Roman" w:hAnsi="宋体" w:eastAsia="宋体" w:cs="Times New Roman"/>
          <w:color w:val="auto"/>
          <w:sz w:val="28"/>
          <w:szCs w:val="28"/>
          <w:lang w:val="en-US" w:eastAsia="zh-CN" w:bidi="ar-SA"/>
        </w:rPr>
        <w:t>#罐</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当时空容量为</w:t>
      </w:r>
      <w:r>
        <w:rPr>
          <w:rFonts w:ascii="Times New Roman" w:hAnsi="Times New Roman" w:eastAsia="宋体" w:cs="Times New Roman"/>
          <w:color w:val="auto"/>
          <w:sz w:val="28"/>
          <w:szCs w:val="28"/>
          <w:lang w:val="en-US" w:eastAsia="zh-CN" w:bidi="ar-SA"/>
        </w:rPr>
        <w:t>7500</w:t>
      </w:r>
      <w:r>
        <w:rPr>
          <w:rFonts w:ascii="Times New Roman" w:hAnsi="宋体" w:eastAsia="宋体" w:cs="Times New Roman"/>
          <w:color w:val="auto"/>
          <w:sz w:val="28"/>
          <w:szCs w:val="28"/>
          <w:lang w:val="en-US" w:eastAsia="zh-CN" w:bidi="ar-SA"/>
        </w:rPr>
        <w:t>余升</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复核员虽对卸油操作步骤进行了检查</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但未发现卸油员的操作失误</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造成冒油事件发生。由于发现冒油后</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立即启动应急预案并上报公司</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分公司和地方政府紧急联动</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密切配合，及时高效地处置外泄油品，没有造成次生灾害。</w:t>
      </w:r>
    </w:p>
    <w:p w14:paraId="4DA10D27">
      <w:pPr>
        <w:widowControl w:val="0"/>
        <w:tabs>
          <w:tab w:val="left" w:pos="1035"/>
          <w:tab w:val="center" w:pos="4153"/>
        </w:tabs>
        <w:topLinePunct/>
        <w:snapToGrid w:val="0"/>
        <w:spacing w:line="360" w:lineRule="auto"/>
        <w:ind w:firstLine="560" w:firstLineChars="200"/>
        <w:jc w:val="both"/>
        <w:rPr>
          <w:rFonts w:ascii="Times New Roman" w:hAnsi="宋体" w:eastAsia="宋体" w:cs="Times New Roman"/>
          <w:color w:val="auto"/>
          <w:sz w:val="28"/>
          <w:szCs w:val="28"/>
          <w:lang w:val="en-US" w:eastAsia="zh-CN" w:bidi="ar-SA"/>
        </w:rPr>
      </w:pPr>
      <w:r>
        <w:rPr>
          <w:rFonts w:ascii="Times New Roman" w:hAnsi="宋体" w:eastAsia="宋体" w:cs="Times New Roman"/>
          <w:color w:val="auto"/>
          <w:sz w:val="28"/>
          <w:szCs w:val="28"/>
          <w:lang w:val="en-US" w:eastAsia="zh-CN" w:bidi="ar-SA"/>
        </w:rPr>
        <w:t>主要原因</w:t>
      </w:r>
      <w:r>
        <w:rPr>
          <w:rFonts w:hint="eastAsia" w:ascii="Times New Roman" w:hAnsi="宋体" w:eastAsia="宋体" w:cs="Times New Roman"/>
          <w:color w:val="auto"/>
          <w:sz w:val="28"/>
          <w:szCs w:val="28"/>
          <w:lang w:val="en-US" w:eastAsia="zh-CN" w:bidi="ar-SA"/>
        </w:rPr>
        <w:t>：</w:t>
      </w:r>
    </w:p>
    <w:p w14:paraId="7E75CE84">
      <w:pPr>
        <w:widowControl w:val="0"/>
        <w:tabs>
          <w:tab w:val="left" w:pos="1035"/>
          <w:tab w:val="center" w:pos="4153"/>
        </w:tabs>
        <w:topLinePunct/>
        <w:snapToGrid w:val="0"/>
        <w:spacing w:line="360" w:lineRule="auto"/>
        <w:ind w:firstLine="560" w:firstLineChars="200"/>
        <w:jc w:val="both"/>
        <w:rPr>
          <w:rFonts w:ascii="Times New Roman" w:hAnsi="宋体" w:eastAsia="宋体" w:cs="Times New Roman"/>
          <w:color w:val="auto"/>
          <w:sz w:val="28"/>
          <w:szCs w:val="28"/>
          <w:lang w:val="en-US" w:eastAsia="zh-CN" w:bidi="ar-SA"/>
        </w:rPr>
      </w:pPr>
      <w:r>
        <w:rPr>
          <w:rFonts w:hint="eastAsia" w:ascii="Times New Roman" w:hAnsi="宋体" w:eastAsia="宋体" w:cs="Times New Roman"/>
          <w:color w:val="auto"/>
          <w:sz w:val="28"/>
          <w:szCs w:val="28"/>
          <w:lang w:val="en-US" w:eastAsia="zh-CN" w:bidi="ar-SA"/>
        </w:rPr>
        <w:t>（</w:t>
      </w:r>
      <w:r>
        <w:rPr>
          <w:rFonts w:hint="eastAsia" w:ascii="Times New Roman" w:hAnsi="Times New Roman" w:eastAsia="宋体" w:cs="Times New Roman"/>
          <w:color w:val="auto"/>
          <w:sz w:val="28"/>
          <w:szCs w:val="28"/>
          <w:lang w:val="en-US" w:eastAsia="zh-CN" w:bidi="ar-SA"/>
        </w:rPr>
        <w:t>1</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卸油员接卸油“十步法”程序执行不严，将本应连接至</w:t>
      </w:r>
      <w:r>
        <w:rPr>
          <w:rFonts w:ascii="Times New Roman" w:hAnsi="Times New Roman" w:eastAsia="宋体" w:cs="Times New Roman"/>
          <w:color w:val="auto"/>
          <w:sz w:val="28"/>
          <w:szCs w:val="28"/>
          <w:lang w:val="en-US" w:eastAsia="zh-CN" w:bidi="ar-SA"/>
        </w:rPr>
        <w:t>4</w:t>
      </w:r>
      <w:r>
        <w:rPr>
          <w:rFonts w:ascii="Times New Roman" w:hAnsi="宋体" w:eastAsia="宋体" w:cs="Times New Roman"/>
          <w:color w:val="auto"/>
          <w:sz w:val="28"/>
          <w:szCs w:val="28"/>
          <w:lang w:val="en-US" w:eastAsia="zh-CN" w:bidi="ar-SA"/>
        </w:rPr>
        <w:t>#罐的卸油胶管错误连接至</w:t>
      </w:r>
      <w:r>
        <w:rPr>
          <w:rFonts w:ascii="Times New Roman" w:hAnsi="Times New Roman" w:eastAsia="宋体" w:cs="Times New Roman"/>
          <w:color w:val="auto"/>
          <w:sz w:val="28"/>
          <w:szCs w:val="28"/>
          <w:lang w:val="en-US" w:eastAsia="zh-CN" w:bidi="ar-SA"/>
        </w:rPr>
        <w:t>3</w:t>
      </w:r>
      <w:r>
        <w:rPr>
          <w:rFonts w:ascii="Times New Roman" w:hAnsi="宋体" w:eastAsia="宋体" w:cs="Times New Roman"/>
          <w:color w:val="auto"/>
          <w:sz w:val="28"/>
          <w:szCs w:val="28"/>
          <w:lang w:val="en-US" w:eastAsia="zh-CN" w:bidi="ar-SA"/>
        </w:rPr>
        <w:t>#罐，导致油品外溢</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复核员未认真核对确认，未及时发现和纠正错误。</w:t>
      </w:r>
    </w:p>
    <w:p w14:paraId="0D41DA5C">
      <w:pPr>
        <w:widowControl w:val="0"/>
        <w:tabs>
          <w:tab w:val="left" w:pos="1035"/>
          <w:tab w:val="center" w:pos="4153"/>
        </w:tabs>
        <w:topLinePunct/>
        <w:snapToGrid w:val="0"/>
        <w:spacing w:line="360" w:lineRule="auto"/>
        <w:ind w:firstLine="560" w:firstLineChars="200"/>
        <w:jc w:val="both"/>
        <w:rPr>
          <w:rFonts w:ascii="Times New Roman" w:hAnsi="宋体" w:eastAsia="宋体" w:cs="Times New Roman"/>
          <w:color w:val="auto"/>
          <w:sz w:val="28"/>
          <w:szCs w:val="28"/>
          <w:lang w:val="en-US" w:eastAsia="zh-CN" w:bidi="ar-SA"/>
        </w:rPr>
      </w:pPr>
      <w:r>
        <w:rPr>
          <w:rFonts w:hint="eastAsia" w:ascii="Times New Roman" w:hAnsi="宋体" w:eastAsia="宋体" w:cs="Times New Roman"/>
          <w:color w:val="auto"/>
          <w:sz w:val="28"/>
          <w:szCs w:val="28"/>
          <w:lang w:val="en-US" w:eastAsia="zh-CN" w:bidi="ar-SA"/>
        </w:rPr>
        <w:t>（</w:t>
      </w:r>
      <w:r>
        <w:rPr>
          <w:rFonts w:hint="eastAsia" w:ascii="Times New Roman" w:hAnsi="Times New Roman" w:eastAsia="宋体" w:cs="Times New Roman"/>
          <w:color w:val="auto"/>
          <w:sz w:val="28"/>
          <w:szCs w:val="28"/>
          <w:lang w:val="en-US" w:eastAsia="zh-CN" w:bidi="ar-SA"/>
        </w:rPr>
        <w:t>2</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作业巡检走过场，未能及时发现和处置冒油。</w:t>
      </w:r>
    </w:p>
    <w:p w14:paraId="7E30F7E2">
      <w:pPr>
        <w:widowControl w:val="0"/>
        <w:tabs>
          <w:tab w:val="left" w:pos="1035"/>
          <w:tab w:val="center" w:pos="4153"/>
        </w:tabs>
        <w:topLinePunct/>
        <w:snapToGrid w:val="0"/>
        <w:spacing w:line="360" w:lineRule="auto"/>
        <w:ind w:firstLine="560" w:firstLineChars="200"/>
        <w:jc w:val="both"/>
        <w:rPr>
          <w:rFonts w:ascii="Times New Roman" w:hAnsi="宋体" w:eastAsia="宋体" w:cs="Times New Roman"/>
          <w:color w:val="auto"/>
          <w:sz w:val="28"/>
          <w:szCs w:val="28"/>
          <w:lang w:val="en-US" w:eastAsia="zh-CN" w:bidi="ar-SA"/>
        </w:rPr>
      </w:pPr>
      <w:r>
        <w:rPr>
          <w:rFonts w:hint="eastAsia" w:ascii="Times New Roman" w:hAnsi="宋体" w:eastAsia="宋体" w:cs="Times New Roman"/>
          <w:color w:val="auto"/>
          <w:sz w:val="28"/>
          <w:szCs w:val="28"/>
          <w:lang w:val="en-US" w:eastAsia="zh-CN" w:bidi="ar-SA"/>
        </w:rPr>
        <w:t>（</w:t>
      </w:r>
      <w:r>
        <w:rPr>
          <w:rFonts w:hint="eastAsia" w:ascii="Times New Roman" w:hAnsi="Times New Roman" w:eastAsia="宋体" w:cs="Times New Roman"/>
          <w:color w:val="auto"/>
          <w:sz w:val="28"/>
          <w:szCs w:val="28"/>
          <w:lang w:val="en-US" w:eastAsia="zh-CN" w:bidi="ar-SA"/>
        </w:rPr>
        <w:t>3</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区域、油站教育培训不到位</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安全例会、事故案例学习</w:t>
      </w:r>
      <w:r>
        <w:rPr>
          <w:rFonts w:hint="eastAsia" w:hAnsi="宋体" w:cs="Times New Roman"/>
          <w:color w:val="auto"/>
          <w:sz w:val="28"/>
          <w:szCs w:val="28"/>
          <w:lang w:val="en-US" w:eastAsia="zh-CN" w:bidi="ar-SA"/>
        </w:rPr>
        <w:t>不</w:t>
      </w:r>
      <w:r>
        <w:rPr>
          <w:rFonts w:ascii="Times New Roman" w:hAnsi="宋体" w:eastAsia="宋体" w:cs="Times New Roman"/>
          <w:color w:val="auto"/>
          <w:sz w:val="28"/>
          <w:szCs w:val="28"/>
          <w:lang w:val="en-US" w:eastAsia="zh-CN" w:bidi="ar-SA"/>
        </w:rPr>
        <w:t>重视</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同类事件在系统内已发生过</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w:t>
      </w:r>
    </w:p>
    <w:p w14:paraId="0B991685">
      <w:pPr>
        <w:keepNext w:val="0"/>
        <w:keepLines w:val="0"/>
        <w:pageBreakBefore w:val="0"/>
        <w:widowControl w:val="0"/>
        <w:tabs>
          <w:tab w:val="left" w:pos="1035"/>
          <w:tab w:val="center" w:pos="4153"/>
        </w:tabs>
        <w:kinsoku/>
        <w:wordWrap/>
        <w:overflowPunct/>
        <w:topLinePunct/>
        <w:autoSpaceDE/>
        <w:autoSpaceDN/>
        <w:bidi w:val="0"/>
        <w:adjustRightInd/>
        <w:snapToGrid w:val="0"/>
        <w:spacing w:line="360" w:lineRule="auto"/>
        <w:ind w:firstLine="560" w:firstLineChars="200"/>
        <w:jc w:val="both"/>
        <w:textAlignment w:val="auto"/>
        <w:rPr>
          <w:rFonts w:ascii="Times New Roman" w:hAnsi="宋体" w:eastAsia="宋体" w:cs="Times New Roman"/>
          <w:color w:val="auto"/>
          <w:sz w:val="28"/>
          <w:szCs w:val="28"/>
          <w:lang w:val="en-US" w:eastAsia="zh-CN" w:bidi="ar-SA"/>
        </w:rPr>
      </w:pPr>
      <w:r>
        <w:rPr>
          <w:rFonts w:hint="eastAsia" w:ascii="Times New Roman" w:hAnsi="宋体" w:eastAsia="宋体" w:cs="Times New Roman"/>
          <w:color w:val="auto"/>
          <w:sz w:val="28"/>
          <w:szCs w:val="28"/>
          <w:lang w:val="en-US" w:eastAsia="zh-CN" w:bidi="ar-SA"/>
        </w:rPr>
        <w:t>（</w:t>
      </w:r>
      <w:r>
        <w:rPr>
          <w:rFonts w:hint="eastAsia" w:ascii="Times New Roman" w:hAnsi="Times New Roman" w:eastAsia="宋体" w:cs="Times New Roman"/>
          <w:color w:val="auto"/>
          <w:sz w:val="28"/>
          <w:szCs w:val="28"/>
          <w:lang w:val="en-US" w:eastAsia="zh-CN" w:bidi="ar-SA"/>
        </w:rPr>
        <w:t>4</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油罐计量孔密封不严，没有安装液位仪。</w:t>
      </w:r>
    </w:p>
    <w:p w14:paraId="7F283D0C">
      <w:pPr>
        <w:keepNext w:val="0"/>
        <w:keepLines w:val="0"/>
        <w:pageBreakBefore w:val="0"/>
        <w:widowControl w:val="0"/>
        <w:tabs>
          <w:tab w:val="left" w:pos="1035"/>
          <w:tab w:val="center" w:pos="4153"/>
        </w:tabs>
        <w:kinsoku/>
        <w:wordWrap/>
        <w:overflowPunct/>
        <w:topLinePunct/>
        <w:autoSpaceDE/>
        <w:autoSpaceDN/>
        <w:bidi w:val="0"/>
        <w:adjustRightInd/>
        <w:snapToGrid w:val="0"/>
        <w:spacing w:line="360" w:lineRule="auto"/>
        <w:ind w:firstLine="560" w:firstLineChars="200"/>
        <w:jc w:val="both"/>
        <w:textAlignment w:val="auto"/>
        <w:rPr>
          <w:rFonts w:hint="eastAsia" w:ascii="Times New Roman" w:hAnsi="宋体" w:eastAsia="宋体" w:cs="Times New Roman"/>
          <w:color w:val="auto"/>
          <w:sz w:val="28"/>
          <w:szCs w:val="28"/>
          <w:lang w:val="en-US" w:eastAsia="zh-CN" w:bidi="ar-SA"/>
        </w:rPr>
      </w:pPr>
      <w:r>
        <w:rPr>
          <w:rFonts w:hint="eastAsia" w:ascii="Times New Roman" w:hAnsi="宋体" w:eastAsia="宋体" w:cs="Times New Roman"/>
          <w:color w:val="auto"/>
          <w:sz w:val="28"/>
          <w:szCs w:val="28"/>
          <w:lang w:val="en-US" w:eastAsia="zh-CN" w:bidi="ar-SA"/>
        </w:rPr>
        <w:t>（</w:t>
      </w:r>
      <w:r>
        <w:rPr>
          <w:rFonts w:hint="eastAsia" w:ascii="Times New Roman" w:hAnsi="Times New Roman" w:eastAsia="宋体" w:cs="Times New Roman"/>
          <w:color w:val="auto"/>
          <w:sz w:val="28"/>
          <w:szCs w:val="28"/>
          <w:lang w:val="en-US" w:eastAsia="zh-CN" w:bidi="ar-SA"/>
        </w:rPr>
        <w:t>5</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安全隐患排查治理不到位</w:t>
      </w:r>
      <w:r>
        <w:rPr>
          <w:rFonts w:hint="eastAsia" w:ascii="Times New Roman" w:hAnsi="宋体" w:eastAsia="宋体" w:cs="Times New Roman"/>
          <w:color w:val="auto"/>
          <w:sz w:val="28"/>
          <w:szCs w:val="28"/>
          <w:lang w:val="en-US" w:eastAsia="zh-CN" w:bidi="ar-SA"/>
        </w:rPr>
        <w:t>，</w:t>
      </w:r>
      <w:r>
        <w:rPr>
          <w:rFonts w:ascii="Times New Roman" w:hAnsi="宋体" w:eastAsia="宋体" w:cs="Times New Roman"/>
          <w:color w:val="auto"/>
          <w:sz w:val="28"/>
          <w:szCs w:val="28"/>
          <w:lang w:val="en-US" w:eastAsia="zh-CN" w:bidi="ar-SA"/>
        </w:rPr>
        <w:t>操作井存在孔洞并与地下排水管网连通的安全隐患未能排查并整改。</w:t>
      </w:r>
    </w:p>
    <w:p w14:paraId="7194494B">
      <w:pPr>
        <w:keepNext w:val="0"/>
        <w:keepLines w:val="0"/>
        <w:pageBreakBefore w:val="0"/>
        <w:kinsoku/>
        <w:wordWrap/>
        <w:overflowPunct/>
        <w:autoSpaceDE/>
        <w:autoSpaceDN/>
        <w:bidi w:val="0"/>
        <w:adjustRightInd/>
        <w:snapToGrid w:val="0"/>
        <w:spacing w:line="360" w:lineRule="auto"/>
        <w:ind w:firstLine="562"/>
        <w:textAlignment w:val="auto"/>
        <w:rPr>
          <w:b/>
          <w:bCs/>
          <w:color w:val="auto"/>
        </w:rPr>
      </w:pPr>
      <w:r>
        <w:rPr>
          <w:rFonts w:hint="eastAsia" w:ascii="Times New Roman" w:hAnsi="Times New Roman"/>
          <w:b/>
          <w:bCs/>
          <w:color w:val="auto"/>
        </w:rPr>
        <w:t>2</w:t>
      </w:r>
      <w:r>
        <w:rPr>
          <w:rFonts w:hint="eastAsia"/>
          <w:b/>
          <w:bCs/>
          <w:color w:val="auto"/>
        </w:rPr>
        <w:t>）</w:t>
      </w:r>
      <w:r>
        <w:rPr>
          <w:b/>
          <w:bCs/>
          <w:color w:val="auto"/>
        </w:rPr>
        <w:t>事故预防对策措施</w:t>
      </w:r>
    </w:p>
    <w:p w14:paraId="604BC7E0">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color w:val="auto"/>
        </w:rPr>
        <w:t>以上</w:t>
      </w:r>
      <w:r>
        <w:rPr>
          <w:rFonts w:hint="eastAsia"/>
          <w:color w:val="auto"/>
          <w:lang w:eastAsia="zh-CN"/>
        </w:rPr>
        <w:t>两起事故</w:t>
      </w:r>
      <w:r>
        <w:rPr>
          <w:color w:val="auto"/>
        </w:rPr>
        <w:t>不但造成设施设备的破坏和财产损失，还造成人员伤亡，社会影响较大。为吸取这</w:t>
      </w:r>
      <w:r>
        <w:rPr>
          <w:rFonts w:hint="eastAsia"/>
          <w:color w:val="auto"/>
          <w:lang w:eastAsia="zh-CN"/>
        </w:rPr>
        <w:t>两起事故</w:t>
      </w:r>
      <w:r>
        <w:rPr>
          <w:color w:val="auto"/>
        </w:rPr>
        <w:t>教训，防止同类事故再次发生，现提出以下对策措施，以便油站在日常管理中执行：</w:t>
      </w:r>
    </w:p>
    <w:p w14:paraId="7C752246">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1</w:t>
      </w:r>
      <w:r>
        <w:rPr>
          <w:rFonts w:hint="eastAsia"/>
          <w:color w:val="auto"/>
        </w:rPr>
        <w:t>）</w:t>
      </w:r>
      <w:r>
        <w:rPr>
          <w:color w:val="auto"/>
        </w:rPr>
        <w:t>应认真落实安全生产主体责任，进一步加强危险化学品生产经营单位日常安全管理。</w:t>
      </w:r>
    </w:p>
    <w:p w14:paraId="03919401">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①</w:t>
      </w:r>
      <w:r>
        <w:rPr>
          <w:color w:val="auto"/>
        </w:rPr>
        <w:t>制定完善并严格执行各项安全管理制度和操作规程，杜绝“三违”现象的发生；</w:t>
      </w:r>
    </w:p>
    <w:p w14:paraId="34A6AFFF">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②</w:t>
      </w:r>
      <w:r>
        <w:rPr>
          <w:color w:val="auto"/>
        </w:rPr>
        <w:t>加强生产过程和作业现场的安全管理，制订落实相应的安全管理措施和事故应急救援预案，做好应对和处置各类事故的准备措施；</w:t>
      </w:r>
    </w:p>
    <w:p w14:paraId="3BE56E1A">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③</w:t>
      </w:r>
      <w:r>
        <w:rPr>
          <w:color w:val="auto"/>
        </w:rPr>
        <w:t>进一步强化对流动作业过程的安全检查，消除事故隐患，防止火灾、爆炸、中毒窒息等事故的再次发生。</w:t>
      </w:r>
    </w:p>
    <w:p w14:paraId="423312C0">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2</w:t>
      </w:r>
      <w:r>
        <w:rPr>
          <w:rFonts w:hint="eastAsia"/>
          <w:color w:val="auto"/>
        </w:rPr>
        <w:t>）</w:t>
      </w:r>
      <w:r>
        <w:rPr>
          <w:color w:val="auto"/>
        </w:rPr>
        <w:t>加强教育培训，提高从业人员的安全意识。</w:t>
      </w:r>
    </w:p>
    <w:p w14:paraId="541FAE6B">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color w:val="auto"/>
        </w:rPr>
        <w:t>应加强流动作业的安全生产管理，加强对从业人员的安全教育和培训，对从事特种作业和危险性作业的员工，要</w:t>
      </w:r>
      <w:r>
        <w:rPr>
          <w:rFonts w:hint="eastAsia"/>
          <w:color w:val="auto"/>
          <w:lang w:eastAsia="zh-CN"/>
        </w:rPr>
        <w:t>开展有针对性的培训</w:t>
      </w:r>
      <w:r>
        <w:rPr>
          <w:color w:val="auto"/>
        </w:rPr>
        <w:t>教育，</w:t>
      </w:r>
      <w:r>
        <w:rPr>
          <w:rFonts w:hint="eastAsia"/>
          <w:color w:val="auto"/>
          <w:lang w:eastAsia="zh-CN"/>
        </w:rPr>
        <w:t>提高</w:t>
      </w:r>
      <w:r>
        <w:rPr>
          <w:color w:val="auto"/>
        </w:rPr>
        <w:t>安全意识、操作技能、应急自救和处置能力。</w:t>
      </w:r>
    </w:p>
    <w:p w14:paraId="0E51BC46">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rFonts w:hint="eastAsia"/>
          <w:color w:val="auto"/>
        </w:rPr>
        <w:t>（</w:t>
      </w:r>
      <w:r>
        <w:rPr>
          <w:rFonts w:hint="eastAsia" w:ascii="Times New Roman" w:hAnsi="Times New Roman"/>
          <w:color w:val="auto"/>
        </w:rPr>
        <w:t>3</w:t>
      </w:r>
      <w:r>
        <w:rPr>
          <w:rFonts w:hint="eastAsia"/>
          <w:color w:val="auto"/>
        </w:rPr>
        <w:t>）</w:t>
      </w:r>
      <w:r>
        <w:rPr>
          <w:color w:val="auto"/>
        </w:rPr>
        <w:t>切实加强检修施工安全管理。</w:t>
      </w:r>
    </w:p>
    <w:p w14:paraId="77BD7D56">
      <w:pPr>
        <w:keepNext w:val="0"/>
        <w:keepLines w:val="0"/>
        <w:pageBreakBefore w:val="0"/>
        <w:widowControl w:val="0"/>
        <w:kinsoku/>
        <w:wordWrap/>
        <w:overflowPunct/>
        <w:topLinePunct w:val="0"/>
        <w:autoSpaceDE/>
        <w:autoSpaceDN/>
        <w:bidi w:val="0"/>
        <w:adjustRightInd/>
        <w:snapToGrid w:val="0"/>
        <w:spacing w:line="360" w:lineRule="auto"/>
        <w:ind w:firstLine="560"/>
        <w:textAlignment w:val="auto"/>
        <w:rPr>
          <w:color w:val="auto"/>
        </w:rPr>
      </w:pPr>
      <w:r>
        <w:rPr>
          <w:color w:val="auto"/>
        </w:rPr>
        <w:t>加强检修作业现场的安全管理，认真落实检修施工安全管理规定。</w:t>
      </w:r>
    </w:p>
    <w:p w14:paraId="116ADB16">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①</w:t>
      </w:r>
      <w:r>
        <w:rPr>
          <w:color w:val="auto"/>
        </w:rPr>
        <w:t>严格作业票制度，所有危险化学品检修作业项目必须编制作业方案及相应的安全措施并经施工单位负责人批准；</w:t>
      </w:r>
    </w:p>
    <w:p w14:paraId="071181EA">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②</w:t>
      </w:r>
      <w:r>
        <w:rPr>
          <w:color w:val="auto"/>
        </w:rPr>
        <w:t>严禁雇请无法定资质的施工队伍和无相应资格人员从事检修施工作业；</w:t>
      </w:r>
    </w:p>
    <w:p w14:paraId="69A9C04B">
      <w:pPr>
        <w:keepNext w:val="0"/>
        <w:keepLines w:val="0"/>
        <w:pageBreakBefore w:val="0"/>
        <w:kinsoku/>
        <w:wordWrap/>
        <w:overflowPunct/>
        <w:autoSpaceDE/>
        <w:autoSpaceDN/>
        <w:bidi w:val="0"/>
        <w:adjustRightInd/>
        <w:snapToGrid w:val="0"/>
        <w:spacing w:line="360" w:lineRule="auto"/>
        <w:ind w:firstLine="560"/>
        <w:textAlignment w:val="auto"/>
        <w:rPr>
          <w:color w:val="auto"/>
        </w:rPr>
      </w:pPr>
      <w:r>
        <w:rPr>
          <w:rFonts w:hint="eastAsia"/>
          <w:color w:val="auto"/>
        </w:rPr>
        <w:t>③</w:t>
      </w:r>
      <w:r>
        <w:rPr>
          <w:color w:val="auto"/>
        </w:rPr>
        <w:t>加强施工现场安全管理，落实专人负责检修作业人员的现场监护工作，落实各项施工作业安全措施，同时加强对作业现场安全管理检查。</w:t>
      </w:r>
    </w:p>
    <w:p w14:paraId="157F1791">
      <w:pPr>
        <w:rPr>
          <w:rFonts w:hint="eastAsia"/>
          <w:color w:val="auto"/>
        </w:rPr>
      </w:pPr>
      <w:bookmarkStart w:id="753" w:name="_Toc30403"/>
      <w:bookmarkStart w:id="754" w:name="_Toc27191"/>
      <w:bookmarkStart w:id="755" w:name="_Toc16982"/>
      <w:bookmarkStart w:id="756" w:name="_Toc28578"/>
      <w:bookmarkStart w:id="757" w:name="_Toc18411"/>
      <w:bookmarkStart w:id="758" w:name="_Toc9871"/>
      <w:bookmarkStart w:id="759" w:name="_Toc16526"/>
      <w:r>
        <w:rPr>
          <w:rFonts w:hint="eastAsia"/>
          <w:color w:val="auto"/>
        </w:rPr>
        <w:br w:type="page"/>
      </w:r>
    </w:p>
    <w:p w14:paraId="3568919D">
      <w:pPr>
        <w:pStyle w:val="3"/>
        <w:snapToGrid w:val="0"/>
        <w:spacing w:line="360" w:lineRule="auto"/>
        <w:rPr>
          <w:rFonts w:hint="default" w:ascii="Times New Roman" w:hAnsi="Times New Roman" w:cs="Times New Roman"/>
          <w:color w:val="auto"/>
        </w:rPr>
      </w:pPr>
      <w:bookmarkStart w:id="760" w:name="_Toc25586"/>
      <w:r>
        <w:rPr>
          <w:rFonts w:hint="default" w:ascii="Times New Roman" w:hAnsi="Times New Roman" w:cs="Times New Roman"/>
          <w:color w:val="auto"/>
        </w:rPr>
        <w:t>附件</w:t>
      </w:r>
      <w:r>
        <w:rPr>
          <w:rFonts w:hint="eastAsia" w:cs="Times New Roman"/>
          <w:color w:val="auto"/>
          <w:lang w:val="en-US" w:eastAsia="zh-CN"/>
        </w:rPr>
        <w:t>五</w:t>
      </w:r>
      <w:r>
        <w:rPr>
          <w:rFonts w:hint="default" w:ascii="Times New Roman" w:hAnsi="Times New Roman" w:cs="Times New Roman"/>
          <w:color w:val="auto"/>
        </w:rPr>
        <w:t>：安全评价依据</w:t>
      </w:r>
      <w:bookmarkEnd w:id="750"/>
      <w:bookmarkEnd w:id="753"/>
      <w:bookmarkEnd w:id="754"/>
      <w:bookmarkEnd w:id="755"/>
      <w:bookmarkEnd w:id="756"/>
      <w:bookmarkEnd w:id="757"/>
      <w:bookmarkEnd w:id="758"/>
      <w:bookmarkEnd w:id="759"/>
      <w:bookmarkEnd w:id="760"/>
    </w:p>
    <w:p w14:paraId="2B3FF886">
      <w:pPr>
        <w:pStyle w:val="4"/>
        <w:snapToGrid w:val="0"/>
        <w:spacing w:line="360" w:lineRule="auto"/>
        <w:jc w:val="both"/>
        <w:rPr>
          <w:rFonts w:hint="default" w:ascii="Times New Roman" w:hAnsi="Times New Roman" w:eastAsia="黑体" w:cs="Times New Roman"/>
          <w:color w:val="auto"/>
        </w:rPr>
      </w:pPr>
      <w:bookmarkStart w:id="761" w:name="_Toc21509"/>
      <w:bookmarkStart w:id="762" w:name="_Toc22881"/>
      <w:bookmarkStart w:id="763" w:name="_Toc32169"/>
      <w:bookmarkStart w:id="764" w:name="_Toc207511357"/>
      <w:bookmarkStart w:id="765" w:name="_Toc201393136"/>
      <w:r>
        <w:rPr>
          <w:rFonts w:hint="default" w:ascii="Times New Roman" w:hAnsi="Times New Roman" w:eastAsia="黑体" w:cs="Times New Roman"/>
          <w:color w:val="auto"/>
        </w:rPr>
        <w:t>F</w:t>
      </w:r>
      <w:r>
        <w:rPr>
          <w:rFonts w:hint="eastAsia" w:eastAsia="黑体" w:cs="Times New Roman"/>
          <w:color w:val="auto"/>
          <w:lang w:val="en-US" w:eastAsia="zh-CN"/>
        </w:rPr>
        <w:t>5</w:t>
      </w:r>
      <w:r>
        <w:rPr>
          <w:rFonts w:hint="default" w:ascii="Times New Roman" w:hAnsi="Times New Roman" w:eastAsia="黑体" w:cs="Times New Roman"/>
          <w:color w:val="auto"/>
        </w:rPr>
        <w:t>.1法律依据</w:t>
      </w:r>
      <w:bookmarkEnd w:id="761"/>
      <w:bookmarkEnd w:id="762"/>
      <w:bookmarkEnd w:id="763"/>
    </w:p>
    <w:p w14:paraId="7F2EA44C">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 w:val="30"/>
          <w:szCs w:val="30"/>
        </w:rPr>
        <w:t>《中华人民共和国安全生产法》（</w:t>
      </w:r>
      <w:r>
        <w:rPr>
          <w:rFonts w:hint="default" w:ascii="Times New Roman" w:hAnsi="Times New Roman" w:cs="Times New Roman"/>
          <w:color w:val="auto"/>
          <w:kern w:val="0"/>
          <w:szCs w:val="28"/>
          <w:lang w:bidi="ar"/>
        </w:rPr>
        <w:t>中华人民共和国主席令</w:t>
      </w:r>
      <w:r>
        <w:rPr>
          <w:rFonts w:hint="eastAsia" w:ascii="Times New Roman" w:hAnsi="Times New Roman" w:cs="Times New Roman"/>
          <w:color w:val="auto"/>
          <w:kern w:val="0"/>
          <w:szCs w:val="28"/>
          <w:lang w:eastAsia="zh-CN" w:bidi="ar"/>
        </w:rPr>
        <w:t>〔2002〕</w:t>
      </w:r>
      <w:r>
        <w:rPr>
          <w:rFonts w:hint="default" w:ascii="Times New Roman" w:hAnsi="Times New Roman" w:cs="Times New Roman"/>
          <w:color w:val="auto"/>
          <w:kern w:val="0"/>
          <w:szCs w:val="28"/>
          <w:lang w:bidi="ar"/>
        </w:rPr>
        <w:t>第七十号公布，主席令</w:t>
      </w:r>
      <w:r>
        <w:rPr>
          <w:rFonts w:hint="eastAsia" w:ascii="Times New Roman" w:hAnsi="Times New Roman" w:cs="Times New Roman"/>
          <w:color w:val="auto"/>
          <w:kern w:val="0"/>
          <w:szCs w:val="28"/>
          <w:lang w:eastAsia="zh-CN" w:bidi="ar"/>
        </w:rPr>
        <w:t>〔2021〕</w:t>
      </w:r>
      <w:r>
        <w:rPr>
          <w:rFonts w:hint="default" w:ascii="Times New Roman" w:hAnsi="Times New Roman" w:cs="Times New Roman"/>
          <w:color w:val="auto"/>
          <w:kern w:val="0"/>
          <w:szCs w:val="28"/>
          <w:lang w:bidi="ar"/>
        </w:rPr>
        <w:t>第八十八号修订）</w:t>
      </w:r>
      <w:r>
        <w:rPr>
          <w:rFonts w:hint="default" w:ascii="Times New Roman" w:hAnsi="Times New Roman" w:cs="Times New Roman"/>
          <w:color w:val="auto"/>
          <w:kern w:val="0"/>
          <w:szCs w:val="28"/>
          <w:lang w:eastAsia="zh-CN" w:bidi="ar"/>
        </w:rPr>
        <w:t>；</w:t>
      </w:r>
    </w:p>
    <w:p w14:paraId="4A4DEC67">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rPr>
        <w:t>《中华人民共和国消防法》（中华人民共和国主席令</w:t>
      </w:r>
      <w:r>
        <w:rPr>
          <w:rFonts w:hint="eastAsia" w:cs="Times New Roman"/>
          <w:color w:val="auto"/>
          <w:szCs w:val="28"/>
          <w:lang w:eastAsia="zh-CN"/>
        </w:rPr>
        <w:t>〔1998〕</w:t>
      </w:r>
      <w:r>
        <w:rPr>
          <w:rFonts w:hint="default" w:ascii="Times New Roman" w:hAnsi="Times New Roman" w:cs="Times New Roman"/>
          <w:color w:val="auto"/>
          <w:szCs w:val="28"/>
        </w:rPr>
        <w:t>第四号公布，主席令</w:t>
      </w:r>
      <w:r>
        <w:rPr>
          <w:rFonts w:hint="eastAsia" w:cs="Times New Roman"/>
          <w:color w:val="auto"/>
          <w:szCs w:val="28"/>
          <w:lang w:eastAsia="zh-CN"/>
        </w:rPr>
        <w:t>〔2021〕</w:t>
      </w:r>
      <w:r>
        <w:rPr>
          <w:rFonts w:hint="default" w:ascii="Times New Roman" w:hAnsi="Times New Roman" w:cs="Times New Roman"/>
          <w:color w:val="auto"/>
          <w:szCs w:val="28"/>
        </w:rPr>
        <w:t>第八十一号修订）</w:t>
      </w:r>
      <w:r>
        <w:rPr>
          <w:rFonts w:hint="default" w:ascii="Times New Roman" w:hAnsi="Times New Roman" w:cs="Times New Roman"/>
          <w:color w:val="auto"/>
          <w:szCs w:val="28"/>
          <w:lang w:eastAsia="zh-CN"/>
        </w:rPr>
        <w:t>；</w:t>
      </w:r>
    </w:p>
    <w:p w14:paraId="0C17F134">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lang w:eastAsia="zh-CN"/>
        </w:rPr>
        <w:t>《中华人民共和国突发事件应对法》（</w:t>
      </w:r>
      <w:r>
        <w:rPr>
          <w:rFonts w:hint="eastAsia" w:cs="Times New Roman"/>
          <w:color w:val="auto"/>
          <w:szCs w:val="28"/>
          <w:lang w:eastAsia="zh-CN"/>
        </w:rPr>
        <w:t>2024年6月28日第十四届全国人民代表大会常务委员会第十次会议修订</w:t>
      </w:r>
      <w:r>
        <w:rPr>
          <w:rFonts w:hint="default" w:ascii="Times New Roman" w:hAnsi="Times New Roman" w:cs="Times New Roman"/>
          <w:color w:val="auto"/>
          <w:szCs w:val="28"/>
          <w:lang w:eastAsia="zh-CN"/>
        </w:rPr>
        <w:t>）；</w:t>
      </w:r>
    </w:p>
    <w:p w14:paraId="7A698D10">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rPr>
        <w:t>《中华人民共和国劳动法》（中华人民共和国主席令</w:t>
      </w:r>
      <w:r>
        <w:rPr>
          <w:rFonts w:hint="eastAsia" w:cs="Times New Roman"/>
          <w:color w:val="auto"/>
          <w:szCs w:val="28"/>
          <w:lang w:eastAsia="zh-CN"/>
        </w:rPr>
        <w:t>〔1994〕</w:t>
      </w:r>
      <w:r>
        <w:rPr>
          <w:rFonts w:hint="default" w:ascii="Times New Roman" w:hAnsi="Times New Roman" w:cs="Times New Roman"/>
          <w:color w:val="auto"/>
          <w:szCs w:val="28"/>
        </w:rPr>
        <w:t>第二十八号公布，主席令</w:t>
      </w:r>
      <w:r>
        <w:rPr>
          <w:rFonts w:hint="eastAsia" w:cs="Times New Roman"/>
          <w:color w:val="auto"/>
          <w:szCs w:val="28"/>
          <w:lang w:eastAsia="zh-CN"/>
        </w:rPr>
        <w:t>〔2018〕</w:t>
      </w:r>
      <w:r>
        <w:rPr>
          <w:rFonts w:hint="default" w:ascii="Times New Roman" w:hAnsi="Times New Roman" w:cs="Times New Roman"/>
          <w:color w:val="auto"/>
          <w:szCs w:val="28"/>
        </w:rPr>
        <w:t>第二十四号修订）</w:t>
      </w:r>
      <w:r>
        <w:rPr>
          <w:rFonts w:hint="default" w:ascii="Times New Roman" w:hAnsi="Times New Roman" w:cs="Times New Roman"/>
          <w:color w:val="auto"/>
          <w:szCs w:val="28"/>
          <w:lang w:eastAsia="zh-CN"/>
        </w:rPr>
        <w:t>；</w:t>
      </w:r>
    </w:p>
    <w:p w14:paraId="2204212F">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rPr>
        <w:t>《中华人民共和国环境保护法》（中华人民共和国主席令</w:t>
      </w:r>
      <w:r>
        <w:rPr>
          <w:rFonts w:hint="eastAsia" w:cs="Times New Roman"/>
          <w:color w:val="auto"/>
          <w:lang w:eastAsia="zh-CN"/>
        </w:rPr>
        <w:t>〔1989〕</w:t>
      </w:r>
      <w:r>
        <w:rPr>
          <w:rFonts w:hint="default" w:ascii="Times New Roman" w:hAnsi="Times New Roman" w:cs="Times New Roman"/>
          <w:color w:val="auto"/>
        </w:rPr>
        <w:t>第二十二号公布，主席令</w:t>
      </w:r>
      <w:r>
        <w:rPr>
          <w:rFonts w:hint="eastAsia" w:cs="Times New Roman"/>
          <w:color w:val="auto"/>
          <w:lang w:eastAsia="zh-CN"/>
        </w:rPr>
        <w:t>〔2014〕</w:t>
      </w:r>
      <w:r>
        <w:rPr>
          <w:rFonts w:hint="default" w:ascii="Times New Roman" w:hAnsi="Times New Roman" w:cs="Times New Roman"/>
          <w:color w:val="auto"/>
        </w:rPr>
        <w:t>第九号修订）</w:t>
      </w:r>
      <w:r>
        <w:rPr>
          <w:rFonts w:hint="default" w:ascii="Times New Roman" w:hAnsi="Times New Roman" w:cs="Times New Roman"/>
          <w:color w:val="auto"/>
          <w:lang w:eastAsia="zh-CN"/>
        </w:rPr>
        <w:t>；</w:t>
      </w:r>
    </w:p>
    <w:p w14:paraId="5CB85731">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rPr>
        <w:t>《中华人民共和国职业病防治法》（中华人民共和国主席令</w:t>
      </w:r>
      <w:r>
        <w:rPr>
          <w:rFonts w:hint="eastAsia" w:cs="Times New Roman"/>
          <w:color w:val="auto"/>
          <w:lang w:eastAsia="zh-CN"/>
        </w:rPr>
        <w:t>〔2001〕</w:t>
      </w:r>
      <w:r>
        <w:rPr>
          <w:rFonts w:hint="default" w:ascii="Times New Roman" w:hAnsi="Times New Roman" w:cs="Times New Roman"/>
          <w:color w:val="auto"/>
        </w:rPr>
        <w:t>第六十号公布，主席令</w:t>
      </w:r>
      <w:r>
        <w:rPr>
          <w:rFonts w:hint="eastAsia" w:cs="Times New Roman"/>
          <w:color w:val="auto"/>
          <w:lang w:eastAsia="zh-CN"/>
        </w:rPr>
        <w:t>〔2018〕</w:t>
      </w:r>
      <w:r>
        <w:rPr>
          <w:rFonts w:hint="default" w:ascii="Times New Roman" w:hAnsi="Times New Roman" w:cs="Times New Roman"/>
          <w:color w:val="auto"/>
        </w:rPr>
        <w:t>第二十四号修订）</w:t>
      </w:r>
      <w:r>
        <w:rPr>
          <w:rFonts w:hint="default" w:ascii="Times New Roman" w:hAnsi="Times New Roman" w:cs="Times New Roman"/>
          <w:color w:val="auto"/>
          <w:lang w:eastAsia="zh-CN"/>
        </w:rPr>
        <w:t>；</w:t>
      </w:r>
    </w:p>
    <w:p w14:paraId="78417795">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rPr>
        <w:t>《中华人民共和国气象法》（中华人民共和国主席令〔2003〕第八号公布，主席令</w:t>
      </w:r>
      <w:r>
        <w:rPr>
          <w:rFonts w:hint="eastAsia" w:cs="Times New Roman"/>
          <w:color w:val="auto"/>
          <w:lang w:eastAsia="zh-CN"/>
        </w:rPr>
        <w:t>〔2021〕</w:t>
      </w:r>
      <w:r>
        <w:rPr>
          <w:rFonts w:hint="default" w:ascii="Times New Roman" w:hAnsi="Times New Roman" w:cs="Times New Roman"/>
          <w:color w:val="auto"/>
        </w:rPr>
        <w:t>第八十一号修订）</w:t>
      </w:r>
      <w:r>
        <w:rPr>
          <w:rFonts w:hint="default" w:ascii="Times New Roman" w:hAnsi="Times New Roman" w:cs="Times New Roman"/>
          <w:color w:val="auto"/>
          <w:lang w:eastAsia="zh-CN"/>
        </w:rPr>
        <w:t>；</w:t>
      </w:r>
    </w:p>
    <w:p w14:paraId="39197DFE">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rPr>
        <w:t>《中华人民共和国道路交通安全法》（中华人民共和国主席令〔2003〕第8号，2021年81号令修改）</w:t>
      </w:r>
      <w:r>
        <w:rPr>
          <w:rFonts w:hint="eastAsia" w:ascii="Times New Roman" w:hAnsi="Times New Roman" w:cs="Times New Roman"/>
          <w:color w:val="auto"/>
          <w:lang w:eastAsia="zh-CN"/>
        </w:rPr>
        <w:t>；</w:t>
      </w:r>
    </w:p>
    <w:p w14:paraId="7A77C083">
      <w:pPr>
        <w:numPr>
          <w:ilvl w:val="0"/>
          <w:numId w:val="18"/>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rPr>
        <w:t>《中华人民共和国大气污染防治法》（中华人民共和国主席令</w:t>
      </w:r>
      <w:r>
        <w:rPr>
          <w:rFonts w:hint="eastAsia" w:cs="Times New Roman"/>
          <w:color w:val="auto"/>
          <w:lang w:eastAsia="zh-CN"/>
        </w:rPr>
        <w:t>〔1987〕</w:t>
      </w:r>
      <w:r>
        <w:rPr>
          <w:rFonts w:hint="default" w:ascii="Times New Roman" w:hAnsi="Times New Roman" w:cs="Times New Roman"/>
          <w:color w:val="auto"/>
        </w:rPr>
        <w:t>第五十七号公布，主席令</w:t>
      </w:r>
      <w:r>
        <w:rPr>
          <w:rFonts w:hint="eastAsia" w:cs="Times New Roman"/>
          <w:color w:val="auto"/>
          <w:lang w:eastAsia="zh-CN"/>
        </w:rPr>
        <w:t>〔2018〕</w:t>
      </w:r>
      <w:r>
        <w:rPr>
          <w:rFonts w:hint="default" w:ascii="Times New Roman" w:hAnsi="Times New Roman" w:cs="Times New Roman"/>
          <w:color w:val="auto"/>
        </w:rPr>
        <w:t>第十六号修订）</w:t>
      </w:r>
      <w:r>
        <w:rPr>
          <w:rFonts w:hint="default" w:ascii="Times New Roman" w:hAnsi="Times New Roman" w:cs="Times New Roman"/>
          <w:color w:val="auto"/>
          <w:lang w:eastAsia="zh-CN"/>
        </w:rPr>
        <w:t>；</w:t>
      </w:r>
    </w:p>
    <w:p w14:paraId="35589048">
      <w:pPr>
        <w:numPr>
          <w:ilvl w:val="0"/>
          <w:numId w:val="18"/>
        </w:numPr>
        <w:adjustRightInd w:val="0"/>
        <w:snapToGrid w:val="0"/>
        <w:spacing w:line="360" w:lineRule="auto"/>
        <w:ind w:left="1128" w:firstLineChars="0"/>
        <w:rPr>
          <w:color w:val="auto"/>
        </w:rPr>
      </w:pPr>
      <w:r>
        <w:rPr>
          <w:rFonts w:hint="eastAsia"/>
          <w:color w:val="auto"/>
        </w:rPr>
        <w:t>《中华人民共和国防洪法》（中华人民共和国主席令</w:t>
      </w:r>
      <w:r>
        <w:rPr>
          <w:rFonts w:hint="eastAsia"/>
          <w:color w:val="auto"/>
          <w:lang w:eastAsia="zh-CN"/>
        </w:rPr>
        <w:t>〔1997〕</w:t>
      </w:r>
      <w:r>
        <w:rPr>
          <w:rFonts w:hint="eastAsia"/>
          <w:color w:val="auto"/>
        </w:rPr>
        <w:t>第八十八号公布，主席令</w:t>
      </w:r>
      <w:r>
        <w:rPr>
          <w:rFonts w:hint="eastAsia"/>
          <w:color w:val="auto"/>
          <w:lang w:eastAsia="zh-CN"/>
        </w:rPr>
        <w:t>〔2016〕</w:t>
      </w:r>
      <w:r>
        <w:rPr>
          <w:rFonts w:hint="eastAsia"/>
          <w:color w:val="auto"/>
        </w:rPr>
        <w:t>第四十八号修订）</w:t>
      </w:r>
      <w:r>
        <w:rPr>
          <w:rFonts w:hint="eastAsia"/>
          <w:color w:val="auto"/>
          <w:lang w:eastAsia="zh-CN"/>
        </w:rPr>
        <w:t>；</w:t>
      </w:r>
    </w:p>
    <w:p w14:paraId="474E4BF6">
      <w:pPr>
        <w:numPr>
          <w:ilvl w:val="0"/>
          <w:numId w:val="18"/>
        </w:numPr>
        <w:adjustRightInd w:val="0"/>
        <w:snapToGrid w:val="0"/>
        <w:spacing w:line="360" w:lineRule="auto"/>
        <w:ind w:left="1128" w:firstLineChars="0"/>
        <w:rPr>
          <w:color w:val="auto"/>
        </w:rPr>
      </w:pPr>
      <w:r>
        <w:rPr>
          <w:rFonts w:hint="eastAsia"/>
          <w:color w:val="auto"/>
        </w:rPr>
        <w:t>《中华人民共和国水污染防治法》</w:t>
      </w:r>
      <w:r>
        <w:rPr>
          <w:rFonts w:hint="eastAsia"/>
          <w:color w:val="auto"/>
          <w:lang w:eastAsia="zh-CN"/>
        </w:rPr>
        <w:t>（中华人民共和国主席令〔2008〕第八十七号公布，主席令〔2017〕第七十号修订）；</w:t>
      </w:r>
    </w:p>
    <w:p w14:paraId="5B95ED2F">
      <w:pPr>
        <w:numPr>
          <w:ilvl w:val="0"/>
          <w:numId w:val="18"/>
        </w:numPr>
        <w:adjustRightInd w:val="0"/>
        <w:snapToGrid w:val="0"/>
        <w:spacing w:line="360" w:lineRule="auto"/>
        <w:ind w:left="1128" w:firstLineChars="0"/>
        <w:rPr>
          <w:color w:val="auto"/>
        </w:rPr>
      </w:pPr>
      <w:r>
        <w:rPr>
          <w:rFonts w:hint="eastAsia"/>
          <w:color w:val="auto"/>
        </w:rPr>
        <w:t>《中华人民共和国固体废物污染防治法》</w:t>
      </w:r>
      <w:r>
        <w:rPr>
          <w:rFonts w:hint="eastAsia"/>
          <w:color w:val="auto"/>
          <w:lang w:eastAsia="zh-CN"/>
        </w:rPr>
        <w:t>（中华人民共和国主席令〔1995〕第五十八号公布，主席令〔2020〕第四十三号修订）。</w:t>
      </w:r>
    </w:p>
    <w:p w14:paraId="54C27A19">
      <w:pPr>
        <w:pStyle w:val="4"/>
        <w:snapToGrid w:val="0"/>
        <w:spacing w:line="360" w:lineRule="auto"/>
        <w:jc w:val="both"/>
        <w:rPr>
          <w:rFonts w:hint="eastAsia" w:ascii="黑体" w:hAnsi="黑体" w:eastAsia="黑体"/>
          <w:color w:val="auto"/>
        </w:rPr>
      </w:pPr>
      <w:bookmarkStart w:id="766" w:name="_Toc26767"/>
      <w:bookmarkStart w:id="767" w:name="_Toc10670"/>
      <w:bookmarkStart w:id="768" w:name="_Toc29906"/>
      <w:r>
        <w:rPr>
          <w:rFonts w:hint="eastAsia" w:ascii="Times New Roman" w:hAnsi="Times New Roman" w:eastAsia="黑体"/>
          <w:color w:val="auto"/>
        </w:rPr>
        <w:t>F</w:t>
      </w:r>
      <w:r>
        <w:rPr>
          <w:rFonts w:hint="eastAsia" w:eastAsia="黑体"/>
          <w:color w:val="auto"/>
          <w:lang w:val="en-US" w:eastAsia="zh-CN"/>
        </w:rPr>
        <w:t>5</w:t>
      </w:r>
      <w:r>
        <w:rPr>
          <w:rFonts w:hint="eastAsia" w:ascii="黑体" w:hAnsi="黑体" w:eastAsia="黑体"/>
          <w:color w:val="auto"/>
        </w:rPr>
        <w:t>.</w:t>
      </w:r>
      <w:r>
        <w:rPr>
          <w:rFonts w:hint="eastAsia" w:ascii="Times New Roman" w:hAnsi="Times New Roman" w:eastAsia="黑体"/>
          <w:color w:val="auto"/>
        </w:rPr>
        <w:t>2</w:t>
      </w:r>
      <w:bookmarkEnd w:id="766"/>
      <w:bookmarkEnd w:id="767"/>
      <w:r>
        <w:rPr>
          <w:rFonts w:hint="eastAsia" w:ascii="黑体" w:hAnsi="黑体" w:eastAsia="黑体"/>
          <w:color w:val="auto"/>
        </w:rPr>
        <w:t>行政法规依据</w:t>
      </w:r>
      <w:bookmarkEnd w:id="768"/>
    </w:p>
    <w:p w14:paraId="6BAB4DA0">
      <w:pPr>
        <w:numPr>
          <w:ilvl w:val="0"/>
          <w:numId w:val="19"/>
        </w:numPr>
        <w:adjustRightInd w:val="0"/>
        <w:snapToGrid w:val="0"/>
        <w:spacing w:line="360" w:lineRule="auto"/>
        <w:ind w:left="1128" w:firstLineChars="0"/>
        <w:rPr>
          <w:color w:val="auto"/>
        </w:rPr>
      </w:pPr>
      <w:r>
        <w:rPr>
          <w:rFonts w:hint="eastAsia"/>
          <w:color w:val="auto"/>
        </w:rPr>
        <w:t>《生产安全事故应急条例》（中华人民共和国国务院令[</w:t>
      </w:r>
      <w:r>
        <w:rPr>
          <w:rFonts w:hint="eastAsia" w:ascii="Times New Roman" w:hAnsi="Times New Roman"/>
          <w:color w:val="auto"/>
        </w:rPr>
        <w:t>2019</w:t>
      </w:r>
      <w:r>
        <w:rPr>
          <w:rFonts w:hint="eastAsia"/>
          <w:color w:val="auto"/>
        </w:rPr>
        <w:t>]第</w:t>
      </w:r>
      <w:r>
        <w:rPr>
          <w:rFonts w:hint="eastAsia" w:ascii="Times New Roman" w:hAnsi="Times New Roman"/>
          <w:color w:val="auto"/>
        </w:rPr>
        <w:t>708</w:t>
      </w:r>
      <w:r>
        <w:rPr>
          <w:rFonts w:hint="eastAsia"/>
          <w:color w:val="auto"/>
        </w:rPr>
        <w:t>号公布）；</w:t>
      </w:r>
    </w:p>
    <w:p w14:paraId="09DC25A0">
      <w:pPr>
        <w:numPr>
          <w:ilvl w:val="0"/>
          <w:numId w:val="19"/>
        </w:numPr>
        <w:adjustRightInd w:val="0"/>
        <w:snapToGrid w:val="0"/>
        <w:spacing w:line="360" w:lineRule="auto"/>
        <w:ind w:left="1128" w:firstLineChars="0"/>
        <w:rPr>
          <w:rFonts w:hint="eastAsia"/>
          <w:color w:val="auto"/>
        </w:rPr>
      </w:pPr>
      <w:r>
        <w:rPr>
          <w:rFonts w:hint="eastAsia"/>
          <w:color w:val="auto"/>
        </w:rPr>
        <w:t>《建设工程安全生产管理条例》（中华人民共和国国务院令[</w:t>
      </w:r>
      <w:r>
        <w:rPr>
          <w:rFonts w:hint="eastAsia" w:ascii="Times New Roman" w:hAnsi="Times New Roman"/>
          <w:color w:val="auto"/>
        </w:rPr>
        <w:t>2003</w:t>
      </w:r>
      <w:r>
        <w:rPr>
          <w:rFonts w:hint="eastAsia"/>
          <w:color w:val="auto"/>
        </w:rPr>
        <w:t>]第</w:t>
      </w:r>
      <w:r>
        <w:rPr>
          <w:rFonts w:hint="eastAsia" w:ascii="Times New Roman" w:hAnsi="Times New Roman"/>
          <w:color w:val="auto"/>
        </w:rPr>
        <w:t>393</w:t>
      </w:r>
      <w:r>
        <w:rPr>
          <w:rFonts w:hint="eastAsia"/>
          <w:color w:val="auto"/>
        </w:rPr>
        <w:t>号公布）；</w:t>
      </w:r>
    </w:p>
    <w:p w14:paraId="2277B5DE">
      <w:pPr>
        <w:numPr>
          <w:ilvl w:val="0"/>
          <w:numId w:val="19"/>
        </w:numPr>
        <w:adjustRightInd w:val="0"/>
        <w:snapToGrid w:val="0"/>
        <w:spacing w:line="360" w:lineRule="auto"/>
        <w:ind w:left="1128" w:firstLineChars="0"/>
        <w:rPr>
          <w:color w:val="auto"/>
        </w:rPr>
      </w:pPr>
      <w:r>
        <w:rPr>
          <w:rFonts w:hint="eastAsia"/>
          <w:color w:val="auto"/>
        </w:rPr>
        <w:t>《危险化学品安全管理条例》（中华人民共和国国务院令[</w:t>
      </w:r>
      <w:r>
        <w:rPr>
          <w:rFonts w:hint="eastAsia" w:ascii="Times New Roman" w:hAnsi="Times New Roman"/>
          <w:color w:val="auto"/>
        </w:rPr>
        <w:t>2002</w:t>
      </w:r>
      <w:r>
        <w:rPr>
          <w:rFonts w:hint="eastAsia"/>
          <w:color w:val="auto"/>
        </w:rPr>
        <w:t>]第</w:t>
      </w:r>
      <w:r>
        <w:rPr>
          <w:rFonts w:hint="eastAsia" w:ascii="Times New Roman" w:hAnsi="Times New Roman"/>
          <w:color w:val="auto"/>
        </w:rPr>
        <w:t>344</w:t>
      </w:r>
      <w:r>
        <w:rPr>
          <w:rFonts w:hint="eastAsia"/>
          <w:color w:val="auto"/>
        </w:rPr>
        <w:t>号公布，国务院令[</w:t>
      </w:r>
      <w:r>
        <w:rPr>
          <w:rFonts w:hint="eastAsia" w:ascii="Times New Roman" w:hAnsi="Times New Roman"/>
          <w:color w:val="auto"/>
        </w:rPr>
        <w:t>2013</w:t>
      </w:r>
      <w:r>
        <w:rPr>
          <w:rFonts w:hint="eastAsia"/>
          <w:color w:val="auto"/>
        </w:rPr>
        <w:t>]第</w:t>
      </w:r>
      <w:r>
        <w:rPr>
          <w:rFonts w:hint="eastAsia" w:ascii="Times New Roman" w:hAnsi="Times New Roman"/>
          <w:color w:val="auto"/>
        </w:rPr>
        <w:t>645</w:t>
      </w:r>
      <w:r>
        <w:rPr>
          <w:rFonts w:hint="eastAsia"/>
          <w:color w:val="auto"/>
        </w:rPr>
        <w:t>号修订）；</w:t>
      </w:r>
    </w:p>
    <w:p w14:paraId="329BAF01">
      <w:pPr>
        <w:numPr>
          <w:ilvl w:val="0"/>
          <w:numId w:val="19"/>
        </w:numPr>
        <w:adjustRightInd w:val="0"/>
        <w:snapToGrid w:val="0"/>
        <w:spacing w:line="360" w:lineRule="auto"/>
        <w:ind w:left="1128" w:firstLineChars="0"/>
        <w:rPr>
          <w:rFonts w:hint="eastAsia"/>
          <w:color w:val="auto"/>
        </w:rPr>
      </w:pPr>
      <w:r>
        <w:rPr>
          <w:rFonts w:hint="eastAsia"/>
          <w:color w:val="auto"/>
        </w:rPr>
        <w:t>《工伤保险条例》（中华人民共和国国务院令[</w:t>
      </w:r>
      <w:r>
        <w:rPr>
          <w:rFonts w:hint="eastAsia" w:ascii="Times New Roman" w:hAnsi="Times New Roman"/>
          <w:color w:val="auto"/>
        </w:rPr>
        <w:t>2003</w:t>
      </w:r>
      <w:r>
        <w:rPr>
          <w:rFonts w:hint="eastAsia"/>
          <w:color w:val="auto"/>
        </w:rPr>
        <w:t>]第</w:t>
      </w:r>
      <w:r>
        <w:rPr>
          <w:rFonts w:hint="eastAsia" w:ascii="Times New Roman" w:hAnsi="Times New Roman"/>
          <w:color w:val="auto"/>
        </w:rPr>
        <w:t>375</w:t>
      </w:r>
      <w:r>
        <w:rPr>
          <w:rFonts w:hint="eastAsia"/>
          <w:color w:val="auto"/>
        </w:rPr>
        <w:t>号公布，国务院令[</w:t>
      </w:r>
      <w:r>
        <w:rPr>
          <w:rFonts w:hint="eastAsia" w:ascii="Times New Roman" w:hAnsi="Times New Roman"/>
          <w:color w:val="auto"/>
        </w:rPr>
        <w:t>2010</w:t>
      </w:r>
      <w:r>
        <w:rPr>
          <w:rFonts w:hint="eastAsia"/>
          <w:color w:val="auto"/>
        </w:rPr>
        <w:t>]第</w:t>
      </w:r>
      <w:r>
        <w:rPr>
          <w:rFonts w:hint="eastAsia" w:ascii="Times New Roman" w:hAnsi="Times New Roman"/>
          <w:color w:val="auto"/>
        </w:rPr>
        <w:t>586</w:t>
      </w:r>
      <w:r>
        <w:rPr>
          <w:rFonts w:hint="eastAsia"/>
          <w:color w:val="auto"/>
        </w:rPr>
        <w:t>号修订）；</w:t>
      </w:r>
    </w:p>
    <w:p w14:paraId="52463FDD">
      <w:pPr>
        <w:numPr>
          <w:ilvl w:val="0"/>
          <w:numId w:val="19"/>
        </w:numPr>
        <w:adjustRightInd w:val="0"/>
        <w:snapToGrid w:val="0"/>
        <w:spacing w:line="360" w:lineRule="auto"/>
        <w:ind w:left="1128" w:firstLineChars="0"/>
        <w:rPr>
          <w:rFonts w:hint="eastAsia"/>
          <w:color w:val="auto"/>
        </w:rPr>
      </w:pPr>
      <w:r>
        <w:rPr>
          <w:rFonts w:hint="eastAsia"/>
          <w:color w:val="auto"/>
        </w:rPr>
        <w:t>《生产安全事故报告和调查处理条例》（中华人民共和国国务院令[</w:t>
      </w:r>
      <w:r>
        <w:rPr>
          <w:rFonts w:hint="eastAsia" w:ascii="Times New Roman" w:hAnsi="Times New Roman"/>
          <w:color w:val="auto"/>
        </w:rPr>
        <w:t>2007</w:t>
      </w:r>
      <w:r>
        <w:rPr>
          <w:rFonts w:hint="eastAsia"/>
          <w:color w:val="auto"/>
        </w:rPr>
        <w:t>]第</w:t>
      </w:r>
      <w:r>
        <w:rPr>
          <w:rFonts w:hint="eastAsia" w:ascii="Times New Roman" w:hAnsi="Times New Roman"/>
          <w:color w:val="auto"/>
        </w:rPr>
        <w:t>493</w:t>
      </w:r>
      <w:r>
        <w:rPr>
          <w:rFonts w:hint="eastAsia"/>
          <w:color w:val="auto"/>
        </w:rPr>
        <w:t>号公布）；</w:t>
      </w:r>
    </w:p>
    <w:p w14:paraId="52D51C58">
      <w:pPr>
        <w:numPr>
          <w:ilvl w:val="0"/>
          <w:numId w:val="19"/>
        </w:numPr>
        <w:adjustRightInd w:val="0"/>
        <w:snapToGrid w:val="0"/>
        <w:spacing w:line="360" w:lineRule="auto"/>
        <w:ind w:left="1128" w:firstLineChars="0"/>
        <w:rPr>
          <w:color w:val="auto"/>
        </w:rPr>
      </w:pPr>
      <w:r>
        <w:rPr>
          <w:rFonts w:hint="eastAsia"/>
          <w:color w:val="auto"/>
        </w:rPr>
        <w:t>《劳动保障监察条例》（中华人民共和国国务院令[</w:t>
      </w:r>
      <w:r>
        <w:rPr>
          <w:rFonts w:hint="eastAsia" w:ascii="Times New Roman" w:hAnsi="Times New Roman"/>
          <w:color w:val="auto"/>
        </w:rPr>
        <w:t>2004</w:t>
      </w:r>
      <w:r>
        <w:rPr>
          <w:rFonts w:hint="eastAsia"/>
          <w:color w:val="auto"/>
        </w:rPr>
        <w:t>]第</w:t>
      </w:r>
      <w:r>
        <w:rPr>
          <w:rFonts w:hint="eastAsia" w:ascii="Times New Roman" w:hAnsi="Times New Roman"/>
          <w:color w:val="auto"/>
        </w:rPr>
        <w:t>423</w:t>
      </w:r>
      <w:r>
        <w:rPr>
          <w:rFonts w:hint="eastAsia"/>
          <w:color w:val="auto"/>
        </w:rPr>
        <w:t>号公布）；</w:t>
      </w:r>
    </w:p>
    <w:p w14:paraId="2F12A375">
      <w:pPr>
        <w:numPr>
          <w:ilvl w:val="0"/>
          <w:numId w:val="19"/>
        </w:numPr>
        <w:adjustRightInd w:val="0"/>
        <w:snapToGrid w:val="0"/>
        <w:spacing w:line="360" w:lineRule="auto"/>
        <w:ind w:left="1128" w:firstLineChars="0"/>
        <w:rPr>
          <w:color w:val="auto"/>
        </w:rPr>
      </w:pPr>
      <w:r>
        <w:rPr>
          <w:rFonts w:hint="eastAsia"/>
          <w:color w:val="auto"/>
        </w:rPr>
        <w:t>《易制毒化学品管理条例》（中华人民共和国国务院令[</w:t>
      </w:r>
      <w:r>
        <w:rPr>
          <w:rFonts w:hint="eastAsia" w:ascii="Times New Roman" w:hAnsi="Times New Roman"/>
          <w:color w:val="auto"/>
        </w:rPr>
        <w:t>2005</w:t>
      </w:r>
      <w:r>
        <w:rPr>
          <w:rFonts w:hint="eastAsia"/>
          <w:color w:val="auto"/>
        </w:rPr>
        <w:t>]第</w:t>
      </w:r>
      <w:r>
        <w:rPr>
          <w:rFonts w:hint="eastAsia" w:ascii="Times New Roman" w:hAnsi="Times New Roman"/>
          <w:color w:val="auto"/>
        </w:rPr>
        <w:t>445</w:t>
      </w:r>
      <w:r>
        <w:rPr>
          <w:rFonts w:hint="eastAsia"/>
          <w:color w:val="auto"/>
        </w:rPr>
        <w:t>号公布，国务院令[</w:t>
      </w:r>
      <w:r>
        <w:rPr>
          <w:rFonts w:hint="eastAsia" w:ascii="Times New Roman" w:hAnsi="Times New Roman"/>
          <w:color w:val="auto"/>
        </w:rPr>
        <w:t>2018</w:t>
      </w:r>
      <w:r>
        <w:rPr>
          <w:rFonts w:hint="eastAsia"/>
          <w:color w:val="auto"/>
        </w:rPr>
        <w:t>]第</w:t>
      </w:r>
      <w:r>
        <w:rPr>
          <w:rFonts w:hint="eastAsia" w:ascii="Times New Roman" w:hAnsi="Times New Roman"/>
          <w:color w:val="auto"/>
        </w:rPr>
        <w:t>703</w:t>
      </w:r>
      <w:r>
        <w:rPr>
          <w:rFonts w:hint="eastAsia"/>
          <w:color w:val="auto"/>
        </w:rPr>
        <w:t>号修订，国办函</w:t>
      </w:r>
      <w:r>
        <w:rPr>
          <w:rFonts w:hint="eastAsia"/>
          <w:color w:val="auto"/>
          <w:lang w:eastAsia="zh-CN"/>
        </w:rPr>
        <w:t>〔</w:t>
      </w:r>
      <w:r>
        <w:rPr>
          <w:rFonts w:hint="eastAsia" w:ascii="Times New Roman" w:hAnsi="Times New Roman"/>
          <w:color w:val="auto"/>
        </w:rPr>
        <w:t>2021</w:t>
      </w:r>
      <w:r>
        <w:rPr>
          <w:rFonts w:hint="eastAsia"/>
          <w:color w:val="auto"/>
          <w:lang w:eastAsia="zh-CN"/>
        </w:rPr>
        <w:t>〕</w:t>
      </w:r>
      <w:r>
        <w:rPr>
          <w:rFonts w:hint="eastAsia" w:ascii="Times New Roman" w:hAnsi="Times New Roman"/>
          <w:color w:val="auto"/>
        </w:rPr>
        <w:t>58</w:t>
      </w:r>
      <w:r>
        <w:rPr>
          <w:rFonts w:hint="eastAsia"/>
          <w:color w:val="auto"/>
        </w:rPr>
        <w:t>号）；</w:t>
      </w:r>
    </w:p>
    <w:p w14:paraId="7AE0AEE0">
      <w:pPr>
        <w:numPr>
          <w:ilvl w:val="0"/>
          <w:numId w:val="19"/>
        </w:numPr>
        <w:adjustRightInd w:val="0"/>
        <w:snapToGrid w:val="0"/>
        <w:spacing w:line="360" w:lineRule="auto"/>
        <w:ind w:left="1128" w:firstLineChars="0"/>
        <w:rPr>
          <w:rFonts w:hint="eastAsia"/>
          <w:color w:val="auto"/>
        </w:rPr>
      </w:pPr>
      <w:r>
        <w:rPr>
          <w:rFonts w:hint="eastAsia"/>
          <w:color w:val="auto"/>
        </w:rPr>
        <w:t>《公路安全保护条例》（中华人民共和国国务院令[</w:t>
      </w:r>
      <w:r>
        <w:rPr>
          <w:rFonts w:hint="eastAsia" w:ascii="Times New Roman" w:hAnsi="Times New Roman"/>
          <w:color w:val="auto"/>
        </w:rPr>
        <w:t>2011</w:t>
      </w:r>
      <w:r>
        <w:rPr>
          <w:rFonts w:hint="eastAsia"/>
          <w:color w:val="auto"/>
        </w:rPr>
        <w:t>]第</w:t>
      </w:r>
      <w:r>
        <w:rPr>
          <w:rFonts w:hint="eastAsia" w:ascii="Times New Roman" w:hAnsi="Times New Roman"/>
          <w:color w:val="auto"/>
        </w:rPr>
        <w:t>593</w:t>
      </w:r>
      <w:r>
        <w:rPr>
          <w:rFonts w:hint="eastAsia"/>
          <w:color w:val="auto"/>
        </w:rPr>
        <w:t>号公布）；</w:t>
      </w:r>
    </w:p>
    <w:p w14:paraId="4A1AD0E2">
      <w:pPr>
        <w:numPr>
          <w:ilvl w:val="0"/>
          <w:numId w:val="19"/>
        </w:numPr>
        <w:adjustRightInd w:val="0"/>
        <w:snapToGrid w:val="0"/>
        <w:spacing w:line="360" w:lineRule="auto"/>
        <w:ind w:left="1128" w:firstLineChars="0"/>
        <w:rPr>
          <w:color w:val="auto"/>
        </w:rPr>
      </w:pPr>
      <w:r>
        <w:rPr>
          <w:rFonts w:hint="eastAsia"/>
          <w:color w:val="auto"/>
        </w:rPr>
        <w:t>《铁路安全管理条例》（中华人民共和国国务院令[</w:t>
      </w:r>
      <w:r>
        <w:rPr>
          <w:rFonts w:hint="eastAsia" w:ascii="Times New Roman" w:hAnsi="Times New Roman"/>
          <w:color w:val="auto"/>
        </w:rPr>
        <w:t>2013</w:t>
      </w:r>
      <w:r>
        <w:rPr>
          <w:rFonts w:hint="eastAsia"/>
          <w:color w:val="auto"/>
        </w:rPr>
        <w:t>]第</w:t>
      </w:r>
      <w:r>
        <w:rPr>
          <w:rFonts w:hint="eastAsia" w:ascii="Times New Roman" w:hAnsi="Times New Roman"/>
          <w:color w:val="auto"/>
        </w:rPr>
        <w:t>639</w:t>
      </w:r>
      <w:r>
        <w:rPr>
          <w:rFonts w:hint="eastAsia"/>
          <w:color w:val="auto"/>
        </w:rPr>
        <w:t>号公布）；</w:t>
      </w:r>
    </w:p>
    <w:p w14:paraId="56EE0328">
      <w:pPr>
        <w:numPr>
          <w:ilvl w:val="0"/>
          <w:numId w:val="19"/>
        </w:numPr>
        <w:adjustRightInd w:val="0"/>
        <w:snapToGrid w:val="0"/>
        <w:spacing w:line="360" w:lineRule="auto"/>
        <w:ind w:left="1128" w:firstLineChars="0"/>
        <w:rPr>
          <w:color w:val="auto"/>
        </w:rPr>
      </w:pPr>
      <w:r>
        <w:rPr>
          <w:rFonts w:hint="eastAsia"/>
          <w:color w:val="auto"/>
        </w:rPr>
        <w:t>《中华人民共和国监控化学品管理条例》（中华人民共和国国务院令[</w:t>
      </w:r>
      <w:r>
        <w:rPr>
          <w:rFonts w:hint="eastAsia" w:ascii="Times New Roman" w:hAnsi="Times New Roman"/>
          <w:color w:val="auto"/>
        </w:rPr>
        <w:t>1995</w:t>
      </w:r>
      <w:r>
        <w:rPr>
          <w:rFonts w:hint="eastAsia"/>
          <w:color w:val="auto"/>
        </w:rPr>
        <w:t>]第</w:t>
      </w:r>
      <w:r>
        <w:rPr>
          <w:rFonts w:hint="eastAsia" w:ascii="Times New Roman" w:hAnsi="Times New Roman"/>
          <w:color w:val="auto"/>
        </w:rPr>
        <w:t>190</w:t>
      </w:r>
      <w:r>
        <w:rPr>
          <w:rFonts w:hint="eastAsia"/>
          <w:color w:val="auto"/>
        </w:rPr>
        <w:t>号公布；国务院令[</w:t>
      </w:r>
      <w:r>
        <w:rPr>
          <w:rFonts w:hint="eastAsia" w:ascii="Times New Roman" w:hAnsi="Times New Roman"/>
          <w:color w:val="auto"/>
        </w:rPr>
        <w:t>2011</w:t>
      </w:r>
      <w:r>
        <w:rPr>
          <w:rFonts w:hint="eastAsia"/>
          <w:color w:val="auto"/>
        </w:rPr>
        <w:t>]第</w:t>
      </w:r>
      <w:r>
        <w:rPr>
          <w:rFonts w:hint="eastAsia" w:ascii="Times New Roman" w:hAnsi="Times New Roman"/>
          <w:color w:val="auto"/>
        </w:rPr>
        <w:t>588</w:t>
      </w:r>
      <w:r>
        <w:rPr>
          <w:rFonts w:hint="eastAsia"/>
          <w:color w:val="auto"/>
        </w:rPr>
        <w:t>号修订）；</w:t>
      </w:r>
    </w:p>
    <w:p w14:paraId="3A8AF8FB">
      <w:pPr>
        <w:numPr>
          <w:ilvl w:val="0"/>
          <w:numId w:val="19"/>
        </w:numPr>
        <w:adjustRightInd w:val="0"/>
        <w:snapToGrid w:val="0"/>
        <w:spacing w:line="360" w:lineRule="auto"/>
        <w:ind w:left="1128" w:firstLineChars="0"/>
        <w:rPr>
          <w:color w:val="auto"/>
        </w:rPr>
      </w:pPr>
      <w:r>
        <w:rPr>
          <w:rFonts w:hint="eastAsia"/>
          <w:color w:val="auto"/>
        </w:rPr>
        <w:t>《道路运输条例》（中华人民共和国国务院令[</w:t>
      </w:r>
      <w:r>
        <w:rPr>
          <w:rFonts w:hint="eastAsia" w:ascii="Times New Roman" w:hAnsi="Times New Roman"/>
          <w:color w:val="auto"/>
        </w:rPr>
        <w:t>2004</w:t>
      </w:r>
      <w:r>
        <w:rPr>
          <w:rFonts w:hint="eastAsia"/>
          <w:color w:val="auto"/>
        </w:rPr>
        <w:t>]第</w:t>
      </w:r>
      <w:r>
        <w:rPr>
          <w:rFonts w:hint="eastAsia" w:ascii="Times New Roman" w:hAnsi="Times New Roman"/>
          <w:color w:val="auto"/>
        </w:rPr>
        <w:t>406</w:t>
      </w:r>
      <w:r>
        <w:rPr>
          <w:rFonts w:hint="eastAsia"/>
          <w:color w:val="auto"/>
        </w:rPr>
        <w:t>号公布，国务院令[</w:t>
      </w:r>
      <w:r>
        <w:rPr>
          <w:rFonts w:hint="eastAsia" w:ascii="Times New Roman" w:hAnsi="Times New Roman"/>
          <w:color w:val="auto"/>
        </w:rPr>
        <w:t>2019</w:t>
      </w:r>
      <w:r>
        <w:rPr>
          <w:rFonts w:hint="eastAsia"/>
          <w:color w:val="auto"/>
        </w:rPr>
        <w:t>]第</w:t>
      </w:r>
      <w:r>
        <w:rPr>
          <w:rFonts w:hint="eastAsia" w:ascii="Times New Roman" w:hAnsi="Times New Roman"/>
          <w:color w:val="auto"/>
        </w:rPr>
        <w:t>709</w:t>
      </w:r>
      <w:r>
        <w:rPr>
          <w:rFonts w:hint="eastAsia"/>
          <w:color w:val="auto"/>
        </w:rPr>
        <w:t>号修订）</w:t>
      </w:r>
      <w:r>
        <w:rPr>
          <w:rFonts w:hint="eastAsia"/>
          <w:color w:val="auto"/>
          <w:lang w:eastAsia="zh-CN"/>
        </w:rPr>
        <w:t>；</w:t>
      </w:r>
    </w:p>
    <w:p w14:paraId="294B9139">
      <w:pPr>
        <w:numPr>
          <w:ilvl w:val="0"/>
          <w:numId w:val="19"/>
        </w:numPr>
        <w:adjustRightInd w:val="0"/>
        <w:snapToGrid w:val="0"/>
        <w:spacing w:line="360" w:lineRule="auto"/>
        <w:ind w:left="1128" w:firstLineChars="0"/>
        <w:rPr>
          <w:color w:val="auto"/>
        </w:rPr>
      </w:pPr>
      <w:r>
        <w:rPr>
          <w:rFonts w:hint="eastAsia"/>
          <w:color w:val="auto"/>
        </w:rPr>
        <w:t>《女职工劳动保护特别规定》（中华人民共和国国务院令[</w:t>
      </w:r>
      <w:r>
        <w:rPr>
          <w:rFonts w:hint="eastAsia" w:ascii="Times New Roman" w:hAnsi="Times New Roman"/>
          <w:color w:val="auto"/>
        </w:rPr>
        <w:t>2012</w:t>
      </w:r>
      <w:r>
        <w:rPr>
          <w:rFonts w:hint="eastAsia"/>
          <w:color w:val="auto"/>
        </w:rPr>
        <w:t>]第</w:t>
      </w:r>
      <w:r>
        <w:rPr>
          <w:rFonts w:hint="eastAsia" w:ascii="Times New Roman" w:hAnsi="Times New Roman"/>
          <w:color w:val="auto"/>
        </w:rPr>
        <w:t>619</w:t>
      </w:r>
      <w:r>
        <w:rPr>
          <w:rFonts w:hint="eastAsia"/>
          <w:color w:val="auto"/>
        </w:rPr>
        <w:t>号公布）；</w:t>
      </w:r>
    </w:p>
    <w:p w14:paraId="6C2D641C">
      <w:pPr>
        <w:numPr>
          <w:ilvl w:val="0"/>
          <w:numId w:val="19"/>
        </w:numPr>
        <w:adjustRightInd w:val="0"/>
        <w:snapToGrid w:val="0"/>
        <w:spacing w:line="360" w:lineRule="auto"/>
        <w:ind w:left="1128" w:firstLineChars="0"/>
        <w:rPr>
          <w:color w:val="auto"/>
        </w:rPr>
      </w:pPr>
      <w:r>
        <w:rPr>
          <w:rFonts w:hint="eastAsia"/>
          <w:color w:val="auto"/>
        </w:rPr>
        <w:t>《电力设施保护条例》（中华人民共和国国务院令[</w:t>
      </w:r>
      <w:r>
        <w:rPr>
          <w:rFonts w:hint="eastAsia" w:ascii="Times New Roman" w:hAnsi="Times New Roman"/>
          <w:color w:val="auto"/>
        </w:rPr>
        <w:t>2005</w:t>
      </w:r>
      <w:r>
        <w:rPr>
          <w:rFonts w:hint="eastAsia"/>
          <w:color w:val="auto"/>
        </w:rPr>
        <w:t>]第</w:t>
      </w:r>
      <w:r>
        <w:rPr>
          <w:rFonts w:hint="eastAsia" w:ascii="Times New Roman" w:hAnsi="Times New Roman"/>
          <w:color w:val="auto"/>
        </w:rPr>
        <w:t>432</w:t>
      </w:r>
      <w:r>
        <w:rPr>
          <w:rFonts w:hint="eastAsia"/>
          <w:color w:val="auto"/>
        </w:rPr>
        <w:t>号公布）；</w:t>
      </w:r>
    </w:p>
    <w:p w14:paraId="2ED31270">
      <w:pPr>
        <w:numPr>
          <w:ilvl w:val="0"/>
          <w:numId w:val="19"/>
        </w:numPr>
        <w:adjustRightInd w:val="0"/>
        <w:snapToGrid w:val="0"/>
        <w:spacing w:line="360" w:lineRule="auto"/>
        <w:ind w:left="1128" w:firstLineChars="0"/>
        <w:rPr>
          <w:color w:val="auto"/>
        </w:rPr>
      </w:pPr>
      <w:r>
        <w:rPr>
          <w:rFonts w:hint="eastAsia"/>
          <w:color w:val="auto"/>
        </w:rPr>
        <w:t>《气象灾害防御条例》（中华人民共和国国务院令[</w:t>
      </w:r>
      <w:r>
        <w:rPr>
          <w:rFonts w:hint="eastAsia" w:ascii="Times New Roman" w:hAnsi="Times New Roman"/>
          <w:color w:val="auto"/>
        </w:rPr>
        <w:t>2010</w:t>
      </w:r>
      <w:r>
        <w:rPr>
          <w:rFonts w:hint="eastAsia"/>
          <w:color w:val="auto"/>
        </w:rPr>
        <w:t>]第</w:t>
      </w:r>
      <w:r>
        <w:rPr>
          <w:rFonts w:hint="eastAsia" w:ascii="Times New Roman" w:hAnsi="Times New Roman"/>
          <w:color w:val="auto"/>
        </w:rPr>
        <w:t>570</w:t>
      </w:r>
      <w:r>
        <w:rPr>
          <w:rFonts w:hint="eastAsia"/>
          <w:color w:val="auto"/>
        </w:rPr>
        <w:t>号公布；国务院令[</w:t>
      </w:r>
      <w:r>
        <w:rPr>
          <w:rFonts w:hint="eastAsia" w:ascii="Times New Roman" w:hAnsi="Times New Roman"/>
          <w:color w:val="auto"/>
        </w:rPr>
        <w:t>2017</w:t>
      </w:r>
      <w:r>
        <w:rPr>
          <w:rFonts w:hint="eastAsia"/>
          <w:color w:val="auto"/>
        </w:rPr>
        <w:t>]第</w:t>
      </w:r>
      <w:r>
        <w:rPr>
          <w:rFonts w:hint="eastAsia" w:ascii="Times New Roman" w:hAnsi="Times New Roman"/>
          <w:color w:val="auto"/>
        </w:rPr>
        <w:t>687</w:t>
      </w:r>
      <w:r>
        <w:rPr>
          <w:rFonts w:hint="eastAsia"/>
          <w:color w:val="auto"/>
        </w:rPr>
        <w:t>号修订）</w:t>
      </w:r>
      <w:r>
        <w:rPr>
          <w:rFonts w:hint="eastAsia"/>
          <w:color w:val="auto"/>
          <w:lang w:eastAsia="zh-CN"/>
        </w:rPr>
        <w:t>。</w:t>
      </w:r>
    </w:p>
    <w:p w14:paraId="4E2DD6E6">
      <w:pPr>
        <w:pStyle w:val="4"/>
        <w:snapToGrid w:val="0"/>
        <w:spacing w:line="360" w:lineRule="auto"/>
        <w:jc w:val="both"/>
        <w:rPr>
          <w:rFonts w:hint="eastAsia" w:ascii="黑体" w:hAnsi="黑体" w:eastAsia="黑体"/>
          <w:color w:val="auto"/>
          <w:lang w:val="en-US" w:eastAsia="zh-CN"/>
        </w:rPr>
      </w:pPr>
      <w:bookmarkStart w:id="769" w:name="_Toc32669"/>
      <w:r>
        <w:rPr>
          <w:rFonts w:hint="eastAsia" w:ascii="Times New Roman" w:hAnsi="Times New Roman" w:eastAsia="黑体"/>
          <w:color w:val="auto"/>
          <w:lang w:val="en-US" w:eastAsia="zh-CN"/>
        </w:rPr>
        <w:t>F</w:t>
      </w:r>
      <w:r>
        <w:rPr>
          <w:rFonts w:hint="eastAsia" w:eastAsia="黑体"/>
          <w:color w:val="auto"/>
          <w:lang w:val="en-US" w:eastAsia="zh-CN"/>
        </w:rPr>
        <w:t>5</w:t>
      </w:r>
      <w:r>
        <w:rPr>
          <w:rFonts w:hint="eastAsia" w:ascii="黑体" w:hAnsi="黑体" w:eastAsia="黑体"/>
          <w:color w:val="auto"/>
          <w:lang w:val="en-US" w:eastAsia="zh-CN"/>
        </w:rPr>
        <w:t>.</w:t>
      </w:r>
      <w:r>
        <w:rPr>
          <w:rFonts w:hint="eastAsia" w:ascii="Times New Roman" w:hAnsi="Times New Roman" w:eastAsia="黑体"/>
          <w:color w:val="auto"/>
          <w:lang w:val="en-US" w:eastAsia="zh-CN"/>
        </w:rPr>
        <w:t>3</w:t>
      </w:r>
      <w:r>
        <w:rPr>
          <w:rFonts w:hint="eastAsia" w:ascii="黑体" w:hAnsi="黑体" w:eastAsia="黑体"/>
          <w:color w:val="auto"/>
          <w:lang w:val="en-US" w:eastAsia="zh-CN"/>
        </w:rPr>
        <w:t>部门规章及规范性文件</w:t>
      </w:r>
      <w:bookmarkEnd w:id="769"/>
    </w:p>
    <w:p w14:paraId="262D6258">
      <w:pPr>
        <w:numPr>
          <w:ilvl w:val="0"/>
          <w:numId w:val="20"/>
        </w:numPr>
        <w:adjustRightInd w:val="0"/>
        <w:snapToGrid w:val="0"/>
        <w:spacing w:line="360" w:lineRule="auto"/>
        <w:ind w:left="1128" w:firstLineChars="0"/>
        <w:rPr>
          <w:color w:val="auto"/>
        </w:rPr>
      </w:pPr>
      <w:r>
        <w:rPr>
          <w:rFonts w:hint="eastAsia"/>
          <w:color w:val="auto"/>
        </w:rPr>
        <w:t>《关于全面加强危险化学品安全生产工作的意见》</w:t>
      </w:r>
      <w:r>
        <w:rPr>
          <w:rFonts w:hint="eastAsia"/>
          <w:color w:val="auto"/>
          <w:lang w:eastAsia="zh-CN"/>
        </w:rPr>
        <w:t>（厅字〔</w:t>
      </w:r>
      <w:r>
        <w:rPr>
          <w:rFonts w:hint="eastAsia" w:ascii="Times New Roman" w:hAnsi="Times New Roman"/>
          <w:color w:val="auto"/>
          <w:lang w:eastAsia="zh-CN"/>
        </w:rPr>
        <w:t>2020</w:t>
      </w:r>
      <w:r>
        <w:rPr>
          <w:rFonts w:hint="eastAsia"/>
          <w:color w:val="auto"/>
          <w:lang w:eastAsia="zh-CN"/>
        </w:rPr>
        <w:t>〕</w:t>
      </w:r>
      <w:r>
        <w:rPr>
          <w:rFonts w:hint="eastAsia" w:ascii="Times New Roman" w:hAnsi="Times New Roman"/>
          <w:color w:val="auto"/>
          <w:lang w:eastAsia="zh-CN"/>
        </w:rPr>
        <w:t>3</w:t>
      </w:r>
      <w:r>
        <w:rPr>
          <w:rFonts w:hint="eastAsia"/>
          <w:color w:val="auto"/>
          <w:lang w:eastAsia="zh-CN"/>
        </w:rPr>
        <w:t>号）；</w:t>
      </w:r>
    </w:p>
    <w:p w14:paraId="1BFE6202">
      <w:pPr>
        <w:numPr>
          <w:ilvl w:val="0"/>
          <w:numId w:val="20"/>
        </w:numPr>
        <w:adjustRightInd w:val="0"/>
        <w:snapToGrid w:val="0"/>
        <w:spacing w:line="360" w:lineRule="auto"/>
        <w:ind w:left="1128" w:firstLineChars="0"/>
        <w:rPr>
          <w:rFonts w:hint="default" w:ascii="Times New Roman" w:hAnsi="Times New Roman" w:cs="Times New Roman"/>
          <w:color w:val="auto"/>
          <w:szCs w:val="28"/>
          <w:lang w:bidi="ar"/>
        </w:rPr>
      </w:pPr>
      <w:r>
        <w:rPr>
          <w:rFonts w:hint="eastAsia" w:ascii="宋体" w:hAnsi="宋体" w:cs="宋体"/>
          <w:color w:val="auto"/>
          <w:szCs w:val="28"/>
          <w:lang w:bidi="ar"/>
        </w:rPr>
        <w:t>《国务院关于进一</w:t>
      </w:r>
      <w:r>
        <w:rPr>
          <w:rFonts w:hint="default" w:ascii="Times New Roman" w:hAnsi="Times New Roman" w:cs="Times New Roman"/>
          <w:color w:val="auto"/>
          <w:szCs w:val="28"/>
          <w:lang w:bidi="ar"/>
        </w:rPr>
        <w:t>步加强企业安全生产工作的通知》（国发</w:t>
      </w:r>
      <w:r>
        <w:rPr>
          <w:rFonts w:hint="eastAsia" w:cs="Times New Roman"/>
          <w:color w:val="auto"/>
          <w:szCs w:val="28"/>
          <w:lang w:eastAsia="zh-CN" w:bidi="ar"/>
        </w:rPr>
        <w:t>〔</w:t>
      </w:r>
      <w:r>
        <w:rPr>
          <w:rFonts w:hint="default" w:ascii="Times New Roman" w:hAnsi="Times New Roman" w:cs="Times New Roman"/>
          <w:color w:val="auto"/>
          <w:szCs w:val="28"/>
          <w:lang w:bidi="ar"/>
        </w:rPr>
        <w:t>2010</w:t>
      </w:r>
      <w:r>
        <w:rPr>
          <w:rFonts w:hint="eastAsia" w:cs="Times New Roman"/>
          <w:color w:val="auto"/>
          <w:szCs w:val="28"/>
          <w:lang w:eastAsia="zh-CN" w:bidi="ar"/>
        </w:rPr>
        <w:t>〕</w:t>
      </w:r>
      <w:r>
        <w:rPr>
          <w:rFonts w:hint="default" w:ascii="Times New Roman" w:hAnsi="Times New Roman" w:cs="Times New Roman"/>
          <w:color w:val="auto"/>
          <w:szCs w:val="28"/>
          <w:lang w:bidi="ar"/>
        </w:rPr>
        <w:t>23号）；</w:t>
      </w:r>
    </w:p>
    <w:p w14:paraId="13063FE1">
      <w:pPr>
        <w:numPr>
          <w:ilvl w:val="0"/>
          <w:numId w:val="20"/>
        </w:numPr>
        <w:adjustRightInd w:val="0"/>
        <w:snapToGrid w:val="0"/>
        <w:spacing w:line="360" w:lineRule="auto"/>
        <w:ind w:left="1128" w:firstLineChars="0"/>
        <w:rPr>
          <w:rFonts w:hint="default" w:ascii="Times New Roman" w:hAnsi="Times New Roman" w:cs="Times New Roman"/>
          <w:color w:val="auto"/>
          <w:szCs w:val="28"/>
          <w:lang w:bidi="ar"/>
        </w:rPr>
      </w:pPr>
      <w:r>
        <w:rPr>
          <w:rFonts w:hint="default" w:ascii="Times New Roman" w:hAnsi="Times New Roman" w:cs="Times New Roman"/>
          <w:color w:val="auto"/>
          <w:szCs w:val="28"/>
          <w:lang w:bidi="ar"/>
        </w:rPr>
        <w:t>《国务院关于进一步加强消防工作的意见》（国发</w:t>
      </w:r>
      <w:r>
        <w:rPr>
          <w:rFonts w:hint="eastAsia" w:cs="Times New Roman"/>
          <w:color w:val="auto"/>
          <w:szCs w:val="28"/>
          <w:lang w:eastAsia="zh-CN" w:bidi="ar"/>
        </w:rPr>
        <w:t>〔</w:t>
      </w:r>
      <w:r>
        <w:rPr>
          <w:rFonts w:hint="default" w:ascii="Times New Roman" w:hAnsi="Times New Roman" w:cs="Times New Roman"/>
          <w:color w:val="auto"/>
          <w:szCs w:val="28"/>
          <w:lang w:bidi="ar"/>
        </w:rPr>
        <w:t>2006</w:t>
      </w:r>
      <w:r>
        <w:rPr>
          <w:rFonts w:hint="eastAsia" w:cs="Times New Roman"/>
          <w:color w:val="auto"/>
          <w:szCs w:val="28"/>
          <w:lang w:eastAsia="zh-CN" w:bidi="ar"/>
        </w:rPr>
        <w:t>〕</w:t>
      </w:r>
      <w:r>
        <w:rPr>
          <w:rFonts w:hint="default" w:ascii="Times New Roman" w:hAnsi="Times New Roman" w:cs="Times New Roman"/>
          <w:color w:val="auto"/>
          <w:szCs w:val="28"/>
          <w:lang w:bidi="ar"/>
        </w:rPr>
        <w:t>15号）；</w:t>
      </w:r>
    </w:p>
    <w:p w14:paraId="11396EF1">
      <w:pPr>
        <w:numPr>
          <w:ilvl w:val="0"/>
          <w:numId w:val="20"/>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lang w:bidi="ar"/>
        </w:rPr>
        <w:t>《国务院关于印发水污染防治行动计划的通知》（国发</w:t>
      </w:r>
      <w:r>
        <w:rPr>
          <w:rFonts w:hint="eastAsia" w:cs="Times New Roman"/>
          <w:color w:val="auto"/>
          <w:szCs w:val="28"/>
          <w:lang w:eastAsia="zh-CN" w:bidi="ar"/>
        </w:rPr>
        <w:t>〔</w:t>
      </w:r>
      <w:r>
        <w:rPr>
          <w:rFonts w:hint="default" w:ascii="Times New Roman" w:hAnsi="Times New Roman" w:cs="Times New Roman"/>
          <w:color w:val="auto"/>
          <w:szCs w:val="28"/>
          <w:lang w:bidi="ar"/>
        </w:rPr>
        <w:t>2015</w:t>
      </w:r>
      <w:r>
        <w:rPr>
          <w:rFonts w:hint="eastAsia" w:cs="Times New Roman"/>
          <w:color w:val="auto"/>
          <w:szCs w:val="28"/>
          <w:lang w:eastAsia="zh-CN" w:bidi="ar"/>
        </w:rPr>
        <w:t>〕</w:t>
      </w:r>
      <w:r>
        <w:rPr>
          <w:rFonts w:hint="default" w:ascii="Times New Roman" w:hAnsi="Times New Roman" w:cs="Times New Roman"/>
          <w:color w:val="auto"/>
          <w:szCs w:val="28"/>
          <w:lang w:bidi="ar"/>
        </w:rPr>
        <w:t>17号）；</w:t>
      </w:r>
    </w:p>
    <w:p w14:paraId="4F704539">
      <w:pPr>
        <w:numPr>
          <w:ilvl w:val="0"/>
          <w:numId w:val="20"/>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lang w:bidi="ar"/>
        </w:rPr>
        <w:t>《危险化学品安全综合治理方案》（国办发〔2016〕88号）；</w:t>
      </w:r>
    </w:p>
    <w:p w14:paraId="2DC9091F">
      <w:pPr>
        <w:numPr>
          <w:ilvl w:val="0"/>
          <w:numId w:val="20"/>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lang w:bidi="ar"/>
        </w:rPr>
        <w:t>《国务院安全生产委员会关于印</w:t>
      </w:r>
      <w:r>
        <w:rPr>
          <w:rFonts w:hint="eastAsia" w:ascii="宋体" w:hAnsi="宋体" w:eastAsia="宋体" w:cs="宋体"/>
          <w:color w:val="auto"/>
          <w:szCs w:val="28"/>
          <w:lang w:bidi="ar"/>
        </w:rPr>
        <w:t>发“全国安全生产专项整治三年行动计划”的通</w:t>
      </w:r>
      <w:r>
        <w:rPr>
          <w:rFonts w:hint="default" w:ascii="Times New Roman" w:hAnsi="Times New Roman" w:cs="Times New Roman"/>
          <w:color w:val="auto"/>
          <w:szCs w:val="28"/>
          <w:lang w:bidi="ar"/>
        </w:rPr>
        <w:t>知》</w:t>
      </w:r>
      <w:r>
        <w:rPr>
          <w:rFonts w:hint="eastAsia" w:cs="Times New Roman"/>
          <w:color w:val="auto"/>
          <w:szCs w:val="28"/>
          <w:lang w:eastAsia="zh-CN" w:bidi="ar"/>
        </w:rPr>
        <w:t>（安委[</w:t>
      </w:r>
      <w:r>
        <w:rPr>
          <w:rFonts w:hint="eastAsia" w:ascii="Times New Roman" w:hAnsi="Times New Roman" w:cs="Times New Roman"/>
          <w:color w:val="auto"/>
          <w:szCs w:val="28"/>
          <w:lang w:eastAsia="zh-CN" w:bidi="ar"/>
        </w:rPr>
        <w:t>2020</w:t>
      </w:r>
      <w:r>
        <w:rPr>
          <w:rFonts w:hint="eastAsia" w:cs="Times New Roman"/>
          <w:color w:val="auto"/>
          <w:szCs w:val="28"/>
          <w:lang w:eastAsia="zh-CN" w:bidi="ar"/>
        </w:rPr>
        <w:t>]</w:t>
      </w:r>
      <w:r>
        <w:rPr>
          <w:rFonts w:hint="eastAsia" w:ascii="Times New Roman" w:hAnsi="Times New Roman" w:cs="Times New Roman"/>
          <w:color w:val="auto"/>
          <w:szCs w:val="28"/>
          <w:lang w:eastAsia="zh-CN" w:bidi="ar"/>
        </w:rPr>
        <w:t>3</w:t>
      </w:r>
      <w:r>
        <w:rPr>
          <w:rFonts w:hint="eastAsia" w:cs="Times New Roman"/>
          <w:color w:val="auto"/>
          <w:szCs w:val="28"/>
          <w:lang w:eastAsia="zh-CN" w:bidi="ar"/>
        </w:rPr>
        <w:t>号）；</w:t>
      </w:r>
    </w:p>
    <w:p w14:paraId="193E16B7">
      <w:pPr>
        <w:numPr>
          <w:ilvl w:val="0"/>
          <w:numId w:val="20"/>
        </w:numPr>
        <w:adjustRightInd w:val="0"/>
        <w:snapToGrid w:val="0"/>
        <w:spacing w:line="360" w:lineRule="auto"/>
        <w:ind w:left="1128" w:firstLineChars="0"/>
        <w:rPr>
          <w:rFonts w:hint="default" w:ascii="Times New Roman" w:hAnsi="Times New Roman" w:cs="Times New Roman"/>
          <w:color w:val="auto"/>
        </w:rPr>
      </w:pPr>
      <w:r>
        <w:rPr>
          <w:rFonts w:hint="default" w:ascii="Times New Roman" w:hAnsi="Times New Roman" w:cs="Times New Roman"/>
          <w:color w:val="auto"/>
          <w:szCs w:val="28"/>
          <w:lang w:bidi="ar"/>
        </w:rPr>
        <w:t>《国务院安委会办公室关于全面加强企业全员安全生产责任制工作的通知》</w:t>
      </w:r>
      <w:r>
        <w:rPr>
          <w:rFonts w:hint="eastAsia" w:cs="Times New Roman"/>
          <w:color w:val="auto"/>
          <w:szCs w:val="28"/>
          <w:lang w:eastAsia="zh-CN" w:bidi="ar"/>
        </w:rPr>
        <w:t>（安委办〔</w:t>
      </w:r>
      <w:r>
        <w:rPr>
          <w:rFonts w:hint="eastAsia" w:ascii="Times New Roman" w:hAnsi="Times New Roman" w:cs="Times New Roman"/>
          <w:color w:val="auto"/>
          <w:szCs w:val="28"/>
          <w:lang w:eastAsia="zh-CN" w:bidi="ar"/>
        </w:rPr>
        <w:t>2017</w:t>
      </w:r>
      <w:r>
        <w:rPr>
          <w:rFonts w:hint="eastAsia" w:cs="Times New Roman"/>
          <w:color w:val="auto"/>
          <w:szCs w:val="28"/>
          <w:lang w:eastAsia="zh-CN" w:bidi="ar"/>
        </w:rPr>
        <w:t>〕</w:t>
      </w:r>
      <w:r>
        <w:rPr>
          <w:rFonts w:hint="eastAsia" w:ascii="Times New Roman" w:hAnsi="Times New Roman" w:cs="Times New Roman"/>
          <w:color w:val="auto"/>
          <w:szCs w:val="28"/>
          <w:lang w:eastAsia="zh-CN" w:bidi="ar"/>
        </w:rPr>
        <w:t>29</w:t>
      </w:r>
      <w:r>
        <w:rPr>
          <w:rFonts w:hint="eastAsia" w:cs="Times New Roman"/>
          <w:color w:val="auto"/>
          <w:szCs w:val="28"/>
          <w:lang w:eastAsia="zh-CN" w:bidi="ar"/>
        </w:rPr>
        <w:t>号）；</w:t>
      </w:r>
    </w:p>
    <w:p w14:paraId="66346CCB">
      <w:pPr>
        <w:numPr>
          <w:ilvl w:val="0"/>
          <w:numId w:val="20"/>
        </w:numPr>
        <w:adjustRightInd w:val="0"/>
        <w:snapToGrid w:val="0"/>
        <w:spacing w:line="360" w:lineRule="auto"/>
        <w:ind w:left="1128" w:firstLineChars="0"/>
        <w:rPr>
          <w:color w:val="auto"/>
        </w:rPr>
      </w:pPr>
      <w:r>
        <w:rPr>
          <w:rFonts w:hint="eastAsia" w:ascii="宋体" w:hAnsi="宋体" w:cs="宋体"/>
          <w:color w:val="auto"/>
          <w:szCs w:val="28"/>
          <w:lang w:bidi="ar"/>
        </w:rPr>
        <w:t>《</w:t>
      </w:r>
      <w:r>
        <w:rPr>
          <w:color w:val="auto"/>
          <w:szCs w:val="28"/>
          <w:lang w:bidi="ar"/>
        </w:rPr>
        <w:t>关于实施遏制重特大事故工作指南全面加强安全生产源头管控和安全准入工作的指导意见》（安委办〔</w:t>
      </w:r>
      <w:r>
        <w:rPr>
          <w:rFonts w:ascii="Times New Roman" w:hAnsi="Times New Roman"/>
          <w:color w:val="auto"/>
          <w:szCs w:val="28"/>
          <w:lang w:bidi="ar"/>
        </w:rPr>
        <w:t>2017</w:t>
      </w:r>
      <w:r>
        <w:rPr>
          <w:color w:val="auto"/>
          <w:szCs w:val="28"/>
          <w:lang w:bidi="ar"/>
        </w:rPr>
        <w:t>〕</w:t>
      </w:r>
      <w:r>
        <w:rPr>
          <w:rFonts w:ascii="Times New Roman" w:hAnsi="Times New Roman"/>
          <w:color w:val="auto"/>
          <w:szCs w:val="28"/>
          <w:lang w:bidi="ar"/>
        </w:rPr>
        <w:t>7</w:t>
      </w:r>
      <w:r>
        <w:rPr>
          <w:color w:val="auto"/>
          <w:szCs w:val="28"/>
          <w:lang w:bidi="ar"/>
        </w:rPr>
        <w:t>号）；</w:t>
      </w:r>
    </w:p>
    <w:p w14:paraId="6ACB73A3">
      <w:pPr>
        <w:numPr>
          <w:ilvl w:val="0"/>
          <w:numId w:val="20"/>
        </w:numPr>
        <w:adjustRightInd w:val="0"/>
        <w:snapToGrid w:val="0"/>
        <w:spacing w:line="360" w:lineRule="auto"/>
        <w:ind w:left="1128" w:firstLineChars="0"/>
        <w:rPr>
          <w:color w:val="auto"/>
          <w:szCs w:val="28"/>
          <w:lang w:bidi="ar"/>
        </w:rPr>
      </w:pPr>
      <w:r>
        <w:rPr>
          <w:color w:val="auto"/>
          <w:szCs w:val="28"/>
          <w:lang w:bidi="ar"/>
        </w:rPr>
        <w:t>《关于开展油气等危险化学品罐区专项安全大检查的通知》（安委办</w:t>
      </w:r>
      <w:r>
        <w:rPr>
          <w:rFonts w:hint="eastAsia"/>
          <w:color w:val="auto"/>
          <w:szCs w:val="28"/>
          <w:lang w:eastAsia="zh-CN" w:bidi="ar"/>
        </w:rPr>
        <w:t>〔</w:t>
      </w:r>
      <w:r>
        <w:rPr>
          <w:rFonts w:ascii="Times New Roman" w:hAnsi="Times New Roman"/>
          <w:color w:val="auto"/>
          <w:szCs w:val="28"/>
          <w:lang w:bidi="ar"/>
        </w:rPr>
        <w:t>2015</w:t>
      </w:r>
      <w:r>
        <w:rPr>
          <w:rFonts w:hint="eastAsia"/>
          <w:color w:val="auto"/>
          <w:szCs w:val="28"/>
          <w:lang w:eastAsia="zh-CN" w:bidi="ar"/>
        </w:rPr>
        <w:t>〕</w:t>
      </w:r>
      <w:r>
        <w:rPr>
          <w:rFonts w:ascii="Times New Roman" w:hAnsi="Times New Roman"/>
          <w:color w:val="auto"/>
          <w:szCs w:val="28"/>
          <w:lang w:bidi="ar"/>
        </w:rPr>
        <w:t>89</w:t>
      </w:r>
      <w:r>
        <w:rPr>
          <w:color w:val="auto"/>
          <w:szCs w:val="28"/>
          <w:lang w:bidi="ar"/>
        </w:rPr>
        <w:t>号）；</w:t>
      </w:r>
    </w:p>
    <w:p w14:paraId="2DAD6FE8">
      <w:pPr>
        <w:numPr>
          <w:ilvl w:val="0"/>
          <w:numId w:val="20"/>
        </w:numPr>
        <w:adjustRightInd w:val="0"/>
        <w:snapToGrid w:val="0"/>
        <w:spacing w:line="360" w:lineRule="auto"/>
        <w:ind w:left="1128" w:firstLineChars="0"/>
        <w:rPr>
          <w:color w:val="auto"/>
        </w:rPr>
      </w:pPr>
      <w:r>
        <w:rPr>
          <w:color w:val="auto"/>
          <w:kern w:val="0"/>
          <w:szCs w:val="28"/>
          <w:lang w:bidi="ar"/>
        </w:rPr>
        <w:t>《涉及危险化学品安全风险的行业品种目录》（安委〔</w:t>
      </w:r>
      <w:r>
        <w:rPr>
          <w:rFonts w:ascii="Times New Roman" w:hAnsi="Times New Roman"/>
          <w:color w:val="auto"/>
          <w:kern w:val="0"/>
          <w:szCs w:val="28"/>
          <w:lang w:bidi="ar"/>
        </w:rPr>
        <w:t>2016</w:t>
      </w:r>
      <w:r>
        <w:rPr>
          <w:color w:val="auto"/>
          <w:kern w:val="0"/>
          <w:szCs w:val="28"/>
          <w:lang w:bidi="ar"/>
        </w:rPr>
        <w:t>〕</w:t>
      </w:r>
      <w:r>
        <w:rPr>
          <w:rFonts w:ascii="Times New Roman" w:hAnsi="Times New Roman"/>
          <w:color w:val="auto"/>
          <w:kern w:val="0"/>
          <w:szCs w:val="28"/>
          <w:lang w:bidi="ar"/>
        </w:rPr>
        <w:t>7</w:t>
      </w:r>
      <w:r>
        <w:rPr>
          <w:color w:val="auto"/>
          <w:kern w:val="0"/>
          <w:szCs w:val="28"/>
          <w:lang w:bidi="ar"/>
        </w:rPr>
        <w:t>号）；</w:t>
      </w:r>
    </w:p>
    <w:p w14:paraId="6A982EAD">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《关于印发&lt;中国严格限制的有毒化学品名录&gt;（</w:t>
      </w:r>
      <w:r>
        <w:rPr>
          <w:rFonts w:hint="eastAsia" w:ascii="Times New Roman" w:hAnsi="Times New Roman"/>
          <w:color w:val="auto"/>
          <w:kern w:val="0"/>
          <w:szCs w:val="28"/>
          <w:lang w:bidi="ar"/>
        </w:rPr>
        <w:t>2020</w:t>
      </w:r>
      <w:r>
        <w:rPr>
          <w:rFonts w:hint="eastAsia"/>
          <w:color w:val="auto"/>
          <w:kern w:val="0"/>
          <w:szCs w:val="28"/>
          <w:lang w:bidi="ar"/>
        </w:rPr>
        <w:t>年）的公告》公告</w:t>
      </w:r>
      <w:r>
        <w:rPr>
          <w:rFonts w:hint="eastAsia" w:ascii="Times New Roman" w:hAnsi="Times New Roman"/>
          <w:color w:val="auto"/>
          <w:kern w:val="0"/>
          <w:szCs w:val="28"/>
          <w:lang w:bidi="ar"/>
        </w:rPr>
        <w:t>2019</w:t>
      </w:r>
      <w:r>
        <w:rPr>
          <w:rFonts w:hint="eastAsia"/>
          <w:color w:val="auto"/>
          <w:kern w:val="0"/>
          <w:szCs w:val="28"/>
          <w:lang w:bidi="ar"/>
        </w:rPr>
        <w:t>年 第</w:t>
      </w:r>
      <w:r>
        <w:rPr>
          <w:rFonts w:hint="eastAsia" w:ascii="Times New Roman" w:hAnsi="Times New Roman"/>
          <w:color w:val="auto"/>
          <w:kern w:val="0"/>
          <w:szCs w:val="28"/>
          <w:lang w:bidi="ar"/>
        </w:rPr>
        <w:t>60</w:t>
      </w:r>
      <w:r>
        <w:rPr>
          <w:rFonts w:hint="eastAsia"/>
          <w:color w:val="auto"/>
          <w:kern w:val="0"/>
          <w:szCs w:val="28"/>
          <w:lang w:bidi="ar"/>
        </w:rPr>
        <w:t>号</w:t>
      </w:r>
      <w:r>
        <w:rPr>
          <w:color w:val="auto"/>
          <w:kern w:val="0"/>
          <w:szCs w:val="28"/>
          <w:lang w:bidi="ar"/>
        </w:rPr>
        <w:t>；</w:t>
      </w:r>
    </w:p>
    <w:p w14:paraId="139153E1">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《应急管理部关于印发危险化学品生产储存企业安全风险评估诊断分级指南（试行）的通知》（应急〔</w:t>
      </w:r>
      <w:r>
        <w:rPr>
          <w:rFonts w:hint="eastAsia" w:ascii="Times New Roman" w:hAnsi="Times New Roman"/>
          <w:color w:val="auto"/>
          <w:kern w:val="0"/>
          <w:szCs w:val="28"/>
          <w:lang w:bidi="ar"/>
        </w:rPr>
        <w:t>2018</w:t>
      </w:r>
      <w:r>
        <w:rPr>
          <w:rFonts w:hint="eastAsia"/>
          <w:color w:val="auto"/>
          <w:kern w:val="0"/>
          <w:szCs w:val="28"/>
          <w:lang w:bidi="ar"/>
        </w:rPr>
        <w:t>〕</w:t>
      </w:r>
      <w:r>
        <w:rPr>
          <w:rFonts w:hint="eastAsia" w:ascii="Times New Roman" w:hAnsi="Times New Roman"/>
          <w:color w:val="auto"/>
          <w:kern w:val="0"/>
          <w:szCs w:val="28"/>
          <w:lang w:bidi="ar"/>
        </w:rPr>
        <w:t>19</w:t>
      </w:r>
      <w:r>
        <w:rPr>
          <w:rFonts w:hint="eastAsia"/>
          <w:color w:val="auto"/>
          <w:kern w:val="0"/>
          <w:szCs w:val="28"/>
          <w:lang w:bidi="ar"/>
        </w:rPr>
        <w:t>号）；</w:t>
      </w:r>
    </w:p>
    <w:p w14:paraId="7F9F120F">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《淘汰落后危险化学品安全生产工艺技术设备目录（第一批）的通知》（应急厅〔2020〕38号）；</w:t>
      </w:r>
    </w:p>
    <w:p w14:paraId="4305A0A4">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《淘汰落后危险化学品安全生产工艺技术设备目录（第二批）的通知》（应急厅〔2024〕86号）；</w:t>
      </w:r>
    </w:p>
    <w:p w14:paraId="25ED0F54">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《应急管理部关于进一步做好安全生产责任保险工作的紧急通知》（应急〔</w:t>
      </w:r>
      <w:r>
        <w:rPr>
          <w:rFonts w:hint="eastAsia" w:ascii="Times New Roman" w:hAnsi="Times New Roman"/>
          <w:color w:val="auto"/>
          <w:kern w:val="0"/>
          <w:szCs w:val="28"/>
          <w:lang w:bidi="ar"/>
        </w:rPr>
        <w:t>2021</w:t>
      </w:r>
      <w:r>
        <w:rPr>
          <w:rFonts w:hint="eastAsia"/>
          <w:color w:val="auto"/>
          <w:kern w:val="0"/>
          <w:szCs w:val="28"/>
          <w:lang w:bidi="ar"/>
        </w:rPr>
        <w:t>〕</w:t>
      </w:r>
      <w:r>
        <w:rPr>
          <w:rFonts w:hint="eastAsia" w:ascii="Times New Roman" w:hAnsi="Times New Roman"/>
          <w:color w:val="auto"/>
          <w:kern w:val="0"/>
          <w:szCs w:val="28"/>
          <w:lang w:bidi="ar"/>
        </w:rPr>
        <w:t>61</w:t>
      </w:r>
      <w:r>
        <w:rPr>
          <w:rFonts w:hint="eastAsia"/>
          <w:color w:val="auto"/>
          <w:kern w:val="0"/>
          <w:szCs w:val="28"/>
          <w:lang w:bidi="ar"/>
        </w:rPr>
        <w:t>号）；</w:t>
      </w:r>
    </w:p>
    <w:p w14:paraId="20036D65">
      <w:pPr>
        <w:numPr>
          <w:ilvl w:val="0"/>
          <w:numId w:val="20"/>
        </w:numPr>
        <w:adjustRightInd w:val="0"/>
        <w:snapToGrid w:val="0"/>
        <w:spacing w:line="360" w:lineRule="auto"/>
        <w:ind w:left="1128" w:firstLineChars="0"/>
        <w:rPr>
          <w:color w:val="auto"/>
          <w:kern w:val="0"/>
          <w:szCs w:val="28"/>
          <w:lang w:bidi="ar"/>
        </w:rPr>
      </w:pPr>
      <w:r>
        <w:rPr>
          <w:rFonts w:hint="eastAsia"/>
          <w:color w:val="auto"/>
          <w:kern w:val="0"/>
          <w:szCs w:val="28"/>
          <w:lang w:bidi="ar"/>
        </w:rPr>
        <w:t>《应急管理部办公厅关于印发&lt;有限空间作业安全指导手册&gt;和</w:t>
      </w:r>
      <w:r>
        <w:rPr>
          <w:rFonts w:hint="eastAsia" w:ascii="Times New Roman" w:hAnsi="Times New Roman"/>
          <w:color w:val="auto"/>
          <w:kern w:val="0"/>
          <w:szCs w:val="28"/>
          <w:lang w:bidi="ar"/>
        </w:rPr>
        <w:t>4</w:t>
      </w:r>
      <w:r>
        <w:rPr>
          <w:rFonts w:hint="eastAsia"/>
          <w:color w:val="auto"/>
          <w:kern w:val="0"/>
          <w:szCs w:val="28"/>
          <w:lang w:bidi="ar"/>
        </w:rPr>
        <w:t>个专题系列折页的通知》（应急厅函〔</w:t>
      </w:r>
      <w:r>
        <w:rPr>
          <w:rFonts w:hint="eastAsia" w:ascii="Times New Roman" w:hAnsi="Times New Roman"/>
          <w:color w:val="auto"/>
          <w:kern w:val="0"/>
          <w:szCs w:val="28"/>
          <w:lang w:bidi="ar"/>
        </w:rPr>
        <w:t>2020</w:t>
      </w:r>
      <w:r>
        <w:rPr>
          <w:rFonts w:hint="eastAsia"/>
          <w:color w:val="auto"/>
          <w:kern w:val="0"/>
          <w:szCs w:val="28"/>
          <w:lang w:bidi="ar"/>
        </w:rPr>
        <w:t>〕</w:t>
      </w:r>
      <w:r>
        <w:rPr>
          <w:rFonts w:hint="eastAsia" w:ascii="Times New Roman" w:hAnsi="Times New Roman"/>
          <w:color w:val="auto"/>
          <w:kern w:val="0"/>
          <w:szCs w:val="28"/>
          <w:lang w:bidi="ar"/>
        </w:rPr>
        <w:t>299</w:t>
      </w:r>
      <w:r>
        <w:rPr>
          <w:rFonts w:hint="eastAsia"/>
          <w:color w:val="auto"/>
          <w:kern w:val="0"/>
          <w:szCs w:val="28"/>
          <w:lang w:bidi="ar"/>
        </w:rPr>
        <w:t>号）；</w:t>
      </w:r>
    </w:p>
    <w:p w14:paraId="2ECB37A9">
      <w:pPr>
        <w:numPr>
          <w:ilvl w:val="0"/>
          <w:numId w:val="20"/>
        </w:numPr>
        <w:adjustRightInd w:val="0"/>
        <w:snapToGrid w:val="0"/>
        <w:spacing w:line="360" w:lineRule="auto"/>
        <w:ind w:left="1128" w:firstLineChars="0"/>
        <w:rPr>
          <w:color w:val="auto"/>
        </w:rPr>
      </w:pPr>
      <w:r>
        <w:rPr>
          <w:rFonts w:hint="eastAsia"/>
          <w:color w:val="auto"/>
          <w:kern w:val="0"/>
          <w:szCs w:val="28"/>
          <w:lang w:bidi="ar"/>
        </w:rPr>
        <w:t>《危险化学品经营许可证管理办法》国家安监总局令第</w:t>
      </w:r>
      <w:r>
        <w:rPr>
          <w:rFonts w:hint="eastAsia" w:ascii="Times New Roman" w:hAnsi="Times New Roman"/>
          <w:color w:val="auto"/>
          <w:kern w:val="0"/>
          <w:szCs w:val="28"/>
          <w:lang w:bidi="ar"/>
        </w:rPr>
        <w:t>55</w:t>
      </w:r>
      <w:r>
        <w:rPr>
          <w:rFonts w:hint="eastAsia"/>
          <w:color w:val="auto"/>
          <w:kern w:val="0"/>
          <w:szCs w:val="28"/>
          <w:lang w:bidi="ar"/>
        </w:rPr>
        <w:t>号（</w:t>
      </w:r>
      <w:r>
        <w:rPr>
          <w:rFonts w:hint="eastAsia" w:ascii="Times New Roman" w:hAnsi="Times New Roman"/>
          <w:color w:val="auto"/>
          <w:kern w:val="0"/>
          <w:szCs w:val="28"/>
          <w:lang w:bidi="ar"/>
        </w:rPr>
        <w:t>79</w:t>
      </w:r>
      <w:r>
        <w:rPr>
          <w:rFonts w:hint="eastAsia"/>
          <w:color w:val="auto"/>
          <w:kern w:val="0"/>
          <w:szCs w:val="28"/>
          <w:lang w:bidi="ar"/>
        </w:rPr>
        <w:t>号令修改）；</w:t>
      </w:r>
    </w:p>
    <w:p w14:paraId="3C1FF6B8">
      <w:pPr>
        <w:numPr>
          <w:ilvl w:val="0"/>
          <w:numId w:val="20"/>
        </w:numPr>
        <w:adjustRightInd w:val="0"/>
        <w:snapToGrid w:val="0"/>
        <w:spacing w:line="360" w:lineRule="auto"/>
        <w:ind w:left="1128" w:firstLineChars="0"/>
        <w:rPr>
          <w:color w:val="auto"/>
        </w:rPr>
      </w:pPr>
      <w:r>
        <w:rPr>
          <w:color w:val="auto"/>
        </w:rPr>
        <w:t>《危险化学品建设项目安全监督管理办法》（国家安全生产监督管理总局令第</w:t>
      </w:r>
      <w:r>
        <w:rPr>
          <w:rFonts w:ascii="Times New Roman" w:hAnsi="Times New Roman"/>
          <w:color w:val="auto"/>
        </w:rPr>
        <w:t>45</w:t>
      </w:r>
      <w:r>
        <w:rPr>
          <w:color w:val="auto"/>
        </w:rPr>
        <w:t>号，</w:t>
      </w:r>
      <w:r>
        <w:rPr>
          <w:rFonts w:ascii="Times New Roman" w:hAnsi="Times New Roman"/>
          <w:color w:val="auto"/>
        </w:rPr>
        <w:t>2015</w:t>
      </w:r>
      <w:r>
        <w:rPr>
          <w:color w:val="auto"/>
        </w:rPr>
        <w:t>年修正）；</w:t>
      </w:r>
    </w:p>
    <w:p w14:paraId="5A853D75">
      <w:pPr>
        <w:numPr>
          <w:ilvl w:val="0"/>
          <w:numId w:val="20"/>
        </w:numPr>
        <w:adjustRightInd w:val="0"/>
        <w:snapToGrid w:val="0"/>
        <w:spacing w:line="360" w:lineRule="auto"/>
        <w:ind w:left="1128" w:firstLineChars="0"/>
        <w:rPr>
          <w:color w:val="auto"/>
        </w:rPr>
      </w:pPr>
      <w:r>
        <w:rPr>
          <w:rFonts w:hint="eastAsia"/>
          <w:color w:val="auto"/>
        </w:rPr>
        <w:t>《建设项目安全设施“三同时”监督管理办法》（国家安监总局令第</w:t>
      </w:r>
      <w:r>
        <w:rPr>
          <w:rFonts w:hint="eastAsia" w:ascii="Times New Roman" w:hAnsi="Times New Roman"/>
          <w:color w:val="auto"/>
        </w:rPr>
        <w:t>36</w:t>
      </w:r>
      <w:r>
        <w:rPr>
          <w:rFonts w:hint="eastAsia"/>
          <w:color w:val="auto"/>
        </w:rPr>
        <w:t>号，总局令第</w:t>
      </w:r>
      <w:r>
        <w:rPr>
          <w:rFonts w:hint="eastAsia" w:ascii="Times New Roman" w:hAnsi="Times New Roman"/>
          <w:color w:val="auto"/>
        </w:rPr>
        <w:t>77</w:t>
      </w:r>
      <w:r>
        <w:rPr>
          <w:rFonts w:hint="eastAsia"/>
          <w:color w:val="auto"/>
        </w:rPr>
        <w:t>号修改）；</w:t>
      </w:r>
    </w:p>
    <w:p w14:paraId="2269BF69">
      <w:pPr>
        <w:numPr>
          <w:ilvl w:val="0"/>
          <w:numId w:val="20"/>
        </w:numPr>
        <w:adjustRightInd w:val="0"/>
        <w:snapToGrid w:val="0"/>
        <w:spacing w:line="360" w:lineRule="auto"/>
        <w:ind w:left="1128" w:firstLineChars="0"/>
        <w:rPr>
          <w:color w:val="auto"/>
        </w:rPr>
      </w:pPr>
      <w:r>
        <w:rPr>
          <w:color w:val="auto"/>
        </w:rPr>
        <w:t>国家安全监管总局关于印发《危险化学品建设项目安全评价细则（试行）》的通知（安监总危化〔</w:t>
      </w:r>
      <w:r>
        <w:rPr>
          <w:rFonts w:ascii="Times New Roman" w:hAnsi="Times New Roman"/>
          <w:color w:val="auto"/>
        </w:rPr>
        <w:t>2007</w:t>
      </w:r>
      <w:r>
        <w:rPr>
          <w:color w:val="auto"/>
        </w:rPr>
        <w:t>〕</w:t>
      </w:r>
      <w:r>
        <w:rPr>
          <w:rFonts w:ascii="Times New Roman" w:hAnsi="Times New Roman"/>
          <w:color w:val="auto"/>
        </w:rPr>
        <w:t>255</w:t>
      </w:r>
      <w:r>
        <w:rPr>
          <w:color w:val="auto"/>
        </w:rPr>
        <w:t>号）；</w:t>
      </w:r>
    </w:p>
    <w:p w14:paraId="7C26180C">
      <w:pPr>
        <w:numPr>
          <w:ilvl w:val="0"/>
          <w:numId w:val="20"/>
        </w:numPr>
        <w:adjustRightInd w:val="0"/>
        <w:snapToGrid w:val="0"/>
        <w:spacing w:line="360" w:lineRule="auto"/>
        <w:ind w:left="1128" w:firstLineChars="0"/>
        <w:rPr>
          <w:color w:val="auto"/>
        </w:rPr>
      </w:pPr>
      <w:r>
        <w:rPr>
          <w:rFonts w:hint="eastAsia"/>
          <w:color w:val="auto"/>
        </w:rPr>
        <w:t>《生产经营单位安全培训规定》（国家安监总局令第</w:t>
      </w:r>
      <w:r>
        <w:rPr>
          <w:rFonts w:hint="eastAsia" w:ascii="Times New Roman" w:hAnsi="Times New Roman"/>
          <w:color w:val="auto"/>
        </w:rPr>
        <w:t>3</w:t>
      </w:r>
      <w:r>
        <w:rPr>
          <w:rFonts w:hint="eastAsia"/>
          <w:color w:val="auto"/>
        </w:rPr>
        <w:t>号，</w:t>
      </w:r>
      <w:r>
        <w:rPr>
          <w:rFonts w:hint="eastAsia" w:ascii="Times New Roman" w:hAnsi="Times New Roman"/>
          <w:color w:val="auto"/>
        </w:rPr>
        <w:t>80</w:t>
      </w:r>
      <w:r>
        <w:rPr>
          <w:rFonts w:hint="eastAsia"/>
          <w:color w:val="auto"/>
        </w:rPr>
        <w:t>号令修改）；</w:t>
      </w:r>
    </w:p>
    <w:p w14:paraId="73062E3B">
      <w:pPr>
        <w:numPr>
          <w:ilvl w:val="0"/>
          <w:numId w:val="20"/>
        </w:numPr>
        <w:adjustRightInd w:val="0"/>
        <w:snapToGrid w:val="0"/>
        <w:spacing w:line="360" w:lineRule="auto"/>
        <w:ind w:left="1128" w:firstLineChars="0"/>
        <w:rPr>
          <w:color w:val="auto"/>
        </w:rPr>
      </w:pPr>
      <w:r>
        <w:rPr>
          <w:color w:val="auto"/>
        </w:rPr>
        <w:t>《生产安全事故应急预案管理办法》（国家安监总局</w:t>
      </w:r>
      <w:r>
        <w:rPr>
          <w:rFonts w:ascii="Times New Roman" w:hAnsi="Times New Roman"/>
          <w:color w:val="auto"/>
        </w:rPr>
        <w:t>88</w:t>
      </w:r>
      <w:r>
        <w:rPr>
          <w:color w:val="auto"/>
        </w:rPr>
        <w:t>号令，应急管理部第</w:t>
      </w:r>
      <w:r>
        <w:rPr>
          <w:rFonts w:ascii="Times New Roman" w:hAnsi="Times New Roman"/>
          <w:color w:val="auto"/>
        </w:rPr>
        <w:t>2</w:t>
      </w:r>
      <w:r>
        <w:rPr>
          <w:color w:val="auto"/>
        </w:rPr>
        <w:t>号令（</w:t>
      </w:r>
      <w:r>
        <w:rPr>
          <w:rFonts w:ascii="Times New Roman" w:hAnsi="Times New Roman"/>
          <w:color w:val="auto"/>
        </w:rPr>
        <w:t>2019</w:t>
      </w:r>
      <w:r>
        <w:rPr>
          <w:color w:val="auto"/>
        </w:rPr>
        <w:t>年修改））；</w:t>
      </w:r>
    </w:p>
    <w:p w14:paraId="28573E05">
      <w:pPr>
        <w:numPr>
          <w:ilvl w:val="0"/>
          <w:numId w:val="20"/>
        </w:numPr>
        <w:adjustRightInd w:val="0"/>
        <w:snapToGrid w:val="0"/>
        <w:spacing w:line="360" w:lineRule="auto"/>
        <w:ind w:left="1128" w:firstLineChars="0"/>
        <w:rPr>
          <w:color w:val="auto"/>
        </w:rPr>
      </w:pPr>
      <w:r>
        <w:rPr>
          <w:color w:val="auto"/>
        </w:rPr>
        <w:t>《生产安全事故信息报告和处置办法》（国家安监总局令[</w:t>
      </w:r>
      <w:r>
        <w:rPr>
          <w:rFonts w:ascii="Times New Roman" w:hAnsi="Times New Roman"/>
          <w:color w:val="auto"/>
        </w:rPr>
        <w:t>2009</w:t>
      </w:r>
      <w:r>
        <w:rPr>
          <w:color w:val="auto"/>
        </w:rPr>
        <w:t>]第</w:t>
      </w:r>
      <w:r>
        <w:rPr>
          <w:rFonts w:ascii="Times New Roman" w:hAnsi="Times New Roman"/>
          <w:color w:val="auto"/>
        </w:rPr>
        <w:t>21</w:t>
      </w:r>
      <w:r>
        <w:rPr>
          <w:color w:val="auto"/>
        </w:rPr>
        <w:t>号）；</w:t>
      </w:r>
    </w:p>
    <w:p w14:paraId="4AD591E7">
      <w:pPr>
        <w:numPr>
          <w:ilvl w:val="0"/>
          <w:numId w:val="20"/>
        </w:numPr>
        <w:adjustRightInd w:val="0"/>
        <w:snapToGrid w:val="0"/>
        <w:spacing w:line="360" w:lineRule="auto"/>
        <w:ind w:left="1128" w:firstLineChars="0"/>
        <w:rPr>
          <w:color w:val="auto"/>
        </w:rPr>
      </w:pPr>
      <w:r>
        <w:rPr>
          <w:color w:val="auto"/>
        </w:rPr>
        <w:t>《企业安全生产责任体系五落实五到位规定的通知》（安监总办〔</w:t>
      </w:r>
      <w:r>
        <w:rPr>
          <w:rFonts w:ascii="Times New Roman" w:hAnsi="Times New Roman"/>
          <w:color w:val="auto"/>
        </w:rPr>
        <w:t>2015</w:t>
      </w:r>
      <w:r>
        <w:rPr>
          <w:color w:val="auto"/>
        </w:rPr>
        <w:t>〕</w:t>
      </w:r>
      <w:r>
        <w:rPr>
          <w:rFonts w:ascii="Times New Roman" w:hAnsi="Times New Roman"/>
          <w:color w:val="auto"/>
        </w:rPr>
        <w:t>27</w:t>
      </w:r>
      <w:r>
        <w:rPr>
          <w:color w:val="auto"/>
        </w:rPr>
        <w:t>号）</w:t>
      </w:r>
      <w:r>
        <w:rPr>
          <w:rFonts w:hint="eastAsia"/>
          <w:color w:val="auto"/>
        </w:rPr>
        <w:t>；</w:t>
      </w:r>
    </w:p>
    <w:p w14:paraId="4709769D">
      <w:pPr>
        <w:numPr>
          <w:ilvl w:val="0"/>
          <w:numId w:val="20"/>
        </w:numPr>
        <w:adjustRightInd w:val="0"/>
        <w:snapToGrid w:val="0"/>
        <w:spacing w:line="360" w:lineRule="auto"/>
        <w:ind w:left="1128" w:firstLineChars="0"/>
        <w:rPr>
          <w:color w:val="auto"/>
        </w:rPr>
      </w:pPr>
      <w:r>
        <w:rPr>
          <w:rFonts w:hint="eastAsia"/>
          <w:color w:val="auto"/>
        </w:rPr>
        <w:t>《国家安全监管总局关于进一步加强化学品罐区安全管理的通知》（安监总管三〔</w:t>
      </w:r>
      <w:r>
        <w:rPr>
          <w:rFonts w:hint="eastAsia" w:ascii="Times New Roman" w:hAnsi="Times New Roman"/>
          <w:color w:val="auto"/>
        </w:rPr>
        <w:t>2014</w:t>
      </w:r>
      <w:r>
        <w:rPr>
          <w:rFonts w:hint="eastAsia"/>
          <w:color w:val="auto"/>
        </w:rPr>
        <w:t>〕</w:t>
      </w:r>
      <w:r>
        <w:rPr>
          <w:rFonts w:hint="eastAsia" w:ascii="Times New Roman" w:hAnsi="Times New Roman"/>
          <w:color w:val="auto"/>
        </w:rPr>
        <w:t>68</w:t>
      </w:r>
      <w:r>
        <w:rPr>
          <w:rFonts w:hint="eastAsia"/>
          <w:color w:val="auto"/>
        </w:rPr>
        <w:t>号）；</w:t>
      </w:r>
    </w:p>
    <w:p w14:paraId="68176BF2">
      <w:pPr>
        <w:numPr>
          <w:ilvl w:val="0"/>
          <w:numId w:val="20"/>
        </w:numPr>
        <w:adjustRightInd w:val="0"/>
        <w:snapToGrid w:val="0"/>
        <w:spacing w:line="360" w:lineRule="auto"/>
        <w:ind w:left="1128" w:firstLineChars="0"/>
        <w:rPr>
          <w:color w:val="auto"/>
        </w:rPr>
      </w:pPr>
      <w:r>
        <w:rPr>
          <w:rFonts w:hint="eastAsia"/>
          <w:color w:val="auto"/>
        </w:rPr>
        <w:t>《国家安全监管总局办公厅关于进一步加强加油站安全生产工作的通知》（安监总厅管三〔</w:t>
      </w:r>
      <w:r>
        <w:rPr>
          <w:rFonts w:hint="eastAsia" w:ascii="Times New Roman" w:hAnsi="Times New Roman"/>
          <w:color w:val="auto"/>
        </w:rPr>
        <w:t>2016</w:t>
      </w:r>
      <w:r>
        <w:rPr>
          <w:rFonts w:hint="eastAsia"/>
          <w:color w:val="auto"/>
        </w:rPr>
        <w:t>〕</w:t>
      </w:r>
      <w:r>
        <w:rPr>
          <w:rFonts w:hint="eastAsia" w:ascii="Times New Roman" w:hAnsi="Times New Roman"/>
          <w:color w:val="auto"/>
        </w:rPr>
        <w:t>8</w:t>
      </w:r>
      <w:r>
        <w:rPr>
          <w:rFonts w:hint="eastAsia"/>
          <w:color w:val="auto"/>
        </w:rPr>
        <w:t>号）；</w:t>
      </w:r>
    </w:p>
    <w:p w14:paraId="70EE4315">
      <w:pPr>
        <w:numPr>
          <w:ilvl w:val="0"/>
          <w:numId w:val="20"/>
        </w:numPr>
        <w:adjustRightInd w:val="0"/>
        <w:snapToGrid w:val="0"/>
        <w:spacing w:line="360" w:lineRule="auto"/>
        <w:ind w:left="1128" w:firstLineChars="0"/>
        <w:rPr>
          <w:color w:val="auto"/>
        </w:rPr>
      </w:pPr>
      <w:r>
        <w:rPr>
          <w:rFonts w:hint="eastAsia"/>
          <w:color w:val="auto"/>
        </w:rPr>
        <w:t>《国家安全监管总局办公厅关于印发落后与推广先进安全技术装备目录管理办法的通知》（安监总厅科技[2015]43号）；</w:t>
      </w:r>
    </w:p>
    <w:p w14:paraId="472676C0">
      <w:pPr>
        <w:numPr>
          <w:ilvl w:val="0"/>
          <w:numId w:val="20"/>
        </w:numPr>
        <w:adjustRightInd w:val="0"/>
        <w:snapToGrid w:val="0"/>
        <w:spacing w:line="360" w:lineRule="auto"/>
        <w:ind w:left="1128" w:firstLineChars="0"/>
        <w:rPr>
          <w:color w:val="auto"/>
        </w:rPr>
      </w:pPr>
      <w:r>
        <w:rPr>
          <w:rFonts w:hint="eastAsia"/>
          <w:color w:val="auto"/>
        </w:rPr>
        <w:t>《国家安全监管总局关于印发淘汰落后安全技术装备目录（2015年第一批）的通知》（安监总科技[2015]75号）；</w:t>
      </w:r>
    </w:p>
    <w:p w14:paraId="6354FDF5">
      <w:pPr>
        <w:numPr>
          <w:ilvl w:val="0"/>
          <w:numId w:val="20"/>
        </w:numPr>
        <w:adjustRightInd w:val="0"/>
        <w:snapToGrid w:val="0"/>
        <w:spacing w:line="360" w:lineRule="auto"/>
        <w:ind w:left="1128" w:firstLineChars="0"/>
        <w:rPr>
          <w:color w:val="auto"/>
        </w:rPr>
      </w:pPr>
      <w:r>
        <w:rPr>
          <w:rFonts w:hint="eastAsia"/>
          <w:color w:val="auto"/>
        </w:rPr>
        <w:t>《国家安全监管总局关于印发淘汰落后安全技术工艺、设备目录（2016年第一批）的通知》（安监总科技[2016]137号）；</w:t>
      </w:r>
    </w:p>
    <w:p w14:paraId="7D736A6E">
      <w:pPr>
        <w:numPr>
          <w:ilvl w:val="0"/>
          <w:numId w:val="20"/>
        </w:numPr>
        <w:adjustRightInd w:val="0"/>
        <w:snapToGrid w:val="0"/>
        <w:spacing w:line="360" w:lineRule="auto"/>
        <w:ind w:left="1128" w:firstLineChars="0"/>
        <w:rPr>
          <w:color w:val="auto"/>
        </w:rPr>
      </w:pPr>
      <w:r>
        <w:rPr>
          <w:color w:val="auto"/>
        </w:rPr>
        <w:t>《用人单位劳动防护用品管理规范》（安监总厅安健〔</w:t>
      </w:r>
      <w:r>
        <w:rPr>
          <w:rFonts w:ascii="Times New Roman" w:hAnsi="Times New Roman"/>
          <w:color w:val="auto"/>
        </w:rPr>
        <w:t>2015</w:t>
      </w:r>
      <w:r>
        <w:rPr>
          <w:color w:val="auto"/>
        </w:rPr>
        <w:t>〕</w:t>
      </w:r>
      <w:r>
        <w:rPr>
          <w:rFonts w:ascii="Times New Roman" w:hAnsi="Times New Roman"/>
          <w:color w:val="auto"/>
        </w:rPr>
        <w:t>124</w:t>
      </w:r>
      <w:r>
        <w:rPr>
          <w:color w:val="auto"/>
        </w:rPr>
        <w:t>号</w:t>
      </w:r>
      <w:r>
        <w:rPr>
          <w:rFonts w:hint="eastAsia"/>
          <w:color w:val="auto"/>
        </w:rPr>
        <w:t>，</w:t>
      </w:r>
      <w:r>
        <w:rPr>
          <w:rFonts w:hint="eastAsia" w:ascii="Times New Roman" w:hAnsi="Times New Roman"/>
          <w:color w:val="auto"/>
        </w:rPr>
        <w:t>2018</w:t>
      </w:r>
      <w:r>
        <w:rPr>
          <w:rFonts w:hint="eastAsia"/>
          <w:color w:val="auto"/>
        </w:rPr>
        <w:t>年修订</w:t>
      </w:r>
      <w:r>
        <w:rPr>
          <w:color w:val="auto"/>
        </w:rPr>
        <w:t>）</w:t>
      </w:r>
      <w:r>
        <w:rPr>
          <w:rFonts w:hint="eastAsia"/>
          <w:color w:val="auto"/>
        </w:rPr>
        <w:t>；</w:t>
      </w:r>
    </w:p>
    <w:p w14:paraId="4692147A">
      <w:pPr>
        <w:numPr>
          <w:ilvl w:val="0"/>
          <w:numId w:val="20"/>
        </w:numPr>
        <w:adjustRightInd w:val="0"/>
        <w:snapToGrid w:val="0"/>
        <w:spacing w:line="360" w:lineRule="auto"/>
        <w:ind w:left="1128" w:firstLineChars="0"/>
        <w:rPr>
          <w:color w:val="auto"/>
        </w:rPr>
      </w:pPr>
      <w:r>
        <w:rPr>
          <w:rFonts w:hint="eastAsia"/>
          <w:color w:val="auto"/>
          <w:lang w:eastAsia="zh-CN"/>
        </w:rPr>
        <w:t>《危险化学品目录》</w:t>
      </w:r>
      <w:r>
        <w:rPr>
          <w:rFonts w:hint="eastAsia"/>
          <w:color w:val="auto"/>
        </w:rPr>
        <w:t>（应急管理部等</w:t>
      </w:r>
      <w:r>
        <w:rPr>
          <w:rFonts w:hint="eastAsia" w:ascii="Times New Roman" w:hAnsi="Times New Roman"/>
          <w:color w:val="auto"/>
        </w:rPr>
        <w:t>10</w:t>
      </w:r>
      <w:r>
        <w:rPr>
          <w:rFonts w:hint="eastAsia"/>
          <w:color w:val="auto"/>
        </w:rPr>
        <w:t>部门公告，</w:t>
      </w:r>
      <w:r>
        <w:rPr>
          <w:rFonts w:hint="eastAsia" w:ascii="Times New Roman" w:hAnsi="Times New Roman"/>
          <w:color w:val="auto"/>
        </w:rPr>
        <w:t>2015</w:t>
      </w:r>
      <w:r>
        <w:rPr>
          <w:rFonts w:hint="eastAsia"/>
          <w:color w:val="auto"/>
        </w:rPr>
        <w:t>年第</w:t>
      </w:r>
      <w:r>
        <w:rPr>
          <w:rFonts w:hint="eastAsia" w:ascii="Times New Roman" w:hAnsi="Times New Roman"/>
          <w:color w:val="auto"/>
        </w:rPr>
        <w:t>5</w:t>
      </w:r>
      <w:r>
        <w:rPr>
          <w:rFonts w:hint="eastAsia"/>
          <w:color w:val="auto"/>
        </w:rPr>
        <w:t>号，</w:t>
      </w:r>
      <w:r>
        <w:rPr>
          <w:rFonts w:hint="eastAsia" w:ascii="Times New Roman" w:hAnsi="Times New Roman"/>
          <w:color w:val="auto"/>
        </w:rPr>
        <w:t>2022</w:t>
      </w:r>
      <w:r>
        <w:rPr>
          <w:rFonts w:hint="eastAsia"/>
          <w:color w:val="auto"/>
        </w:rPr>
        <w:t>年第</w:t>
      </w:r>
      <w:r>
        <w:rPr>
          <w:rFonts w:hint="eastAsia" w:ascii="Times New Roman" w:hAnsi="Times New Roman"/>
          <w:color w:val="auto"/>
        </w:rPr>
        <w:t>8</w:t>
      </w:r>
      <w:r>
        <w:rPr>
          <w:rFonts w:hint="eastAsia"/>
          <w:color w:val="auto"/>
        </w:rPr>
        <w:t>号）；</w:t>
      </w:r>
    </w:p>
    <w:p w14:paraId="44F41F11">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《各类监控化学品名录》（工业和信息化部令第</w:t>
      </w:r>
      <w:r>
        <w:rPr>
          <w:rFonts w:hint="eastAsia" w:ascii="Times New Roman" w:hAnsi="Times New Roman"/>
          <w:color w:val="auto"/>
        </w:rPr>
        <w:t>52</w:t>
      </w:r>
      <w:r>
        <w:rPr>
          <w:rFonts w:hint="eastAsia"/>
          <w:color w:val="auto"/>
        </w:rPr>
        <w:t>号）；</w:t>
      </w:r>
    </w:p>
    <w:p w14:paraId="21EA333E">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《易制爆危险化学品名录》（公安部</w:t>
      </w:r>
      <w:r>
        <w:rPr>
          <w:rFonts w:hint="eastAsia" w:ascii="Times New Roman" w:hAnsi="Times New Roman"/>
          <w:color w:val="auto"/>
        </w:rPr>
        <w:t>2017</w:t>
      </w:r>
      <w:r>
        <w:rPr>
          <w:rFonts w:hint="eastAsia"/>
          <w:color w:val="auto"/>
        </w:rPr>
        <w:t>年</w:t>
      </w:r>
      <w:r>
        <w:rPr>
          <w:rFonts w:hint="eastAsia" w:ascii="Times New Roman" w:hAnsi="Times New Roman"/>
          <w:color w:val="auto"/>
        </w:rPr>
        <w:t>5</w:t>
      </w:r>
      <w:r>
        <w:rPr>
          <w:rFonts w:hint="eastAsia"/>
          <w:color w:val="auto"/>
        </w:rPr>
        <w:t>月</w:t>
      </w:r>
      <w:r>
        <w:rPr>
          <w:rFonts w:hint="eastAsia" w:ascii="Times New Roman" w:hAnsi="Times New Roman"/>
          <w:color w:val="auto"/>
        </w:rPr>
        <w:t>11</w:t>
      </w:r>
      <w:r>
        <w:rPr>
          <w:rFonts w:hint="eastAsia"/>
          <w:color w:val="auto"/>
        </w:rPr>
        <w:t>日颁布）；</w:t>
      </w:r>
    </w:p>
    <w:p w14:paraId="27FFEB08">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《高毒物品目录》（卫法监发</w:t>
      </w:r>
      <w:r>
        <w:rPr>
          <w:rFonts w:hint="eastAsia"/>
          <w:color w:val="auto"/>
          <w:lang w:eastAsia="zh-CN"/>
        </w:rPr>
        <w:t>〔</w:t>
      </w:r>
      <w:r>
        <w:rPr>
          <w:rFonts w:hint="eastAsia" w:ascii="Times New Roman" w:hAnsi="Times New Roman"/>
          <w:color w:val="auto"/>
        </w:rPr>
        <w:t>2003</w:t>
      </w:r>
      <w:r>
        <w:rPr>
          <w:rFonts w:hint="eastAsia"/>
          <w:color w:val="auto"/>
          <w:lang w:eastAsia="zh-CN"/>
        </w:rPr>
        <w:t>〕</w:t>
      </w:r>
      <w:r>
        <w:rPr>
          <w:rFonts w:hint="eastAsia" w:ascii="Times New Roman" w:hAnsi="Times New Roman"/>
          <w:color w:val="auto"/>
        </w:rPr>
        <w:t>142</w:t>
      </w:r>
      <w:r>
        <w:rPr>
          <w:rFonts w:hint="eastAsia"/>
          <w:color w:val="auto"/>
        </w:rPr>
        <w:t>号）；</w:t>
      </w:r>
    </w:p>
    <w:p w14:paraId="03D1D833">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《产业结构调整指导目录（2024年本）》（中华人民共和国国家发展和改革委员会令第7号）；</w:t>
      </w:r>
    </w:p>
    <w:p w14:paraId="10863DDC">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lang w:val="en-US" w:eastAsia="zh-CN"/>
        </w:rPr>
        <w:t>《国家安全生产监督管理总局办公厅关于公布首批重点监管的危险化学品名录的通知》（原安监管三</w:t>
      </w:r>
      <w:r>
        <w:rPr>
          <w:rFonts w:hint="default"/>
          <w:lang w:val="en-US" w:eastAsia="zh-CN"/>
        </w:rPr>
        <w:t>[2011]95</w:t>
      </w:r>
      <w:r>
        <w:rPr>
          <w:rFonts w:hint="eastAsia"/>
          <w:lang w:val="en-US" w:eastAsia="zh-CN"/>
        </w:rPr>
        <w:t>号）</w:t>
      </w:r>
      <w:r>
        <w:rPr>
          <w:rFonts w:hint="eastAsia"/>
          <w:color w:val="auto"/>
        </w:rPr>
        <w:t>；</w:t>
      </w:r>
    </w:p>
    <w:p w14:paraId="59A9BDE9">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lang w:val="en-US" w:eastAsia="zh-CN"/>
        </w:rPr>
        <w:t>《国家安全监管总局办公厅关于印发首批重点监管的危险化学品安全措施和应急处置原则的通知》（原安监总厅管三〔</w:t>
      </w:r>
      <w:r>
        <w:rPr>
          <w:rFonts w:hint="default"/>
          <w:lang w:val="en-US" w:eastAsia="zh-CN"/>
        </w:rPr>
        <w:t>2011</w:t>
      </w:r>
      <w:r>
        <w:rPr>
          <w:rFonts w:hint="eastAsia"/>
          <w:lang w:val="en-US" w:eastAsia="zh-CN"/>
        </w:rPr>
        <w:t>〕</w:t>
      </w:r>
      <w:r>
        <w:rPr>
          <w:rFonts w:hint="default"/>
          <w:lang w:val="en-US" w:eastAsia="zh-CN"/>
        </w:rPr>
        <w:t>142</w:t>
      </w:r>
      <w:r>
        <w:rPr>
          <w:rFonts w:hint="eastAsia"/>
          <w:lang w:val="en-US" w:eastAsia="zh-CN"/>
        </w:rPr>
        <w:t>号）</w:t>
      </w:r>
      <w:r>
        <w:rPr>
          <w:rFonts w:hint="eastAsia"/>
          <w:color w:val="auto"/>
        </w:rPr>
        <w:t>；</w:t>
      </w:r>
    </w:p>
    <w:p w14:paraId="62410853">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lang w:val="en-US" w:eastAsia="zh-CN"/>
        </w:rPr>
        <w:t>《国家安全监管总局关于公布第二批重点监管危险化学品名录的通知》（原安监总管三</w:t>
      </w:r>
      <w:r>
        <w:rPr>
          <w:rFonts w:hint="default"/>
          <w:lang w:val="en-US" w:eastAsia="zh-CN"/>
        </w:rPr>
        <w:t>[2013]12</w:t>
      </w:r>
      <w:r>
        <w:rPr>
          <w:rFonts w:hint="eastAsia"/>
          <w:lang w:val="en-US" w:eastAsia="zh-CN"/>
        </w:rPr>
        <w:t>号）</w:t>
      </w:r>
      <w:r>
        <w:rPr>
          <w:rFonts w:hint="eastAsia"/>
          <w:color w:val="auto"/>
        </w:rPr>
        <w:t>；</w:t>
      </w:r>
    </w:p>
    <w:p w14:paraId="7B675A88">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lang w:val="en-US" w:eastAsia="zh-CN"/>
        </w:rPr>
        <w:t>《国家安全监管总局关于公布首批重点监管的危险化工工艺目录的通知》（原安监总管三</w:t>
      </w:r>
      <w:r>
        <w:rPr>
          <w:rFonts w:hint="default"/>
          <w:lang w:val="en-US" w:eastAsia="zh-CN"/>
        </w:rPr>
        <w:t>[2009]116</w:t>
      </w:r>
      <w:r>
        <w:rPr>
          <w:rFonts w:hint="eastAsia"/>
          <w:lang w:val="en-US" w:eastAsia="zh-CN"/>
        </w:rPr>
        <w:t>号）；</w:t>
      </w:r>
    </w:p>
    <w:p w14:paraId="6FAB559F">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lang w:val="en-US" w:eastAsia="zh-CN"/>
        </w:rPr>
        <w:t>《国家安全监管总局关于公布第二批重点监管危险化工工艺目录和调整首批重点监管危险化工工艺中部分典型工艺的通知》（原安监总管三</w:t>
      </w:r>
      <w:r>
        <w:rPr>
          <w:rFonts w:hint="default"/>
          <w:lang w:val="en-US" w:eastAsia="zh-CN"/>
        </w:rPr>
        <w:t>[2013]3</w:t>
      </w:r>
      <w:r>
        <w:rPr>
          <w:rFonts w:hint="eastAsia"/>
          <w:lang w:val="en-US" w:eastAsia="zh-CN"/>
        </w:rPr>
        <w:t>号）；</w:t>
      </w:r>
    </w:p>
    <w:p w14:paraId="09B6F341">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《国家安全监管总局关于印发〈化工和危险化学品生产经营单位重大生产安全事故隐患判定标准（试行）〉的通知》（</w:t>
      </w:r>
      <w:r>
        <w:rPr>
          <w:rFonts w:hint="eastAsia"/>
          <w:color w:val="auto"/>
          <w:lang w:eastAsia="zh-CN"/>
        </w:rPr>
        <w:t>安</w:t>
      </w:r>
      <w:r>
        <w:rPr>
          <w:rFonts w:hint="eastAsia"/>
          <w:color w:val="auto"/>
        </w:rPr>
        <w:t>监总管三〔</w:t>
      </w:r>
      <w:r>
        <w:rPr>
          <w:rFonts w:hint="eastAsia" w:ascii="Times New Roman" w:hAnsi="Times New Roman"/>
          <w:color w:val="auto"/>
        </w:rPr>
        <w:t>2017</w:t>
      </w:r>
      <w:r>
        <w:rPr>
          <w:rFonts w:hint="eastAsia"/>
          <w:color w:val="auto"/>
        </w:rPr>
        <w:t>〕</w:t>
      </w:r>
      <w:r>
        <w:rPr>
          <w:rFonts w:hint="eastAsia" w:ascii="Times New Roman" w:hAnsi="Times New Roman"/>
          <w:color w:val="auto"/>
        </w:rPr>
        <w:t>121</w:t>
      </w:r>
      <w:r>
        <w:rPr>
          <w:rFonts w:hint="eastAsia"/>
          <w:color w:val="auto"/>
        </w:rPr>
        <w:t>号）</w:t>
      </w:r>
    </w:p>
    <w:p w14:paraId="3E6E3A26">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《特别管控危险化学品目录（第一版）》（应急管理部等</w:t>
      </w:r>
      <w:r>
        <w:rPr>
          <w:rFonts w:hint="eastAsia" w:ascii="Times New Roman" w:hAnsi="Times New Roman"/>
          <w:color w:val="auto"/>
        </w:rPr>
        <w:t>4</w:t>
      </w:r>
      <w:r>
        <w:rPr>
          <w:rFonts w:hint="eastAsia"/>
          <w:color w:val="auto"/>
        </w:rPr>
        <w:t>部门公告，</w:t>
      </w:r>
      <w:r>
        <w:rPr>
          <w:rFonts w:hint="eastAsia" w:ascii="Times New Roman" w:hAnsi="Times New Roman"/>
          <w:color w:val="auto"/>
        </w:rPr>
        <w:t>2020</w:t>
      </w:r>
      <w:r>
        <w:rPr>
          <w:rFonts w:hint="eastAsia"/>
          <w:color w:val="auto"/>
        </w:rPr>
        <w:t>年第</w:t>
      </w:r>
      <w:r>
        <w:rPr>
          <w:rFonts w:hint="eastAsia" w:ascii="Times New Roman" w:hAnsi="Times New Roman"/>
          <w:color w:val="auto"/>
        </w:rPr>
        <w:t>3</w:t>
      </w:r>
      <w:r>
        <w:rPr>
          <w:rFonts w:hint="eastAsia"/>
          <w:color w:val="auto"/>
        </w:rPr>
        <w:t>号）；</w:t>
      </w:r>
    </w:p>
    <w:p w14:paraId="5A82F657">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《企业安全生产费用提取和使用管理办法》（财资〔</w:t>
      </w:r>
      <w:r>
        <w:rPr>
          <w:rFonts w:hint="eastAsia" w:ascii="Times New Roman" w:hAnsi="Times New Roman"/>
          <w:color w:val="auto"/>
        </w:rPr>
        <w:t>2022</w:t>
      </w:r>
      <w:r>
        <w:rPr>
          <w:rFonts w:hint="eastAsia"/>
          <w:color w:val="auto"/>
        </w:rPr>
        <w:t>〕</w:t>
      </w:r>
      <w:r>
        <w:rPr>
          <w:rFonts w:hint="eastAsia" w:ascii="Times New Roman" w:hAnsi="Times New Roman"/>
          <w:color w:val="auto"/>
        </w:rPr>
        <w:t>136</w:t>
      </w:r>
      <w:r>
        <w:rPr>
          <w:rFonts w:hint="eastAsia"/>
          <w:color w:val="auto"/>
        </w:rPr>
        <w:t>号）</w:t>
      </w:r>
      <w:r>
        <w:rPr>
          <w:rFonts w:hint="eastAsia"/>
          <w:color w:val="auto"/>
          <w:lang w:eastAsia="zh-CN"/>
        </w:rPr>
        <w:t>；</w:t>
      </w:r>
    </w:p>
    <w:p w14:paraId="1E4B6C0C">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rPr>
        <w:t>《建设工程消防设计审查验收管理暂行规定》（</w:t>
      </w:r>
      <w:r>
        <w:rPr>
          <w:rFonts w:hint="eastAsia" w:ascii="Times New Roman" w:hAnsi="Times New Roman"/>
          <w:color w:val="auto"/>
        </w:rPr>
        <w:t>2023</w:t>
      </w:r>
      <w:r>
        <w:rPr>
          <w:rFonts w:hint="eastAsia"/>
          <w:color w:val="auto"/>
        </w:rPr>
        <w:t>年</w:t>
      </w:r>
      <w:r>
        <w:rPr>
          <w:rFonts w:hint="eastAsia" w:ascii="Times New Roman" w:hAnsi="Times New Roman"/>
          <w:color w:val="auto"/>
        </w:rPr>
        <w:t>8</w:t>
      </w:r>
      <w:r>
        <w:rPr>
          <w:rFonts w:hint="eastAsia"/>
          <w:color w:val="auto"/>
        </w:rPr>
        <w:t>月</w:t>
      </w:r>
      <w:r>
        <w:rPr>
          <w:rFonts w:hint="eastAsia" w:ascii="Times New Roman" w:hAnsi="Times New Roman"/>
          <w:color w:val="auto"/>
        </w:rPr>
        <w:t>21</w:t>
      </w:r>
      <w:r>
        <w:rPr>
          <w:rFonts w:hint="eastAsia"/>
          <w:color w:val="auto"/>
        </w:rPr>
        <w:t>日中华人民共和国住房和城乡建设部令第</w:t>
      </w:r>
      <w:r>
        <w:rPr>
          <w:rFonts w:hint="eastAsia" w:ascii="Times New Roman" w:hAnsi="Times New Roman"/>
          <w:color w:val="auto"/>
        </w:rPr>
        <w:t>58</w:t>
      </w:r>
      <w:r>
        <w:rPr>
          <w:rFonts w:hint="eastAsia"/>
          <w:color w:val="auto"/>
        </w:rPr>
        <w:t>号公布）</w:t>
      </w:r>
      <w:r>
        <w:rPr>
          <w:rFonts w:hint="eastAsia"/>
          <w:color w:val="auto"/>
          <w:lang w:eastAsia="zh-CN"/>
        </w:rPr>
        <w:t>；</w:t>
      </w:r>
    </w:p>
    <w:p w14:paraId="45903050">
      <w:pPr>
        <w:keepNext w:val="0"/>
        <w:keepLines w:val="0"/>
        <w:pageBreakBefore w:val="0"/>
        <w:widowControl w:val="0"/>
        <w:numPr>
          <w:ilvl w:val="0"/>
          <w:numId w:val="20"/>
        </w:numPr>
        <w:kinsoku/>
        <w:wordWrap/>
        <w:overflowPunct/>
        <w:topLinePunct w:val="0"/>
        <w:autoSpaceDE/>
        <w:autoSpaceDN/>
        <w:bidi w:val="0"/>
        <w:adjustRightInd w:val="0"/>
        <w:snapToGrid w:val="0"/>
        <w:spacing w:line="360" w:lineRule="auto"/>
        <w:ind w:left="1128" w:hanging="420" w:firstLineChars="0"/>
        <w:textAlignment w:val="auto"/>
        <w:rPr>
          <w:color w:val="auto"/>
        </w:rPr>
      </w:pPr>
      <w:r>
        <w:rPr>
          <w:rFonts w:hint="eastAsia"/>
          <w:color w:val="auto"/>
          <w:lang w:eastAsia="zh-CN"/>
        </w:rPr>
        <w:t>《职业病危害因素分类目录》（国卫疾控发〔</w:t>
      </w:r>
      <w:r>
        <w:rPr>
          <w:rFonts w:hint="eastAsia" w:ascii="Times New Roman" w:hAnsi="Times New Roman"/>
          <w:color w:val="auto"/>
          <w:lang w:eastAsia="zh-CN"/>
        </w:rPr>
        <w:t>2015</w:t>
      </w:r>
      <w:r>
        <w:rPr>
          <w:rFonts w:hint="eastAsia"/>
          <w:color w:val="auto"/>
          <w:lang w:eastAsia="zh-CN"/>
        </w:rPr>
        <w:t>〕</w:t>
      </w:r>
      <w:r>
        <w:rPr>
          <w:rFonts w:hint="eastAsia" w:ascii="Times New Roman" w:hAnsi="Times New Roman"/>
          <w:color w:val="auto"/>
          <w:lang w:eastAsia="zh-CN"/>
        </w:rPr>
        <w:t>92</w:t>
      </w:r>
      <w:r>
        <w:rPr>
          <w:rFonts w:hint="eastAsia"/>
          <w:color w:val="auto"/>
          <w:lang w:eastAsia="zh-CN"/>
        </w:rPr>
        <w:t>号）。</w:t>
      </w:r>
    </w:p>
    <w:p w14:paraId="3FCC1B39">
      <w:pPr>
        <w:pStyle w:val="4"/>
        <w:snapToGrid w:val="0"/>
        <w:spacing w:line="360" w:lineRule="auto"/>
        <w:jc w:val="both"/>
        <w:rPr>
          <w:rFonts w:hint="default" w:ascii="Times New Roman" w:hAnsi="Times New Roman" w:eastAsia="黑体" w:cs="Times New Roman"/>
          <w:color w:val="auto"/>
          <w:lang w:val="en-US" w:eastAsia="zh-CN"/>
        </w:rPr>
      </w:pPr>
      <w:bookmarkStart w:id="770" w:name="_Toc5845"/>
      <w:r>
        <w:rPr>
          <w:rFonts w:hint="default" w:ascii="Times New Roman" w:hAnsi="Times New Roman" w:eastAsia="黑体" w:cs="Times New Roman"/>
          <w:color w:val="auto"/>
          <w:lang w:val="en-US" w:eastAsia="zh-CN"/>
        </w:rPr>
        <w:t>F</w:t>
      </w:r>
      <w:r>
        <w:rPr>
          <w:rFonts w:hint="eastAsia" w:eastAsia="黑体" w:cs="Times New Roman"/>
          <w:color w:val="auto"/>
          <w:lang w:val="en-US" w:eastAsia="zh-CN"/>
        </w:rPr>
        <w:t>5</w:t>
      </w:r>
      <w:r>
        <w:rPr>
          <w:rFonts w:hint="default" w:ascii="Times New Roman" w:hAnsi="Times New Roman" w:eastAsia="黑体" w:cs="Times New Roman"/>
          <w:color w:val="auto"/>
          <w:lang w:val="en-US" w:eastAsia="zh-CN"/>
        </w:rPr>
        <w:t>.4地方性法规及文件</w:t>
      </w:r>
      <w:bookmarkEnd w:id="770"/>
    </w:p>
    <w:p w14:paraId="55095BB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bookmarkStart w:id="771" w:name="_Toc17127"/>
      <w:bookmarkStart w:id="772" w:name="_Toc22069"/>
      <w:r>
        <w:rPr>
          <w:rFonts w:ascii="Times New Roman" w:hAnsi="Times New Roman" w:eastAsia="宋体" w:cs="Times New Roman"/>
          <w:color w:val="auto"/>
          <w:lang w:val="zh-CN"/>
        </w:rPr>
        <w:t>《江西省安全生产条例》（2023年7月26日江西省第十四届人民代表大会常务委员会第三次会议第二次修订）</w:t>
      </w:r>
      <w:r>
        <w:rPr>
          <w:rFonts w:hint="eastAsia" w:ascii="Times New Roman" w:hAnsi="Times New Roman" w:eastAsia="宋体" w:cs="Times New Roman"/>
          <w:color w:val="auto"/>
          <w:lang w:val="zh-CN"/>
        </w:rPr>
        <w:t>；</w:t>
      </w:r>
    </w:p>
    <w:p w14:paraId="476E9A74">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ascii="Times New Roman" w:hAnsi="Times New Roman" w:eastAsia="宋体" w:cs="Times New Roman"/>
          <w:color w:val="auto"/>
          <w:lang w:val="zh-CN"/>
        </w:rPr>
        <w:t>《江西省消防条例》（2020年11月25日江西省第十三届人民代表大会常务委员会第</w:t>
      </w:r>
      <w:r>
        <w:rPr>
          <w:rFonts w:hint="eastAsia" w:ascii="Times New Roman" w:hAnsi="Times New Roman" w:eastAsia="宋体" w:cs="Times New Roman"/>
          <w:color w:val="auto"/>
          <w:lang w:val="zh-CN"/>
        </w:rPr>
        <w:t>二十五</w:t>
      </w:r>
      <w:r>
        <w:rPr>
          <w:rFonts w:ascii="Times New Roman" w:hAnsi="Times New Roman" w:eastAsia="宋体" w:cs="Times New Roman"/>
          <w:color w:val="auto"/>
          <w:lang w:val="zh-CN"/>
        </w:rPr>
        <w:t>次会议第</w:t>
      </w:r>
      <w:r>
        <w:rPr>
          <w:rFonts w:hint="eastAsia" w:ascii="Times New Roman" w:hAnsi="Times New Roman" w:eastAsia="宋体" w:cs="Times New Roman"/>
          <w:color w:val="auto"/>
          <w:lang w:val="zh-CN"/>
        </w:rPr>
        <w:t>六</w:t>
      </w:r>
      <w:r>
        <w:rPr>
          <w:rFonts w:ascii="Times New Roman" w:hAnsi="Times New Roman" w:eastAsia="宋体" w:cs="Times New Roman"/>
          <w:color w:val="auto"/>
          <w:lang w:val="zh-CN"/>
        </w:rPr>
        <w:t>次修正）</w:t>
      </w:r>
      <w:r>
        <w:rPr>
          <w:rFonts w:hint="eastAsia" w:ascii="Times New Roman" w:hAnsi="Times New Roman" w:eastAsia="宋体" w:cs="Times New Roman"/>
          <w:color w:val="auto"/>
          <w:lang w:val="zh-CN" w:eastAsia="zh-CN"/>
        </w:rPr>
        <w:t>；</w:t>
      </w:r>
    </w:p>
    <w:p w14:paraId="1A2837D6">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《江西省消防安全责任制实施办法》（江西省人民政府令[2021]第252号发布）；</w:t>
      </w:r>
    </w:p>
    <w:p w14:paraId="40413FB4">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中共江西省委办公厅 江西省人民政府办公厅印发《关于全面加强危险化学品安全生产工作的实施意见》的通知；</w:t>
      </w:r>
    </w:p>
    <w:p w14:paraId="6CA308F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《江西省安全生产专项整治三年行动实施方案》（江西省安委会</w:t>
      </w:r>
      <w:r>
        <w:rPr>
          <w:rFonts w:hint="eastAsia" w:cs="Times New Roman"/>
          <w:color w:val="auto"/>
          <w:lang w:val="zh-CN"/>
        </w:rPr>
        <w:t>〔2020〕</w:t>
      </w:r>
      <w:r>
        <w:rPr>
          <w:rFonts w:hint="eastAsia" w:ascii="Times New Roman" w:hAnsi="Times New Roman" w:eastAsia="宋体" w:cs="Times New Roman"/>
          <w:color w:val="auto"/>
          <w:lang w:val="zh-CN"/>
        </w:rPr>
        <w:t>）；</w:t>
      </w:r>
    </w:p>
    <w:p w14:paraId="769C6440">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《江西省危险化学品安全专项整治三年行动实施方案》（赣安〔2020〕6号）；</w:t>
      </w:r>
    </w:p>
    <w:p w14:paraId="50572A6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《江西省应急管理厅办公室关于开展危险化学品安全风险评估诊断分级等三项工作的通知》（赣应急办字〔2020〕53号）；</w:t>
      </w:r>
    </w:p>
    <w:p w14:paraId="511C765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《江西省安委会关于印发江西省安全生产专项整治三年行动“十大攻坚战”工作方案的通知》（赣安〔2021〕2号）；</w:t>
      </w:r>
    </w:p>
    <w:p w14:paraId="29EF97BF">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《江西省化工企业安全生产五十条禁令》（</w:t>
      </w:r>
      <w:r>
        <w:rPr>
          <w:rFonts w:hint="eastAsia" w:ascii="Times New Roman" w:hAnsi="Times New Roman" w:eastAsia="宋体" w:cs="Times New Roman"/>
          <w:color w:val="auto"/>
          <w:lang w:val="zh-CN" w:eastAsia="zh-CN"/>
        </w:rPr>
        <w:t>赣</w:t>
      </w:r>
      <w:r>
        <w:rPr>
          <w:rFonts w:hint="eastAsia" w:ascii="Times New Roman" w:hAnsi="Times New Roman" w:eastAsia="宋体" w:cs="Times New Roman"/>
          <w:color w:val="auto"/>
          <w:lang w:val="zh-CN"/>
        </w:rPr>
        <w:t>安监管二字〔2013〕15号）；</w:t>
      </w:r>
    </w:p>
    <w:p w14:paraId="4C0A487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《江西省安全生产监督管理局关于贯彻﹤危险化学品经营许可证管理办法的通知》（</w:t>
      </w:r>
      <w:r>
        <w:rPr>
          <w:rFonts w:hint="eastAsia" w:ascii="Times New Roman" w:hAnsi="Times New Roman" w:eastAsia="宋体" w:cs="Times New Roman"/>
          <w:color w:val="auto"/>
          <w:lang w:val="zh-CN" w:eastAsia="zh-CN"/>
        </w:rPr>
        <w:t>赣</w:t>
      </w:r>
      <w:r>
        <w:rPr>
          <w:rFonts w:hint="eastAsia" w:ascii="Times New Roman" w:hAnsi="Times New Roman" w:eastAsia="宋体" w:cs="Times New Roman"/>
          <w:color w:val="auto"/>
          <w:lang w:val="zh-CN"/>
        </w:rPr>
        <w:t>安监管二字﹝2013﹞14号）；</w:t>
      </w:r>
    </w:p>
    <w:p w14:paraId="366052D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ascii="Times New Roman" w:hAnsi="Times New Roman" w:eastAsia="宋体" w:cs="Times New Roman"/>
          <w:color w:val="auto"/>
          <w:lang w:val="zh-CN"/>
        </w:rPr>
      </w:pPr>
      <w:r>
        <w:rPr>
          <w:rFonts w:hint="eastAsia" w:ascii="Times New Roman" w:hAnsi="Times New Roman" w:eastAsia="宋体" w:cs="Times New Roman"/>
          <w:color w:val="auto"/>
          <w:lang w:val="zh-CN"/>
        </w:rPr>
        <w:t>《关于进一步加强防雷安全管理工作的意见》（赣安办字</w:t>
      </w:r>
      <w:r>
        <w:rPr>
          <w:rFonts w:hint="eastAsia" w:ascii="Times New Roman" w:hAnsi="Times New Roman" w:eastAsia="宋体" w:cs="Times New Roman"/>
          <w:color w:val="auto"/>
          <w:lang w:val="zh-CN" w:eastAsia="zh-CN"/>
        </w:rPr>
        <w:t>〔</w:t>
      </w:r>
      <w:r>
        <w:rPr>
          <w:rFonts w:hint="eastAsia" w:ascii="Times New Roman" w:hAnsi="Times New Roman" w:eastAsia="宋体" w:cs="Times New Roman"/>
          <w:color w:val="auto"/>
          <w:lang w:val="zh-CN"/>
        </w:rPr>
        <w:t>2010</w:t>
      </w:r>
      <w:r>
        <w:rPr>
          <w:rFonts w:hint="eastAsia" w:ascii="Times New Roman" w:hAnsi="Times New Roman" w:eastAsia="宋体" w:cs="Times New Roman"/>
          <w:color w:val="auto"/>
          <w:lang w:val="zh-CN" w:eastAsia="zh-CN"/>
        </w:rPr>
        <w:t>〕</w:t>
      </w:r>
      <w:r>
        <w:rPr>
          <w:rFonts w:hint="eastAsia" w:ascii="Times New Roman" w:hAnsi="Times New Roman" w:eastAsia="宋体" w:cs="Times New Roman"/>
          <w:color w:val="auto"/>
          <w:lang w:val="zh-CN"/>
        </w:rPr>
        <w:t>31号）；</w:t>
      </w:r>
    </w:p>
    <w:p w14:paraId="27B16B40">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《江西省生产安全事故隐患排查治理办法》（江西省人民政府令[2018]第238号，</w:t>
      </w:r>
      <w:r>
        <w:rPr>
          <w:rFonts w:hint="eastAsia"/>
          <w:sz w:val="28"/>
          <w:szCs w:val="28"/>
        </w:rPr>
        <w:t>2021年6月9日省人民政府令第250号第一次修正</w:t>
      </w:r>
      <w:r>
        <w:rPr>
          <w:rFonts w:hint="eastAsia" w:ascii="Times New Roman" w:hAnsi="Times New Roman" w:eastAsia="宋体" w:cs="Times New Roman"/>
          <w:color w:val="auto"/>
          <w:lang w:val="zh-CN"/>
        </w:rPr>
        <w:t>）；</w:t>
      </w:r>
    </w:p>
    <w:p w14:paraId="595248D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《赣州市应急管理局关于印发赣州市化工和危险化学品等领域安全生产治本攻坚三年行动实施方案（2024-2026年）的通知》（赣市应急字〔2024〕14号）；</w:t>
      </w:r>
    </w:p>
    <w:p w14:paraId="426F2E80">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eastAsia="zh-CN"/>
        </w:rPr>
        <w:t>《化工企业生产过程异常工况安全处置准则(试行)》（应急厅</w:t>
      </w:r>
      <w:r>
        <w:rPr>
          <w:rFonts w:hint="eastAsia" w:cs="Times New Roman"/>
          <w:color w:val="auto"/>
          <w:lang w:val="zh-CN" w:eastAsia="zh-CN"/>
        </w:rPr>
        <w:t>〔2024〕17号</w:t>
      </w:r>
      <w:r>
        <w:rPr>
          <w:rFonts w:hint="eastAsia" w:ascii="Times New Roman" w:hAnsi="Times New Roman" w:eastAsia="宋体" w:cs="Times New Roman"/>
          <w:color w:val="auto"/>
          <w:lang w:val="zh-CN" w:eastAsia="zh-CN"/>
        </w:rPr>
        <w:t>）；</w:t>
      </w:r>
    </w:p>
    <w:p w14:paraId="0C04FEA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《关于进一步规范和加强加油站安全管理工作的通知》（</w:t>
      </w:r>
      <w:r>
        <w:rPr>
          <w:rFonts w:hint="eastAsia" w:ascii="Times New Roman" w:hAnsi="Times New Roman" w:eastAsia="宋体" w:cs="Times New Roman"/>
          <w:color w:val="auto"/>
          <w:lang w:val="zh-CN" w:eastAsia="zh-CN"/>
        </w:rPr>
        <w:t>赣</w:t>
      </w:r>
      <w:r>
        <w:rPr>
          <w:rFonts w:hint="eastAsia" w:ascii="Times New Roman" w:hAnsi="Times New Roman" w:eastAsia="宋体" w:cs="Times New Roman"/>
          <w:color w:val="auto"/>
          <w:lang w:val="zh-CN"/>
        </w:rPr>
        <w:t>市安监〔2018〕76号）；</w:t>
      </w:r>
    </w:p>
    <w:p w14:paraId="2F13AE06">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ascii="Times New Roman" w:hAnsi="Times New Roman" w:eastAsia="宋体" w:cs="Times New Roman"/>
          <w:color w:val="auto"/>
          <w:lang w:val="zh-CN"/>
        </w:rPr>
        <w:t>《关于开展全市加油站合法合规性专项执法检查的通知》</w:t>
      </w:r>
      <w:r>
        <w:rPr>
          <w:rFonts w:hint="eastAsia" w:ascii="Times New Roman" w:hAnsi="Times New Roman" w:eastAsia="宋体" w:cs="Times New Roman"/>
          <w:color w:val="auto"/>
          <w:lang w:val="zh-CN"/>
        </w:rPr>
        <w:t>（</w:t>
      </w:r>
      <w:r>
        <w:rPr>
          <w:rFonts w:hint="eastAsia" w:ascii="Times New Roman" w:hAnsi="Times New Roman" w:eastAsia="宋体" w:cs="Times New Roman"/>
          <w:color w:val="auto"/>
          <w:lang w:val="zh-CN" w:eastAsia="zh-CN"/>
        </w:rPr>
        <w:t>赣</w:t>
      </w:r>
      <w:r>
        <w:rPr>
          <w:rFonts w:hint="eastAsia" w:ascii="Times New Roman" w:hAnsi="Times New Roman" w:eastAsia="宋体" w:cs="Times New Roman"/>
          <w:color w:val="auto"/>
          <w:lang w:val="zh-CN"/>
        </w:rPr>
        <w:t>市安监〔2018〕73号）；</w:t>
      </w:r>
    </w:p>
    <w:p w14:paraId="627B6567">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《江西省人民政府办公厅关于印发《江西省生产经营单位安全生产主体责任规定》的通知》赣府厅发〔2024〕20号</w:t>
      </w:r>
      <w:r>
        <w:rPr>
          <w:rFonts w:hint="eastAsia" w:ascii="Times New Roman" w:hAnsi="Times New Roman" w:eastAsia="宋体" w:cs="Times New Roman"/>
          <w:color w:val="auto"/>
          <w:lang w:val="zh-CN" w:eastAsia="zh-CN"/>
        </w:rPr>
        <w:t>；</w:t>
      </w:r>
    </w:p>
    <w:p w14:paraId="16FD7ED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《江西省危险化学品建设项目安全监督管理实施细则（试行）》赣应急字〔2021〕100号</w:t>
      </w:r>
      <w:r>
        <w:rPr>
          <w:rFonts w:hint="eastAsia" w:cs="Times New Roman"/>
          <w:color w:val="auto"/>
          <w:lang w:val="zh-CN"/>
        </w:rPr>
        <w:t>；</w:t>
      </w:r>
    </w:p>
    <w:p w14:paraId="47177392">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ascii="Times New Roman" w:hAnsi="Times New Roman" w:eastAsia="宋体" w:cs="Times New Roman"/>
          <w:color w:val="auto"/>
          <w:lang w:val="zh-CN"/>
        </w:rPr>
      </w:pPr>
      <w:r>
        <w:rPr>
          <w:rFonts w:hint="eastAsia" w:ascii="Times New Roman" w:hAnsi="Times New Roman" w:eastAsia="宋体" w:cs="Times New Roman"/>
          <w:color w:val="auto"/>
          <w:lang w:val="zh-CN"/>
        </w:rPr>
        <w:t>《江西省应急管理厅办公室关于印发</w:t>
      </w:r>
      <w:r>
        <w:rPr>
          <w:rFonts w:hint="eastAsia" w:ascii="Times New Roman" w:hAnsi="Times New Roman" w:eastAsia="宋体" w:cs="Times New Roman"/>
          <w:color w:val="auto"/>
          <w:lang w:val="zh-CN" w:eastAsia="zh-CN"/>
        </w:rPr>
        <w:t>〈</w:t>
      </w:r>
      <w:r>
        <w:rPr>
          <w:rFonts w:hint="eastAsia" w:ascii="Times New Roman" w:hAnsi="Times New Roman" w:eastAsia="宋体" w:cs="Times New Roman"/>
          <w:color w:val="auto"/>
          <w:lang w:val="zh-CN"/>
        </w:rPr>
        <w:t>加油站安全检查表</w:t>
      </w:r>
      <w:r>
        <w:rPr>
          <w:rFonts w:hint="eastAsia" w:ascii="Times New Roman" w:hAnsi="Times New Roman" w:eastAsia="宋体" w:cs="Times New Roman"/>
          <w:color w:val="auto"/>
          <w:lang w:val="zh-CN" w:eastAsia="zh-CN"/>
        </w:rPr>
        <w:t>〉</w:t>
      </w:r>
      <w:r>
        <w:rPr>
          <w:rFonts w:hint="eastAsia" w:ascii="Times New Roman" w:hAnsi="Times New Roman" w:eastAsia="宋体" w:cs="Times New Roman"/>
          <w:color w:val="auto"/>
          <w:lang w:val="zh-CN"/>
        </w:rPr>
        <w:t>的通知》（赣应急办字</w:t>
      </w:r>
      <w:r>
        <w:rPr>
          <w:rFonts w:hint="eastAsia" w:cs="Times New Roman"/>
          <w:color w:val="auto"/>
          <w:lang w:val="zh-CN"/>
        </w:rPr>
        <w:t>〔2023〕111号</w:t>
      </w:r>
      <w:r>
        <w:rPr>
          <w:rFonts w:hint="eastAsia" w:ascii="Times New Roman" w:hAnsi="Times New Roman" w:eastAsia="宋体" w:cs="Times New Roman"/>
          <w:color w:val="auto"/>
          <w:lang w:val="zh-CN"/>
        </w:rPr>
        <w:t>）。</w:t>
      </w:r>
    </w:p>
    <w:p w14:paraId="01A8CE42">
      <w:pPr>
        <w:pStyle w:val="4"/>
        <w:snapToGrid w:val="0"/>
        <w:spacing w:line="360" w:lineRule="auto"/>
        <w:jc w:val="both"/>
        <w:rPr>
          <w:rFonts w:hint="eastAsia" w:ascii="黑体" w:hAnsi="黑体" w:eastAsia="黑体"/>
          <w:color w:val="auto"/>
          <w:lang w:val="en-US" w:eastAsia="zh-CN"/>
        </w:rPr>
      </w:pPr>
      <w:bookmarkStart w:id="773" w:name="_Toc20752"/>
      <w:r>
        <w:rPr>
          <w:rFonts w:hint="eastAsia" w:ascii="Times New Roman" w:hAnsi="Times New Roman" w:eastAsia="黑体"/>
          <w:color w:val="auto"/>
          <w:lang w:val="en-US" w:eastAsia="zh-CN"/>
        </w:rPr>
        <w:t>F</w:t>
      </w:r>
      <w:r>
        <w:rPr>
          <w:rFonts w:hint="eastAsia" w:eastAsia="黑体"/>
          <w:color w:val="auto"/>
          <w:lang w:val="en-US" w:eastAsia="zh-CN"/>
        </w:rPr>
        <w:t>5</w:t>
      </w:r>
      <w:r>
        <w:rPr>
          <w:rFonts w:hint="eastAsia" w:ascii="黑体" w:hAnsi="黑体" w:eastAsia="黑体"/>
          <w:color w:val="auto"/>
          <w:lang w:val="en-US" w:eastAsia="zh-CN"/>
        </w:rPr>
        <w:t>.</w:t>
      </w:r>
      <w:r>
        <w:rPr>
          <w:rFonts w:hint="eastAsia" w:eastAsia="黑体"/>
          <w:color w:val="auto"/>
          <w:lang w:val="en-US" w:eastAsia="zh-CN"/>
        </w:rPr>
        <w:t>5</w:t>
      </w:r>
      <w:r>
        <w:rPr>
          <w:rFonts w:hint="eastAsia" w:ascii="黑体" w:hAnsi="黑体" w:eastAsia="黑体"/>
          <w:color w:val="auto"/>
          <w:lang w:val="en-US" w:eastAsia="zh-CN"/>
        </w:rPr>
        <w:t>相关安全标准及设计规范</w:t>
      </w:r>
      <w:bookmarkEnd w:id="771"/>
      <w:bookmarkEnd w:id="772"/>
      <w:bookmarkEnd w:id="773"/>
    </w:p>
    <w:p w14:paraId="085718E5">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bookmarkStart w:id="774" w:name="_Toc4539"/>
      <w:bookmarkStart w:id="775" w:name="_Toc24043"/>
      <w:bookmarkStart w:id="776" w:name="_Toc11184"/>
      <w:bookmarkStart w:id="777" w:name="_Toc12228"/>
      <w:bookmarkStart w:id="778" w:name="_Toc22539"/>
      <w:bookmarkStart w:id="779" w:name="_Toc15705"/>
      <w:r>
        <w:rPr>
          <w:rFonts w:hint="eastAsia"/>
          <w:color w:val="auto"/>
        </w:rPr>
        <w:t>《汽车加油加气加氢站技术标准》（</w:t>
      </w:r>
      <w:r>
        <w:rPr>
          <w:rFonts w:hint="eastAsia" w:ascii="Times New Roman" w:hAnsi="Times New Roman"/>
          <w:color w:val="auto"/>
        </w:rPr>
        <w:t>GB</w:t>
      </w:r>
      <w:r>
        <w:rPr>
          <w:rFonts w:hint="eastAsia"/>
          <w:color w:val="auto"/>
          <w:lang w:val="en-US" w:eastAsia="zh-CN"/>
        </w:rPr>
        <w:t xml:space="preserve"> </w:t>
      </w:r>
      <w:r>
        <w:rPr>
          <w:rFonts w:hint="eastAsia" w:ascii="Times New Roman" w:hAnsi="Times New Roman"/>
          <w:color w:val="auto"/>
        </w:rPr>
        <w:t>50156</w:t>
      </w:r>
      <w:r>
        <w:rPr>
          <w:rFonts w:hint="eastAsia"/>
          <w:color w:val="auto"/>
        </w:rPr>
        <w:t>-</w:t>
      </w:r>
      <w:r>
        <w:rPr>
          <w:rFonts w:hint="eastAsia" w:ascii="Times New Roman" w:hAnsi="Times New Roman"/>
          <w:color w:val="auto"/>
        </w:rPr>
        <w:t>2021</w:t>
      </w:r>
      <w:r>
        <w:rPr>
          <w:rFonts w:hint="eastAsia"/>
          <w:color w:val="auto"/>
        </w:rPr>
        <w:t>）；</w:t>
      </w:r>
    </w:p>
    <w:p w14:paraId="567D4CBC">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color w:val="auto"/>
          <w:lang w:val="zh-CN"/>
        </w:rPr>
        <w:t>《生产过程安全卫生要求总则》（</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12801</w:t>
      </w:r>
      <w:r>
        <w:rPr>
          <w:rFonts w:hint="eastAsia"/>
          <w:color w:val="auto"/>
          <w:lang w:val="zh-CN"/>
        </w:rPr>
        <w:t>-</w:t>
      </w:r>
      <w:r>
        <w:rPr>
          <w:rFonts w:hint="eastAsia" w:ascii="Times New Roman" w:hAnsi="Times New Roman"/>
          <w:color w:val="auto"/>
          <w:lang w:val="zh-CN"/>
        </w:rPr>
        <w:t>2008</w:t>
      </w:r>
      <w:r>
        <w:rPr>
          <w:color w:val="auto"/>
          <w:lang w:val="zh-CN"/>
        </w:rPr>
        <w:t>）；</w:t>
      </w:r>
    </w:p>
    <w:p w14:paraId="5C3C2CA2">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color w:val="auto"/>
          <w:lang w:val="zh-CN"/>
        </w:rPr>
        <w:t>《工业企业设计卫生标准》（</w:t>
      </w:r>
      <w:r>
        <w:rPr>
          <w:rFonts w:ascii="Times New Roman" w:hAnsi="Times New Roman"/>
          <w:color w:val="auto"/>
          <w:lang w:val="zh-CN"/>
        </w:rPr>
        <w:t>GB</w:t>
      </w:r>
      <w:r>
        <w:rPr>
          <w:rFonts w:hint="eastAsia" w:ascii="Times New Roman" w:hAnsi="Times New Roman"/>
          <w:color w:val="auto"/>
          <w:lang w:val="zh-CN"/>
        </w:rPr>
        <w:t>Z</w:t>
      </w:r>
      <w:r>
        <w:rPr>
          <w:rFonts w:ascii="Times New Roman" w:hAnsi="Times New Roman"/>
          <w:color w:val="auto"/>
          <w:lang w:val="zh-CN"/>
        </w:rPr>
        <w:t>1</w:t>
      </w:r>
      <w:r>
        <w:rPr>
          <w:color w:val="auto"/>
          <w:lang w:val="zh-CN"/>
        </w:rPr>
        <w:t>-</w:t>
      </w:r>
      <w:r>
        <w:rPr>
          <w:rFonts w:ascii="Times New Roman" w:hAnsi="Times New Roman"/>
          <w:color w:val="auto"/>
          <w:lang w:val="zh-CN"/>
        </w:rPr>
        <w:t>20</w:t>
      </w:r>
      <w:r>
        <w:rPr>
          <w:rFonts w:hint="eastAsia" w:ascii="Times New Roman" w:hAnsi="Times New Roman"/>
          <w:color w:val="auto"/>
          <w:lang w:val="zh-CN"/>
        </w:rPr>
        <w:t>10</w:t>
      </w:r>
      <w:r>
        <w:rPr>
          <w:color w:val="auto"/>
          <w:lang w:val="zh-CN"/>
        </w:rPr>
        <w:t>）；</w:t>
      </w:r>
    </w:p>
    <w:p w14:paraId="7B9053B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《个体防护装备配备规范 第</w:t>
      </w:r>
      <w:r>
        <w:rPr>
          <w:rFonts w:hint="eastAsia" w:ascii="Times New Roman" w:hAnsi="Times New Roman"/>
          <w:color w:val="auto"/>
          <w:lang w:val="zh-CN"/>
        </w:rPr>
        <w:t>1</w:t>
      </w:r>
      <w:r>
        <w:rPr>
          <w:rFonts w:hint="eastAsia"/>
          <w:color w:val="auto"/>
          <w:lang w:val="zh-CN"/>
        </w:rPr>
        <w:t>部分：总则》（</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39800</w:t>
      </w:r>
      <w:r>
        <w:rPr>
          <w:rFonts w:hint="eastAsia"/>
          <w:color w:val="auto"/>
          <w:lang w:val="zh-CN"/>
        </w:rPr>
        <w:t>.</w:t>
      </w:r>
      <w:r>
        <w:rPr>
          <w:rFonts w:hint="eastAsia" w:ascii="Times New Roman" w:hAnsi="Times New Roman"/>
          <w:color w:val="auto"/>
          <w:lang w:val="zh-CN"/>
        </w:rPr>
        <w:t>1</w:t>
      </w:r>
      <w:r>
        <w:rPr>
          <w:rFonts w:hint="eastAsia"/>
          <w:color w:val="auto"/>
          <w:lang w:val="zh-CN"/>
        </w:rPr>
        <w:t>-</w:t>
      </w:r>
      <w:r>
        <w:rPr>
          <w:rFonts w:hint="eastAsia" w:ascii="Times New Roman" w:hAnsi="Times New Roman"/>
          <w:color w:val="auto"/>
          <w:lang w:val="zh-CN"/>
        </w:rPr>
        <w:t>2020</w:t>
      </w:r>
      <w:r>
        <w:rPr>
          <w:rFonts w:hint="eastAsia"/>
          <w:color w:val="auto"/>
          <w:lang w:val="zh-CN"/>
        </w:rPr>
        <w:t>）</w:t>
      </w:r>
      <w:r>
        <w:rPr>
          <w:color w:val="auto"/>
          <w:lang w:val="zh-CN"/>
        </w:rPr>
        <w:t>；</w:t>
      </w:r>
    </w:p>
    <w:p w14:paraId="520F3E4C">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《个体防护装备配备规范 第</w:t>
      </w:r>
      <w:r>
        <w:rPr>
          <w:rFonts w:hint="eastAsia" w:ascii="Times New Roman" w:hAnsi="Times New Roman"/>
          <w:color w:val="auto"/>
          <w:lang w:val="zh-CN"/>
        </w:rPr>
        <w:t>2</w:t>
      </w:r>
      <w:r>
        <w:rPr>
          <w:rFonts w:hint="eastAsia"/>
          <w:color w:val="auto"/>
          <w:lang w:val="zh-CN"/>
        </w:rPr>
        <w:t>部分：石油、化工、天然气》（</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39800</w:t>
      </w:r>
      <w:r>
        <w:rPr>
          <w:rFonts w:hint="eastAsia"/>
          <w:color w:val="auto"/>
          <w:lang w:val="zh-CN"/>
        </w:rPr>
        <w:t>.</w:t>
      </w:r>
      <w:r>
        <w:rPr>
          <w:rFonts w:hint="eastAsia" w:ascii="Times New Roman" w:hAnsi="Times New Roman"/>
          <w:color w:val="auto"/>
          <w:lang w:val="zh-CN"/>
        </w:rPr>
        <w:t>2</w:t>
      </w:r>
      <w:r>
        <w:rPr>
          <w:rFonts w:hint="eastAsia"/>
          <w:color w:val="auto"/>
          <w:lang w:val="zh-CN"/>
        </w:rPr>
        <w:t>-</w:t>
      </w:r>
      <w:r>
        <w:rPr>
          <w:rFonts w:hint="eastAsia" w:ascii="Times New Roman" w:hAnsi="Times New Roman"/>
          <w:color w:val="auto"/>
          <w:lang w:val="zh-CN"/>
        </w:rPr>
        <w:t>2020</w:t>
      </w:r>
      <w:r>
        <w:rPr>
          <w:rFonts w:hint="eastAsia"/>
          <w:color w:val="auto"/>
          <w:lang w:val="zh-CN"/>
        </w:rPr>
        <w:t>）；</w:t>
      </w:r>
    </w:p>
    <w:p w14:paraId="566FFF5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color w:val="auto"/>
          <w:lang w:val="zh-CN"/>
        </w:rPr>
      </w:pPr>
      <w:r>
        <w:rPr>
          <w:color w:val="auto"/>
          <w:lang w:val="zh-CN"/>
        </w:rPr>
        <w:t>《建筑设计防火规范》</w:t>
      </w:r>
      <w:r>
        <w:rPr>
          <w:rFonts w:hint="eastAsia"/>
          <w:color w:val="auto"/>
          <w:lang w:val="zh-CN"/>
        </w:rPr>
        <w:t>（</w:t>
      </w:r>
      <w:r>
        <w:rPr>
          <w:rFonts w:hint="eastAsia" w:ascii="Times New Roman" w:hAnsi="Times New Roman"/>
          <w:color w:val="auto"/>
        </w:rPr>
        <w:t>2018</w:t>
      </w:r>
      <w:r>
        <w:rPr>
          <w:rFonts w:hint="eastAsia"/>
          <w:color w:val="auto"/>
        </w:rPr>
        <w:t>年版</w:t>
      </w:r>
      <w:r>
        <w:rPr>
          <w:rFonts w:hint="eastAsia"/>
          <w:color w:val="auto"/>
          <w:lang w:val="zh-CN"/>
        </w:rPr>
        <w:t>）</w:t>
      </w:r>
      <w:r>
        <w:rPr>
          <w:color w:val="auto"/>
          <w:lang w:val="zh-CN"/>
        </w:rPr>
        <w:t>（</w:t>
      </w:r>
      <w:r>
        <w:rPr>
          <w:rFonts w:ascii="Times New Roman" w:hAnsi="Times New Roman"/>
          <w:color w:val="auto"/>
          <w:lang w:val="zh-CN"/>
        </w:rPr>
        <w:t>GB50016</w:t>
      </w:r>
      <w:r>
        <w:rPr>
          <w:color w:val="auto"/>
          <w:lang w:val="zh-CN"/>
        </w:rPr>
        <w:t>-</w:t>
      </w:r>
      <w:r>
        <w:rPr>
          <w:rFonts w:ascii="Times New Roman" w:hAnsi="Times New Roman"/>
          <w:color w:val="auto"/>
          <w:lang w:val="zh-CN"/>
        </w:rPr>
        <w:t>20</w:t>
      </w:r>
      <w:r>
        <w:rPr>
          <w:rFonts w:hint="eastAsia" w:ascii="Times New Roman" w:hAnsi="Times New Roman"/>
          <w:color w:val="auto"/>
          <w:lang w:val="zh-CN"/>
        </w:rPr>
        <w:t>14</w:t>
      </w:r>
      <w:r>
        <w:rPr>
          <w:color w:val="auto"/>
          <w:lang w:val="zh-CN"/>
        </w:rPr>
        <w:t>）</w:t>
      </w:r>
      <w:r>
        <w:rPr>
          <w:rFonts w:hint="eastAsia"/>
          <w:color w:val="auto"/>
          <w:lang w:val="zh-CN"/>
        </w:rPr>
        <w:t>；</w:t>
      </w:r>
    </w:p>
    <w:p w14:paraId="02758C92">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rFonts w:hint="eastAsia"/>
          <w:color w:val="auto"/>
          <w:lang w:val="zh-CN"/>
        </w:rPr>
      </w:pPr>
      <w:r>
        <w:rPr>
          <w:rFonts w:hint="eastAsia"/>
          <w:color w:val="auto"/>
          <w:lang w:val="zh-CN" w:eastAsia="zh-CN"/>
        </w:rPr>
        <w:t>《消防设施通用规范》(</w:t>
      </w:r>
      <w:r>
        <w:rPr>
          <w:rFonts w:hint="eastAsia" w:ascii="Times New Roman" w:hAnsi="Times New Roman"/>
          <w:color w:val="auto"/>
          <w:lang w:val="zh-CN" w:eastAsia="zh-CN"/>
        </w:rPr>
        <w:t>GB55036</w:t>
      </w:r>
      <w:r>
        <w:rPr>
          <w:rFonts w:hint="eastAsia"/>
          <w:color w:val="auto"/>
          <w:lang w:val="zh-CN" w:eastAsia="zh-CN"/>
        </w:rPr>
        <w:t>-</w:t>
      </w:r>
      <w:r>
        <w:rPr>
          <w:rFonts w:hint="eastAsia" w:ascii="Times New Roman" w:hAnsi="Times New Roman"/>
          <w:color w:val="auto"/>
          <w:lang w:val="zh-CN" w:eastAsia="zh-CN"/>
        </w:rPr>
        <w:t>2022</w:t>
      </w:r>
      <w:r>
        <w:rPr>
          <w:rFonts w:hint="eastAsia"/>
          <w:color w:val="auto"/>
          <w:lang w:val="zh-CN" w:eastAsia="zh-CN"/>
        </w:rPr>
        <w:t>)；</w:t>
      </w:r>
    </w:p>
    <w:p w14:paraId="5BEC2CAA">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eastAsia="zh-CN"/>
        </w:rPr>
        <w:t>《建筑防火通用规范》（</w:t>
      </w:r>
      <w:r>
        <w:rPr>
          <w:rFonts w:hint="eastAsia" w:ascii="Times New Roman" w:hAnsi="Times New Roman"/>
          <w:color w:val="auto"/>
          <w:lang w:val="zh-CN" w:eastAsia="zh-CN"/>
        </w:rPr>
        <w:t>GB55037</w:t>
      </w:r>
      <w:r>
        <w:rPr>
          <w:rFonts w:hint="eastAsia"/>
          <w:color w:val="auto"/>
          <w:lang w:val="zh-CN" w:eastAsia="zh-CN"/>
        </w:rPr>
        <w:t>-</w:t>
      </w:r>
      <w:r>
        <w:rPr>
          <w:rFonts w:hint="eastAsia" w:ascii="Times New Roman" w:hAnsi="Times New Roman"/>
          <w:color w:val="auto"/>
          <w:lang w:val="zh-CN" w:eastAsia="zh-CN"/>
        </w:rPr>
        <w:t>2022</w:t>
      </w:r>
      <w:r>
        <w:rPr>
          <w:rFonts w:hint="eastAsia"/>
          <w:color w:val="auto"/>
          <w:lang w:val="zh-CN" w:eastAsia="zh-CN"/>
        </w:rPr>
        <w:t>）</w:t>
      </w:r>
      <w:r>
        <w:rPr>
          <w:color w:val="auto"/>
          <w:lang w:val="zh-CN"/>
        </w:rPr>
        <w:t>；</w:t>
      </w:r>
    </w:p>
    <w:p w14:paraId="376834C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《建筑抗震设计标准》（GB/T 50011-2010[2024年版]）</w:t>
      </w:r>
      <w:r>
        <w:rPr>
          <w:color w:val="auto"/>
          <w:lang w:val="zh-CN"/>
        </w:rPr>
        <w:t>；</w:t>
      </w:r>
    </w:p>
    <w:p w14:paraId="0093203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《中国地震动参数区划图》（</w:t>
      </w:r>
      <w:r>
        <w:rPr>
          <w:rFonts w:hint="eastAsia" w:ascii="Times New Roman" w:hAnsi="Times New Roman"/>
          <w:color w:val="auto"/>
          <w:lang w:val="zh-CN"/>
        </w:rPr>
        <w:t>GB18306</w:t>
      </w:r>
      <w:r>
        <w:rPr>
          <w:rFonts w:hint="eastAsia"/>
          <w:color w:val="auto"/>
          <w:lang w:val="zh-CN"/>
        </w:rPr>
        <w:t>-</w:t>
      </w:r>
      <w:r>
        <w:rPr>
          <w:rFonts w:hint="eastAsia" w:ascii="Times New Roman" w:hAnsi="Times New Roman"/>
          <w:color w:val="auto"/>
          <w:lang w:val="zh-CN"/>
        </w:rPr>
        <w:t>2015</w:t>
      </w:r>
      <w:r>
        <w:rPr>
          <w:rFonts w:hint="eastAsia"/>
          <w:color w:val="auto"/>
          <w:lang w:val="zh-CN"/>
        </w:rPr>
        <w:t>）；</w:t>
      </w:r>
    </w:p>
    <w:p w14:paraId="4907497A">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color w:val="auto"/>
          <w:lang w:val="zh-CN"/>
        </w:rPr>
        <w:t>《建筑物防雷设计规范》（</w:t>
      </w:r>
      <w:r>
        <w:rPr>
          <w:rFonts w:ascii="Times New Roman" w:hAnsi="Times New Roman"/>
          <w:color w:val="auto"/>
          <w:lang w:val="zh-CN"/>
        </w:rPr>
        <w:t>GB50057</w:t>
      </w:r>
      <w:r>
        <w:rPr>
          <w:color w:val="auto"/>
          <w:lang w:val="zh-CN"/>
        </w:rPr>
        <w:t>-</w:t>
      </w:r>
      <w:r>
        <w:rPr>
          <w:rFonts w:hint="eastAsia" w:ascii="Times New Roman" w:hAnsi="Times New Roman"/>
          <w:color w:val="auto"/>
          <w:lang w:val="zh-CN"/>
        </w:rPr>
        <w:t>2010</w:t>
      </w:r>
      <w:r>
        <w:rPr>
          <w:color w:val="auto"/>
          <w:lang w:val="zh-CN"/>
        </w:rPr>
        <w:t>）；</w:t>
      </w:r>
    </w:p>
    <w:p w14:paraId="5BFC974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《防止静电事故通用导则》（</w:t>
      </w:r>
      <w:r>
        <w:rPr>
          <w:rFonts w:hint="eastAsia" w:ascii="Times New Roman" w:hAnsi="Times New Roman"/>
          <w:color w:val="auto"/>
          <w:lang w:val="zh-CN"/>
        </w:rPr>
        <w:t>GB12158</w:t>
      </w:r>
      <w:r>
        <w:rPr>
          <w:rFonts w:hint="eastAsia"/>
          <w:color w:val="auto"/>
          <w:lang w:val="zh-CN"/>
        </w:rPr>
        <w:t>-</w:t>
      </w:r>
      <w:r>
        <w:rPr>
          <w:rFonts w:hint="eastAsia" w:ascii="Times New Roman" w:hAnsi="Times New Roman"/>
          <w:color w:val="auto"/>
          <w:lang w:val="zh-CN"/>
        </w:rPr>
        <w:t>2006</w:t>
      </w:r>
      <w:r>
        <w:rPr>
          <w:rFonts w:hint="eastAsia"/>
          <w:color w:val="auto"/>
          <w:lang w:val="zh-CN"/>
        </w:rPr>
        <w:t>）；</w:t>
      </w:r>
    </w:p>
    <w:p w14:paraId="0DBD256E">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《生产过程危险和有害因素分类与代码》（</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13861</w:t>
      </w:r>
      <w:r>
        <w:rPr>
          <w:rFonts w:hint="eastAsia"/>
          <w:color w:val="auto"/>
          <w:lang w:val="zh-CN"/>
        </w:rPr>
        <w:t>-</w:t>
      </w:r>
      <w:r>
        <w:rPr>
          <w:rFonts w:hint="eastAsia" w:ascii="Times New Roman" w:hAnsi="Times New Roman"/>
          <w:color w:val="auto"/>
          <w:lang w:val="en-US" w:eastAsia="zh-CN"/>
        </w:rPr>
        <w:t>2022</w:t>
      </w:r>
      <w:r>
        <w:rPr>
          <w:rFonts w:hint="eastAsia"/>
          <w:color w:val="auto"/>
          <w:lang w:val="zh-CN"/>
        </w:rPr>
        <w:t>）；</w:t>
      </w:r>
    </w:p>
    <w:p w14:paraId="6BA2C9F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color w:val="auto"/>
          <w:lang w:val="zh-CN"/>
        </w:rPr>
        <w:t>《爆炸危险环境电力</w:t>
      </w:r>
      <w:r>
        <w:rPr>
          <w:rFonts w:hint="eastAsia"/>
          <w:color w:val="auto"/>
          <w:lang w:val="zh-CN"/>
        </w:rPr>
        <w:t>装置</w:t>
      </w:r>
      <w:r>
        <w:rPr>
          <w:color w:val="auto"/>
          <w:lang w:val="zh-CN"/>
        </w:rPr>
        <w:t>设计规范》（</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50058</w:t>
      </w:r>
      <w:r>
        <w:rPr>
          <w:color w:val="auto"/>
          <w:lang w:val="zh-CN"/>
        </w:rPr>
        <w:t>-</w:t>
      </w:r>
      <w:r>
        <w:rPr>
          <w:rFonts w:hint="eastAsia" w:ascii="Times New Roman" w:hAnsi="Times New Roman"/>
          <w:color w:val="auto"/>
          <w:lang w:val="zh-CN"/>
        </w:rPr>
        <w:t>2014</w:t>
      </w:r>
      <w:r>
        <w:rPr>
          <w:color w:val="auto"/>
          <w:lang w:val="zh-CN"/>
        </w:rPr>
        <w:t>）；</w:t>
      </w:r>
    </w:p>
    <w:p w14:paraId="7112F49A">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《生产经营单位生产安全事故应急预案编制导则》（</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en-US" w:eastAsia="zh-CN"/>
        </w:rPr>
        <w:t xml:space="preserve"> </w:t>
      </w:r>
      <w:r>
        <w:rPr>
          <w:rFonts w:hint="eastAsia" w:ascii="Times New Roman" w:hAnsi="Times New Roman"/>
          <w:color w:val="auto"/>
          <w:lang w:val="zh-CN"/>
        </w:rPr>
        <w:t>29639</w:t>
      </w:r>
      <w:r>
        <w:rPr>
          <w:rFonts w:hint="eastAsia"/>
          <w:color w:val="auto"/>
          <w:lang w:val="zh-CN"/>
        </w:rPr>
        <w:t>-</w:t>
      </w:r>
      <w:r>
        <w:rPr>
          <w:rFonts w:hint="eastAsia" w:ascii="Times New Roman" w:hAnsi="Times New Roman"/>
          <w:color w:val="auto"/>
          <w:lang w:val="zh-CN"/>
        </w:rPr>
        <w:t>2020</w:t>
      </w:r>
      <w:r>
        <w:rPr>
          <w:rFonts w:hint="eastAsia"/>
          <w:color w:val="auto"/>
          <w:lang w:val="zh-CN"/>
        </w:rPr>
        <w:t>）；</w:t>
      </w:r>
    </w:p>
    <w:p w14:paraId="37BCDA58">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《易燃易爆性商品储存养护技术条件》（</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17914</w:t>
      </w:r>
      <w:r>
        <w:rPr>
          <w:rFonts w:hint="eastAsia"/>
          <w:color w:val="auto"/>
          <w:lang w:val="zh-CN"/>
        </w:rPr>
        <w:t>-</w:t>
      </w:r>
      <w:r>
        <w:rPr>
          <w:rFonts w:hint="eastAsia" w:ascii="Times New Roman" w:hAnsi="Times New Roman"/>
          <w:color w:val="auto"/>
          <w:lang w:val="zh-CN"/>
        </w:rPr>
        <w:t>2013</w:t>
      </w:r>
      <w:r>
        <w:rPr>
          <w:rFonts w:hint="eastAsia"/>
          <w:color w:val="auto"/>
          <w:lang w:val="zh-CN"/>
        </w:rPr>
        <w:t>）；</w:t>
      </w:r>
    </w:p>
    <w:p w14:paraId="09DCB99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《消防安全标志设置要求》（</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en-US" w:eastAsia="zh-CN"/>
        </w:rPr>
        <w:t>1</w:t>
      </w:r>
      <w:r>
        <w:rPr>
          <w:rFonts w:hint="eastAsia" w:ascii="Times New Roman" w:hAnsi="Times New Roman"/>
          <w:color w:val="auto"/>
          <w:lang w:val="zh-CN"/>
        </w:rPr>
        <w:t>5630</w:t>
      </w:r>
      <w:r>
        <w:rPr>
          <w:rFonts w:hint="eastAsia"/>
          <w:color w:val="auto"/>
          <w:lang w:val="zh-CN"/>
        </w:rPr>
        <w:t>-</w:t>
      </w:r>
      <w:r>
        <w:rPr>
          <w:rFonts w:hint="eastAsia" w:ascii="Times New Roman" w:hAnsi="Times New Roman"/>
          <w:color w:val="auto"/>
          <w:lang w:val="zh-CN"/>
        </w:rPr>
        <w:t>1995</w:t>
      </w:r>
      <w:r>
        <w:rPr>
          <w:rFonts w:hint="eastAsia"/>
          <w:color w:val="auto"/>
          <w:lang w:val="zh-CN"/>
        </w:rPr>
        <w:t>）；</w:t>
      </w:r>
    </w:p>
    <w:p w14:paraId="02483E0B">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color w:val="auto"/>
          <w:lang w:val="zh-CN"/>
        </w:rPr>
        <w:t>《安全标志及其使用导则》</w:t>
      </w:r>
      <w:r>
        <w:rPr>
          <w:rFonts w:hint="eastAsia"/>
          <w:color w:val="auto"/>
          <w:lang w:val="zh-CN"/>
        </w:rPr>
        <w:t>（</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2894</w:t>
      </w:r>
      <w:r>
        <w:rPr>
          <w:color w:val="auto"/>
          <w:lang w:val="zh-CN"/>
        </w:rPr>
        <w:t>-</w:t>
      </w:r>
      <w:r>
        <w:rPr>
          <w:rFonts w:ascii="Times New Roman" w:hAnsi="Times New Roman"/>
          <w:color w:val="auto"/>
          <w:lang w:val="zh-CN"/>
        </w:rPr>
        <w:t>2008</w:t>
      </w:r>
      <w:r>
        <w:rPr>
          <w:rFonts w:hint="eastAsia"/>
          <w:color w:val="auto"/>
          <w:lang w:val="zh-CN"/>
        </w:rPr>
        <w:t>）</w:t>
      </w:r>
      <w:r>
        <w:rPr>
          <w:color w:val="auto"/>
          <w:lang w:val="zh-CN"/>
        </w:rPr>
        <w:t>；</w:t>
      </w:r>
    </w:p>
    <w:p w14:paraId="7A55EB73">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《安全色》（</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2893</w:t>
      </w:r>
      <w:r>
        <w:rPr>
          <w:rFonts w:hint="eastAsia"/>
          <w:color w:val="auto"/>
          <w:lang w:val="zh-CN"/>
        </w:rPr>
        <w:t>-</w:t>
      </w:r>
      <w:r>
        <w:rPr>
          <w:rFonts w:hint="eastAsia" w:ascii="Times New Roman" w:hAnsi="Times New Roman"/>
          <w:color w:val="auto"/>
          <w:lang w:val="zh-CN"/>
        </w:rPr>
        <w:t>2008</w:t>
      </w:r>
      <w:r>
        <w:rPr>
          <w:rFonts w:hint="eastAsia"/>
          <w:color w:val="auto"/>
          <w:lang w:val="zh-CN"/>
        </w:rPr>
        <w:t>）；</w:t>
      </w:r>
    </w:p>
    <w:p w14:paraId="03D69A7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《图形符号安全色和安全标志</w:t>
      </w:r>
      <w:r>
        <w:rPr>
          <w:rFonts w:hint="eastAsia"/>
          <w:color w:val="auto"/>
          <w:lang w:val="en-US" w:eastAsia="zh-CN"/>
        </w:rPr>
        <w:t xml:space="preserve"> </w:t>
      </w:r>
      <w:r>
        <w:rPr>
          <w:rFonts w:hint="eastAsia"/>
          <w:color w:val="auto"/>
          <w:lang w:val="zh-CN"/>
        </w:rPr>
        <w:t>第</w:t>
      </w:r>
      <w:r>
        <w:rPr>
          <w:rFonts w:hint="eastAsia" w:ascii="Times New Roman" w:hAnsi="Times New Roman"/>
          <w:color w:val="auto"/>
          <w:lang w:val="zh-CN"/>
        </w:rPr>
        <w:t>5</w:t>
      </w:r>
      <w:r>
        <w:rPr>
          <w:rFonts w:hint="eastAsia"/>
          <w:color w:val="auto"/>
          <w:lang w:val="zh-CN"/>
        </w:rPr>
        <w:t>部分：安全标志使用原则与要求》（</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2893</w:t>
      </w:r>
      <w:r>
        <w:rPr>
          <w:rFonts w:hint="eastAsia"/>
          <w:color w:val="auto"/>
          <w:lang w:val="zh-CN"/>
        </w:rPr>
        <w:t>.</w:t>
      </w:r>
      <w:r>
        <w:rPr>
          <w:rFonts w:hint="eastAsia" w:ascii="Times New Roman" w:hAnsi="Times New Roman"/>
          <w:color w:val="auto"/>
          <w:lang w:val="zh-CN"/>
        </w:rPr>
        <w:t>5</w:t>
      </w:r>
      <w:r>
        <w:rPr>
          <w:rFonts w:hint="eastAsia"/>
          <w:color w:val="auto"/>
          <w:lang w:val="zh-CN"/>
        </w:rPr>
        <w:t>-</w:t>
      </w:r>
      <w:r>
        <w:rPr>
          <w:rFonts w:hint="eastAsia" w:ascii="Times New Roman" w:hAnsi="Times New Roman"/>
          <w:color w:val="auto"/>
          <w:lang w:val="zh-CN"/>
        </w:rPr>
        <w:t>2020</w:t>
      </w:r>
      <w:r>
        <w:rPr>
          <w:rFonts w:hint="eastAsia"/>
          <w:color w:val="auto"/>
          <w:lang w:val="zh-CN"/>
        </w:rPr>
        <w:t>）；</w:t>
      </w:r>
    </w:p>
    <w:p w14:paraId="40F369BA">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《用电安全导则》（</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13869</w:t>
      </w:r>
      <w:r>
        <w:rPr>
          <w:rFonts w:hint="eastAsia"/>
          <w:color w:val="auto"/>
          <w:lang w:val="zh-CN"/>
        </w:rPr>
        <w:t>-</w:t>
      </w:r>
      <w:r>
        <w:rPr>
          <w:rFonts w:hint="eastAsia" w:ascii="Times New Roman" w:hAnsi="Times New Roman"/>
          <w:color w:val="auto"/>
          <w:lang w:val="zh-CN"/>
        </w:rPr>
        <w:t>2017</w:t>
      </w:r>
      <w:r>
        <w:rPr>
          <w:rFonts w:hint="eastAsia"/>
          <w:color w:val="auto"/>
          <w:lang w:val="zh-CN"/>
        </w:rPr>
        <w:t>）；</w:t>
      </w:r>
    </w:p>
    <w:p w14:paraId="0656F1EB">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《工业金属管道设计规范（</w:t>
      </w:r>
      <w:r>
        <w:rPr>
          <w:rFonts w:hint="eastAsia" w:ascii="Times New Roman" w:hAnsi="Times New Roman"/>
          <w:color w:val="auto"/>
          <w:lang w:val="zh-CN"/>
        </w:rPr>
        <w:t>2008</w:t>
      </w:r>
      <w:r>
        <w:rPr>
          <w:rFonts w:hint="eastAsia"/>
          <w:color w:val="auto"/>
          <w:lang w:val="zh-CN"/>
        </w:rPr>
        <w:t>年版）》（</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50316</w:t>
      </w:r>
      <w:r>
        <w:rPr>
          <w:rFonts w:hint="eastAsia"/>
          <w:color w:val="auto"/>
          <w:lang w:val="zh-CN"/>
        </w:rPr>
        <w:t>-</w:t>
      </w:r>
      <w:r>
        <w:rPr>
          <w:rFonts w:hint="eastAsia" w:ascii="Times New Roman" w:hAnsi="Times New Roman"/>
          <w:color w:val="auto"/>
          <w:lang w:val="zh-CN"/>
        </w:rPr>
        <w:t>2000</w:t>
      </w:r>
      <w:r>
        <w:rPr>
          <w:rFonts w:hint="eastAsia"/>
          <w:color w:val="auto"/>
          <w:lang w:val="zh-CN"/>
        </w:rPr>
        <w:t>）；</w:t>
      </w:r>
    </w:p>
    <w:p w14:paraId="7A6E560F">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《工业金属管道工程施工质量验收规范》（</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50184</w:t>
      </w:r>
      <w:r>
        <w:rPr>
          <w:rFonts w:hint="eastAsia"/>
          <w:color w:val="auto"/>
          <w:lang w:val="zh-CN"/>
        </w:rPr>
        <w:t>-</w:t>
      </w:r>
      <w:r>
        <w:rPr>
          <w:rFonts w:hint="eastAsia" w:ascii="Times New Roman" w:hAnsi="Times New Roman"/>
          <w:color w:val="auto"/>
          <w:lang w:val="zh-CN"/>
        </w:rPr>
        <w:t>2011</w:t>
      </w:r>
      <w:r>
        <w:rPr>
          <w:rFonts w:hint="eastAsia"/>
          <w:color w:val="auto"/>
          <w:lang w:val="zh-CN"/>
        </w:rPr>
        <w:t>）；</w:t>
      </w:r>
    </w:p>
    <w:p w14:paraId="1513C9C1">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《工作场所有害因素职业接触限值 第</w:t>
      </w:r>
      <w:r>
        <w:rPr>
          <w:rFonts w:hint="eastAsia" w:ascii="Times New Roman" w:hAnsi="Times New Roman"/>
          <w:color w:val="auto"/>
          <w:lang w:val="zh-CN"/>
        </w:rPr>
        <w:t>1</w:t>
      </w:r>
      <w:r>
        <w:rPr>
          <w:rFonts w:hint="eastAsia"/>
          <w:color w:val="auto"/>
          <w:lang w:val="zh-CN"/>
        </w:rPr>
        <w:t>部分：化学有害因素》（</w:t>
      </w:r>
      <w:r>
        <w:rPr>
          <w:rFonts w:hint="eastAsia" w:ascii="Times New Roman" w:hAnsi="Times New Roman"/>
          <w:color w:val="auto"/>
          <w:lang w:val="zh-CN"/>
        </w:rPr>
        <w:t>GBZ</w:t>
      </w:r>
      <w:r>
        <w:rPr>
          <w:rFonts w:hint="eastAsia"/>
          <w:color w:val="auto"/>
          <w:lang w:val="en-US" w:eastAsia="zh-CN"/>
        </w:rPr>
        <w:t xml:space="preserve"> </w:t>
      </w:r>
      <w:r>
        <w:rPr>
          <w:rFonts w:hint="eastAsia" w:ascii="Times New Roman" w:hAnsi="Times New Roman"/>
          <w:color w:val="auto"/>
          <w:lang w:val="zh-CN"/>
        </w:rPr>
        <w:t>2</w:t>
      </w:r>
      <w:r>
        <w:rPr>
          <w:rFonts w:hint="eastAsia"/>
          <w:color w:val="auto"/>
          <w:lang w:val="zh-CN"/>
        </w:rPr>
        <w:t>.</w:t>
      </w:r>
      <w:r>
        <w:rPr>
          <w:rFonts w:hint="eastAsia" w:ascii="Times New Roman" w:hAnsi="Times New Roman"/>
          <w:color w:val="auto"/>
          <w:lang w:val="zh-CN"/>
        </w:rPr>
        <w:t>1</w:t>
      </w:r>
      <w:r>
        <w:rPr>
          <w:rFonts w:hint="eastAsia"/>
          <w:color w:val="auto"/>
          <w:lang w:val="zh-CN"/>
        </w:rPr>
        <w:t>-</w:t>
      </w:r>
      <w:r>
        <w:rPr>
          <w:rFonts w:hint="eastAsia" w:ascii="Times New Roman" w:hAnsi="Times New Roman"/>
          <w:color w:val="auto"/>
          <w:lang w:val="zh-CN"/>
        </w:rPr>
        <w:t>2019</w:t>
      </w:r>
      <w:r>
        <w:rPr>
          <w:rFonts w:hint="eastAsia"/>
          <w:color w:val="auto"/>
          <w:lang w:val="zh-CN"/>
        </w:rPr>
        <w:t>）；</w:t>
      </w:r>
    </w:p>
    <w:p w14:paraId="769A2C04">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《工作场所有害因素职业接触限值 第</w:t>
      </w:r>
      <w:r>
        <w:rPr>
          <w:rFonts w:hint="eastAsia" w:ascii="Times New Roman" w:hAnsi="Times New Roman"/>
          <w:color w:val="auto"/>
          <w:lang w:val="zh-CN"/>
        </w:rPr>
        <w:t>2</w:t>
      </w:r>
      <w:r>
        <w:rPr>
          <w:rFonts w:hint="eastAsia"/>
          <w:color w:val="auto"/>
          <w:lang w:val="zh-CN"/>
        </w:rPr>
        <w:t>部分：物理因素》（</w:t>
      </w:r>
      <w:r>
        <w:rPr>
          <w:rFonts w:hint="eastAsia" w:ascii="Times New Roman" w:hAnsi="Times New Roman"/>
          <w:color w:val="auto"/>
          <w:lang w:val="zh-CN"/>
        </w:rPr>
        <w:t>GBZ</w:t>
      </w:r>
      <w:r>
        <w:rPr>
          <w:rFonts w:hint="eastAsia"/>
          <w:color w:val="auto"/>
          <w:lang w:val="en-US" w:eastAsia="zh-CN"/>
        </w:rPr>
        <w:t xml:space="preserve"> </w:t>
      </w:r>
      <w:r>
        <w:rPr>
          <w:rFonts w:hint="eastAsia" w:ascii="Times New Roman" w:hAnsi="Times New Roman"/>
          <w:color w:val="auto"/>
          <w:lang w:val="zh-CN"/>
        </w:rPr>
        <w:t>2</w:t>
      </w:r>
      <w:r>
        <w:rPr>
          <w:rFonts w:hint="eastAsia"/>
          <w:color w:val="auto"/>
          <w:lang w:val="zh-CN"/>
        </w:rPr>
        <w:t>.</w:t>
      </w:r>
      <w:r>
        <w:rPr>
          <w:rFonts w:hint="eastAsia" w:ascii="Times New Roman" w:hAnsi="Times New Roman"/>
          <w:color w:val="auto"/>
          <w:lang w:val="zh-CN"/>
        </w:rPr>
        <w:t>2</w:t>
      </w:r>
      <w:r>
        <w:rPr>
          <w:rFonts w:hint="eastAsia"/>
          <w:color w:val="auto"/>
          <w:lang w:val="zh-CN"/>
        </w:rPr>
        <w:t>-</w:t>
      </w:r>
      <w:r>
        <w:rPr>
          <w:rFonts w:hint="eastAsia" w:ascii="Times New Roman" w:hAnsi="Times New Roman"/>
          <w:color w:val="auto"/>
          <w:lang w:val="zh-CN"/>
        </w:rPr>
        <w:t>2007</w:t>
      </w:r>
      <w:r>
        <w:rPr>
          <w:rFonts w:hint="eastAsia"/>
          <w:color w:val="auto"/>
          <w:lang w:val="zh-CN"/>
        </w:rPr>
        <w:t>）</w:t>
      </w:r>
    </w:p>
    <w:p w14:paraId="268940F2">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《燃油加油站防爆安全技术 第</w:t>
      </w:r>
      <w:r>
        <w:rPr>
          <w:rFonts w:hint="eastAsia" w:ascii="Times New Roman" w:hAnsi="Times New Roman"/>
          <w:color w:val="auto"/>
          <w:lang w:val="zh-CN"/>
        </w:rPr>
        <w:t>1</w:t>
      </w:r>
      <w:r>
        <w:rPr>
          <w:rFonts w:hint="eastAsia"/>
          <w:color w:val="auto"/>
          <w:lang w:val="zh-CN"/>
        </w:rPr>
        <w:t>部分：燃油加油机防爆安全技术要求》（</w:t>
      </w:r>
      <w:r>
        <w:rPr>
          <w:rFonts w:ascii="Times New Roman" w:hAnsi="Times New Roman"/>
          <w:color w:val="auto"/>
          <w:lang w:val="zh-CN"/>
        </w:rPr>
        <w:t>GB</w:t>
      </w:r>
      <w:r>
        <w:rPr>
          <w:color w:val="auto"/>
          <w:lang w:val="zh-CN"/>
        </w:rPr>
        <w:t>/</w:t>
      </w:r>
      <w:r>
        <w:rPr>
          <w:rFonts w:ascii="Times New Roman" w:hAnsi="Times New Roman"/>
          <w:color w:val="auto"/>
          <w:lang w:val="zh-CN"/>
        </w:rPr>
        <w:t>T</w:t>
      </w:r>
      <w:r>
        <w:rPr>
          <w:color w:val="auto"/>
          <w:lang w:val="zh-CN"/>
        </w:rPr>
        <w:t xml:space="preserve"> </w:t>
      </w:r>
      <w:r>
        <w:rPr>
          <w:rFonts w:ascii="Times New Roman" w:hAnsi="Times New Roman"/>
          <w:color w:val="auto"/>
          <w:lang w:val="zh-CN"/>
        </w:rPr>
        <w:t>22380</w:t>
      </w:r>
      <w:r>
        <w:rPr>
          <w:color w:val="auto"/>
          <w:lang w:val="zh-CN"/>
        </w:rPr>
        <w:t>.</w:t>
      </w:r>
      <w:r>
        <w:rPr>
          <w:rFonts w:ascii="Times New Roman" w:hAnsi="Times New Roman"/>
          <w:color w:val="auto"/>
          <w:lang w:val="zh-CN"/>
        </w:rPr>
        <w:t>1</w:t>
      </w:r>
      <w:r>
        <w:rPr>
          <w:color w:val="auto"/>
          <w:lang w:val="zh-CN"/>
        </w:rPr>
        <w:t>-</w:t>
      </w:r>
      <w:r>
        <w:rPr>
          <w:rFonts w:ascii="Times New Roman" w:hAnsi="Times New Roman"/>
          <w:color w:val="auto"/>
          <w:lang w:val="zh-CN"/>
        </w:rPr>
        <w:t>2017</w:t>
      </w:r>
      <w:r>
        <w:rPr>
          <w:rFonts w:hint="eastAsia"/>
          <w:color w:val="auto"/>
          <w:lang w:val="zh-CN"/>
        </w:rPr>
        <w:t>）</w:t>
      </w:r>
    </w:p>
    <w:p w14:paraId="253DEE13">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《燃油加油站防爆安全技术 第</w:t>
      </w:r>
      <w:r>
        <w:rPr>
          <w:rFonts w:hint="eastAsia" w:ascii="Times New Roman" w:hAnsi="Times New Roman"/>
          <w:color w:val="auto"/>
          <w:lang w:val="zh-CN"/>
        </w:rPr>
        <w:t>2</w:t>
      </w:r>
      <w:r>
        <w:rPr>
          <w:rFonts w:hint="eastAsia"/>
          <w:color w:val="auto"/>
          <w:lang w:val="zh-CN"/>
        </w:rPr>
        <w:t>部分：加油机用安全拉断阀结构和性能的安全要求》（</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22380</w:t>
      </w:r>
      <w:r>
        <w:rPr>
          <w:rFonts w:hint="eastAsia"/>
          <w:color w:val="auto"/>
          <w:lang w:val="zh-CN"/>
        </w:rPr>
        <w:t>.</w:t>
      </w:r>
      <w:r>
        <w:rPr>
          <w:rFonts w:hint="eastAsia" w:ascii="Times New Roman" w:hAnsi="Times New Roman"/>
          <w:color w:val="auto"/>
          <w:lang w:val="zh-CN"/>
        </w:rPr>
        <w:t>2</w:t>
      </w:r>
      <w:r>
        <w:rPr>
          <w:rFonts w:hint="eastAsia"/>
          <w:color w:val="auto"/>
          <w:lang w:val="zh-CN"/>
        </w:rPr>
        <w:t>-</w:t>
      </w:r>
      <w:r>
        <w:rPr>
          <w:rFonts w:hint="eastAsia" w:ascii="Times New Roman" w:hAnsi="Times New Roman"/>
          <w:color w:val="auto"/>
          <w:lang w:val="zh-CN"/>
        </w:rPr>
        <w:t>2019</w:t>
      </w:r>
      <w:r>
        <w:rPr>
          <w:rFonts w:hint="eastAsia"/>
          <w:color w:val="auto"/>
          <w:lang w:val="zh-CN"/>
        </w:rPr>
        <w:t>）</w:t>
      </w:r>
    </w:p>
    <w:p w14:paraId="09332604">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《燃油加油站防爆安全技术 第</w:t>
      </w:r>
      <w:r>
        <w:rPr>
          <w:rFonts w:hint="eastAsia" w:ascii="Times New Roman" w:hAnsi="Times New Roman"/>
          <w:color w:val="auto"/>
          <w:lang w:val="zh-CN"/>
        </w:rPr>
        <w:t>3</w:t>
      </w:r>
      <w:r>
        <w:rPr>
          <w:rFonts w:hint="eastAsia"/>
          <w:color w:val="auto"/>
          <w:lang w:val="zh-CN"/>
        </w:rPr>
        <w:t>部分：剪切阀结构和性能的安全要求》（</w:t>
      </w:r>
      <w:r>
        <w:rPr>
          <w:rFonts w:ascii="Times New Roman" w:hAnsi="Times New Roman"/>
          <w:color w:val="auto"/>
          <w:lang w:val="zh-CN"/>
        </w:rPr>
        <w:t>GB</w:t>
      </w:r>
      <w:r>
        <w:rPr>
          <w:color w:val="auto"/>
          <w:lang w:val="zh-CN"/>
        </w:rPr>
        <w:t>/</w:t>
      </w:r>
      <w:r>
        <w:rPr>
          <w:rFonts w:ascii="Times New Roman" w:hAnsi="Times New Roman"/>
          <w:color w:val="auto"/>
          <w:lang w:val="zh-CN"/>
        </w:rPr>
        <w:t>T</w:t>
      </w:r>
      <w:r>
        <w:rPr>
          <w:color w:val="auto"/>
          <w:lang w:val="zh-CN"/>
        </w:rPr>
        <w:t xml:space="preserve"> </w:t>
      </w:r>
      <w:r>
        <w:rPr>
          <w:rFonts w:ascii="Times New Roman" w:hAnsi="Times New Roman"/>
          <w:color w:val="auto"/>
          <w:lang w:val="zh-CN"/>
        </w:rPr>
        <w:t>22380</w:t>
      </w:r>
      <w:r>
        <w:rPr>
          <w:color w:val="auto"/>
          <w:lang w:val="zh-CN"/>
        </w:rPr>
        <w:t>.</w:t>
      </w:r>
      <w:r>
        <w:rPr>
          <w:rFonts w:ascii="Times New Roman" w:hAnsi="Times New Roman"/>
          <w:color w:val="auto"/>
          <w:lang w:val="zh-CN"/>
        </w:rPr>
        <w:t>3</w:t>
      </w:r>
      <w:r>
        <w:rPr>
          <w:color w:val="auto"/>
          <w:lang w:val="zh-CN"/>
        </w:rPr>
        <w:t>-</w:t>
      </w:r>
      <w:r>
        <w:rPr>
          <w:rFonts w:ascii="Times New Roman" w:hAnsi="Times New Roman"/>
          <w:color w:val="auto"/>
          <w:lang w:val="zh-CN"/>
        </w:rPr>
        <w:t>2019</w:t>
      </w:r>
      <w:r>
        <w:rPr>
          <w:rFonts w:hint="eastAsia"/>
          <w:color w:val="auto"/>
          <w:lang w:val="zh-CN"/>
        </w:rPr>
        <w:t>）</w:t>
      </w:r>
    </w:p>
    <w:p w14:paraId="6C7657B3">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《油气回收装置通用技术条件》（</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35579</w:t>
      </w:r>
      <w:r>
        <w:rPr>
          <w:rFonts w:hint="eastAsia"/>
          <w:color w:val="auto"/>
          <w:lang w:val="zh-CN"/>
        </w:rPr>
        <w:t>-</w:t>
      </w:r>
      <w:r>
        <w:rPr>
          <w:rFonts w:hint="eastAsia" w:ascii="Times New Roman" w:hAnsi="Times New Roman"/>
          <w:color w:val="auto"/>
          <w:lang w:val="zh-CN"/>
        </w:rPr>
        <w:t>2017</w:t>
      </w:r>
      <w:r>
        <w:rPr>
          <w:rFonts w:hint="eastAsia"/>
          <w:color w:val="auto"/>
          <w:lang w:val="zh-CN"/>
        </w:rPr>
        <w:t>）；</w:t>
      </w:r>
    </w:p>
    <w:p w14:paraId="23A09909">
      <w:pPr>
        <w:keepNext w:val="0"/>
        <w:keepLines w:val="0"/>
        <w:pageBreakBefore w:val="0"/>
        <w:widowControl/>
        <w:numPr>
          <w:ilvl w:val="0"/>
          <w:numId w:val="21"/>
        </w:numPr>
        <w:kinsoku/>
        <w:wordWrap/>
        <w:overflowPunct/>
        <w:topLinePunct w:val="0"/>
        <w:bidi w:val="0"/>
        <w:adjustRightInd w:val="0"/>
        <w:snapToGrid/>
        <w:spacing w:line="360" w:lineRule="auto"/>
        <w:ind w:left="981" w:hanging="420" w:firstLineChars="0"/>
        <w:textAlignment w:val="auto"/>
        <w:rPr>
          <w:color w:val="auto"/>
          <w:lang w:val="zh-CN"/>
        </w:rPr>
      </w:pPr>
      <w:r>
        <w:rPr>
          <w:rFonts w:hint="eastAsia"/>
          <w:color w:val="auto"/>
          <w:lang w:val="zh-CN"/>
        </w:rPr>
        <w:t>《油气回收系统防爆技术要求》（</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34661</w:t>
      </w:r>
      <w:r>
        <w:rPr>
          <w:rFonts w:hint="eastAsia"/>
          <w:color w:val="auto"/>
          <w:lang w:val="zh-CN"/>
        </w:rPr>
        <w:t>-</w:t>
      </w:r>
      <w:r>
        <w:rPr>
          <w:rFonts w:hint="eastAsia" w:ascii="Times New Roman" w:hAnsi="Times New Roman"/>
          <w:color w:val="auto"/>
          <w:lang w:val="zh-CN"/>
        </w:rPr>
        <w:t>2017</w:t>
      </w:r>
      <w:r>
        <w:rPr>
          <w:rFonts w:hint="eastAsia"/>
          <w:color w:val="auto"/>
          <w:lang w:val="zh-CN"/>
        </w:rPr>
        <w:t>）；</w:t>
      </w:r>
    </w:p>
    <w:p w14:paraId="190E253D">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rFonts w:hint="eastAsia"/>
          <w:color w:val="auto"/>
          <w:lang w:val="zh-CN"/>
        </w:rPr>
        <w:t>《油气回收处理设施技术标准》（</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50759</w:t>
      </w:r>
      <w:r>
        <w:rPr>
          <w:rFonts w:hint="eastAsia"/>
          <w:color w:val="auto"/>
          <w:lang w:val="zh-CN"/>
        </w:rPr>
        <w:t>-</w:t>
      </w:r>
      <w:r>
        <w:rPr>
          <w:rFonts w:hint="eastAsia" w:ascii="Times New Roman" w:hAnsi="Times New Roman"/>
          <w:color w:val="auto"/>
          <w:lang w:val="zh-CN"/>
        </w:rPr>
        <w:t>2022</w:t>
      </w:r>
      <w:r>
        <w:rPr>
          <w:rFonts w:hint="eastAsia"/>
          <w:color w:val="auto"/>
          <w:lang w:val="zh-CN"/>
        </w:rPr>
        <w:t>）；</w:t>
      </w:r>
    </w:p>
    <w:p w14:paraId="454FC94D">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rFonts w:hint="eastAsia"/>
          <w:color w:val="auto"/>
          <w:lang w:val="zh-CN"/>
        </w:rPr>
        <w:t>《双层罐渗漏检测系统（系列）》（</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30040</w:t>
      </w:r>
      <w:r>
        <w:rPr>
          <w:rFonts w:hint="eastAsia"/>
          <w:color w:val="auto"/>
          <w:lang w:val="zh-CN"/>
        </w:rPr>
        <w:t>-</w:t>
      </w:r>
      <w:r>
        <w:rPr>
          <w:rFonts w:hint="eastAsia" w:ascii="Times New Roman" w:hAnsi="Times New Roman"/>
          <w:color w:val="auto"/>
          <w:lang w:val="zh-CN"/>
        </w:rPr>
        <w:t>2013</w:t>
      </w:r>
      <w:r>
        <w:rPr>
          <w:rFonts w:hint="eastAsia"/>
          <w:color w:val="auto"/>
          <w:lang w:val="zh-CN"/>
        </w:rPr>
        <w:t>）；</w:t>
      </w:r>
    </w:p>
    <w:p w14:paraId="330F6099">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rFonts w:hint="eastAsia"/>
          <w:color w:val="auto"/>
          <w:lang w:val="zh-CN"/>
        </w:rPr>
        <w:t>《加油站大气污染物排放标准》（</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20952</w:t>
      </w:r>
      <w:r>
        <w:rPr>
          <w:rFonts w:hint="eastAsia"/>
          <w:color w:val="auto"/>
          <w:lang w:val="zh-CN"/>
        </w:rPr>
        <w:t>-</w:t>
      </w:r>
      <w:r>
        <w:rPr>
          <w:rFonts w:hint="eastAsia" w:ascii="Times New Roman" w:hAnsi="Times New Roman"/>
          <w:color w:val="auto"/>
          <w:lang w:val="zh-CN"/>
        </w:rPr>
        <w:t>2020</w:t>
      </w:r>
      <w:r>
        <w:rPr>
          <w:rFonts w:hint="eastAsia"/>
          <w:color w:val="auto"/>
          <w:lang w:val="zh-CN"/>
        </w:rPr>
        <w:t>）；</w:t>
      </w:r>
    </w:p>
    <w:p w14:paraId="3F0C0F9A">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rFonts w:hint="eastAsia"/>
          <w:color w:val="auto"/>
          <w:lang w:val="zh-CN"/>
        </w:rPr>
        <w:t>《车用汽油》（</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17930</w:t>
      </w:r>
      <w:r>
        <w:rPr>
          <w:rFonts w:hint="eastAsia"/>
          <w:color w:val="auto"/>
          <w:lang w:val="zh-CN"/>
        </w:rPr>
        <w:t>-</w:t>
      </w:r>
      <w:r>
        <w:rPr>
          <w:rFonts w:hint="eastAsia" w:ascii="Times New Roman" w:hAnsi="Times New Roman"/>
          <w:color w:val="auto"/>
          <w:lang w:val="zh-CN"/>
        </w:rPr>
        <w:t>2016</w:t>
      </w:r>
      <w:r>
        <w:rPr>
          <w:rFonts w:hint="eastAsia"/>
          <w:color w:val="auto"/>
          <w:lang w:val="zh-CN"/>
        </w:rPr>
        <w:t>）；</w:t>
      </w:r>
    </w:p>
    <w:p w14:paraId="792FD77C">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《建筑灭火器配置设计规范》（</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50140</w:t>
      </w:r>
      <w:r>
        <w:rPr>
          <w:color w:val="auto"/>
          <w:lang w:val="zh-CN"/>
        </w:rPr>
        <w:t>-</w:t>
      </w:r>
      <w:r>
        <w:rPr>
          <w:rFonts w:ascii="Times New Roman" w:hAnsi="Times New Roman"/>
          <w:color w:val="auto"/>
          <w:lang w:val="zh-CN"/>
        </w:rPr>
        <w:t>2005</w:t>
      </w:r>
      <w:r>
        <w:rPr>
          <w:color w:val="auto"/>
          <w:lang w:val="zh-CN"/>
        </w:rPr>
        <w:t>）；</w:t>
      </w:r>
    </w:p>
    <w:p w14:paraId="0E4E261A">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《电气设备安全设计导则》（</w:t>
      </w:r>
      <w:r>
        <w:rPr>
          <w:rFonts w:ascii="Times New Roman" w:hAnsi="Times New Roman"/>
          <w:color w:val="auto"/>
          <w:lang w:val="zh-CN"/>
        </w:rPr>
        <w:t>GB</w:t>
      </w:r>
      <w:r>
        <w:rPr>
          <w:color w:val="auto"/>
          <w:lang w:val="zh-CN"/>
        </w:rPr>
        <w:t>/</w:t>
      </w:r>
      <w:r>
        <w:rPr>
          <w:rFonts w:ascii="Times New Roman" w:hAnsi="Times New Roman"/>
          <w:color w:val="auto"/>
          <w:lang w:val="zh-CN"/>
        </w:rPr>
        <w:t>T</w:t>
      </w:r>
      <w:r>
        <w:rPr>
          <w:rFonts w:hint="eastAsia"/>
          <w:color w:val="auto"/>
          <w:lang w:val="en-US" w:eastAsia="zh-CN"/>
        </w:rPr>
        <w:t xml:space="preserve"> </w:t>
      </w:r>
      <w:r>
        <w:rPr>
          <w:rFonts w:ascii="Times New Roman" w:hAnsi="Times New Roman"/>
          <w:color w:val="auto"/>
          <w:lang w:val="zh-CN"/>
        </w:rPr>
        <w:t>25295</w:t>
      </w:r>
      <w:r>
        <w:rPr>
          <w:color w:val="auto"/>
          <w:lang w:val="zh-CN"/>
        </w:rPr>
        <w:t>-</w:t>
      </w:r>
      <w:r>
        <w:rPr>
          <w:rFonts w:ascii="Times New Roman" w:hAnsi="Times New Roman"/>
          <w:color w:val="auto"/>
          <w:lang w:val="zh-CN"/>
        </w:rPr>
        <w:t>2010</w:t>
      </w:r>
      <w:r>
        <w:rPr>
          <w:color w:val="auto"/>
          <w:lang w:val="zh-CN"/>
        </w:rPr>
        <w:t>）；</w:t>
      </w:r>
    </w:p>
    <w:p w14:paraId="29067A3B">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《职业安全卫生术语》</w:t>
      </w:r>
      <w:r>
        <w:rPr>
          <w:rFonts w:hint="eastAsia"/>
          <w:color w:val="auto"/>
          <w:lang w:val="zh-CN"/>
        </w:rPr>
        <w:t>（</w:t>
      </w:r>
      <w:r>
        <w:rPr>
          <w:rFonts w:ascii="Times New Roman" w:hAnsi="Times New Roman"/>
          <w:color w:val="auto"/>
          <w:lang w:val="zh-CN"/>
        </w:rPr>
        <w:t>GB</w:t>
      </w:r>
      <w:r>
        <w:rPr>
          <w:color w:val="auto"/>
          <w:lang w:val="zh-CN"/>
        </w:rPr>
        <w:t>/</w:t>
      </w:r>
      <w:r>
        <w:rPr>
          <w:rFonts w:ascii="Times New Roman" w:hAnsi="Times New Roman"/>
          <w:color w:val="auto"/>
          <w:lang w:val="zh-CN"/>
        </w:rPr>
        <w:t>T</w:t>
      </w:r>
      <w:r>
        <w:rPr>
          <w:rFonts w:hint="eastAsia"/>
          <w:color w:val="auto"/>
          <w:lang w:val="en-US" w:eastAsia="zh-CN"/>
        </w:rPr>
        <w:t xml:space="preserve"> </w:t>
      </w:r>
      <w:r>
        <w:rPr>
          <w:rFonts w:ascii="Times New Roman" w:hAnsi="Times New Roman"/>
          <w:color w:val="auto"/>
          <w:lang w:val="zh-CN"/>
        </w:rPr>
        <w:t>15236</w:t>
      </w:r>
      <w:r>
        <w:rPr>
          <w:color w:val="auto"/>
          <w:lang w:val="zh-CN"/>
        </w:rPr>
        <w:t>-</w:t>
      </w:r>
      <w:r>
        <w:rPr>
          <w:rFonts w:hint="eastAsia" w:ascii="Times New Roman" w:hAnsi="Times New Roman"/>
          <w:color w:val="auto"/>
          <w:lang w:val="zh-CN"/>
        </w:rPr>
        <w:t>2008</w:t>
      </w:r>
      <w:r>
        <w:rPr>
          <w:rFonts w:hint="eastAsia"/>
          <w:color w:val="auto"/>
          <w:lang w:val="zh-CN"/>
        </w:rPr>
        <w:t>）；</w:t>
      </w:r>
    </w:p>
    <w:p w14:paraId="77FF55FA">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w:t>
      </w:r>
      <w:r>
        <w:rPr>
          <w:rFonts w:hint="eastAsia"/>
          <w:color w:val="auto"/>
          <w:lang w:val="zh-CN"/>
        </w:rPr>
        <w:t>危险化学品</w:t>
      </w:r>
      <w:r>
        <w:rPr>
          <w:color w:val="auto"/>
          <w:lang w:val="zh-CN"/>
        </w:rPr>
        <w:t>重大危险源辨识》</w:t>
      </w:r>
      <w:r>
        <w:rPr>
          <w:rFonts w:hint="eastAsia"/>
          <w:color w:val="auto"/>
          <w:lang w:val="zh-CN"/>
        </w:rPr>
        <w:t>（</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18218</w:t>
      </w:r>
      <w:r>
        <w:rPr>
          <w:rFonts w:hint="eastAsia"/>
          <w:color w:val="auto"/>
          <w:lang w:val="zh-CN"/>
        </w:rPr>
        <w:t>-</w:t>
      </w:r>
      <w:r>
        <w:rPr>
          <w:rFonts w:hint="eastAsia" w:ascii="Times New Roman" w:hAnsi="Times New Roman"/>
          <w:color w:val="auto"/>
          <w:lang w:val="zh-CN"/>
        </w:rPr>
        <w:t>2018</w:t>
      </w:r>
      <w:r>
        <w:rPr>
          <w:rFonts w:hint="eastAsia"/>
          <w:color w:val="auto"/>
          <w:lang w:val="zh-CN"/>
        </w:rPr>
        <w:t>）；</w:t>
      </w:r>
    </w:p>
    <w:p w14:paraId="63488620">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w:t>
      </w:r>
      <w:r>
        <w:rPr>
          <w:rFonts w:hint="eastAsia"/>
          <w:color w:val="auto"/>
          <w:lang w:val="zh-CN"/>
        </w:rPr>
        <w:t>危险化学品仓库储存通则</w:t>
      </w:r>
      <w:r>
        <w:rPr>
          <w:color w:val="auto"/>
          <w:lang w:val="zh-CN"/>
        </w:rPr>
        <w:t>》</w:t>
      </w:r>
      <w:r>
        <w:rPr>
          <w:rFonts w:hint="eastAsia"/>
          <w:color w:val="auto"/>
          <w:lang w:val="zh-CN"/>
        </w:rPr>
        <w:t>（</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15603</w:t>
      </w:r>
      <w:r>
        <w:rPr>
          <w:rFonts w:hint="eastAsia"/>
          <w:color w:val="auto"/>
          <w:lang w:val="zh-CN"/>
        </w:rPr>
        <w:t>-</w:t>
      </w:r>
      <w:r>
        <w:rPr>
          <w:rFonts w:hint="eastAsia" w:ascii="Times New Roman" w:hAnsi="Times New Roman"/>
          <w:color w:val="auto"/>
          <w:lang w:val="zh-CN"/>
        </w:rPr>
        <w:t>2022</w:t>
      </w:r>
      <w:r>
        <w:rPr>
          <w:rFonts w:hint="eastAsia"/>
          <w:color w:val="auto"/>
          <w:lang w:val="zh-CN"/>
        </w:rPr>
        <w:t>）；</w:t>
      </w:r>
    </w:p>
    <w:p w14:paraId="5A2AF669">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《工业企业总平面设计规范》</w:t>
      </w:r>
      <w:r>
        <w:rPr>
          <w:rFonts w:hint="eastAsia"/>
          <w:color w:val="auto"/>
          <w:lang w:val="zh-CN"/>
        </w:rPr>
        <w:t>（</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50187</w:t>
      </w:r>
      <w:r>
        <w:rPr>
          <w:color w:val="auto"/>
          <w:lang w:val="zh-CN"/>
        </w:rPr>
        <w:t>-</w:t>
      </w:r>
      <w:r>
        <w:rPr>
          <w:rFonts w:hint="eastAsia" w:ascii="Times New Roman" w:hAnsi="Times New Roman"/>
          <w:color w:val="auto"/>
          <w:lang w:val="zh-CN"/>
        </w:rPr>
        <w:t>2012</w:t>
      </w:r>
      <w:r>
        <w:rPr>
          <w:rFonts w:hint="eastAsia"/>
          <w:color w:val="auto"/>
          <w:lang w:val="zh-CN"/>
        </w:rPr>
        <w:t>）；</w:t>
      </w:r>
    </w:p>
    <w:p w14:paraId="1372D1BC">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color w:val="auto"/>
          <w:lang w:val="zh-CN"/>
        </w:rPr>
      </w:pPr>
      <w:r>
        <w:rPr>
          <w:color w:val="auto"/>
          <w:lang w:val="zh-CN"/>
        </w:rPr>
        <w:t>《</w:t>
      </w:r>
      <w:r>
        <w:rPr>
          <w:color w:val="auto"/>
        </w:rPr>
        <w:t>化学品分类和危险性公示通则</w:t>
      </w:r>
      <w:r>
        <w:rPr>
          <w:color w:val="auto"/>
          <w:lang w:val="zh-CN"/>
        </w:rPr>
        <w:t>》</w:t>
      </w:r>
      <w:r>
        <w:rPr>
          <w:rFonts w:hint="eastAsia"/>
          <w:color w:val="auto"/>
          <w:lang w:val="zh-CN"/>
        </w:rPr>
        <w:t>（</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13690</w:t>
      </w:r>
      <w:r>
        <w:rPr>
          <w:color w:val="auto"/>
          <w:lang w:val="zh-CN"/>
        </w:rPr>
        <w:t>-</w:t>
      </w:r>
      <w:r>
        <w:rPr>
          <w:rFonts w:ascii="Times New Roman" w:hAnsi="Times New Roman"/>
          <w:color w:val="auto"/>
          <w:lang w:val="zh-CN"/>
        </w:rPr>
        <w:t>2</w:t>
      </w:r>
      <w:r>
        <w:rPr>
          <w:rFonts w:hint="eastAsia" w:ascii="Times New Roman" w:hAnsi="Times New Roman"/>
          <w:color w:val="auto"/>
          <w:lang w:val="zh-CN"/>
        </w:rPr>
        <w:t>00</w:t>
      </w:r>
      <w:r>
        <w:rPr>
          <w:rFonts w:ascii="Times New Roman" w:hAnsi="Times New Roman"/>
          <w:color w:val="auto"/>
          <w:lang w:val="zh-CN"/>
        </w:rPr>
        <w:t>9</w:t>
      </w:r>
      <w:r>
        <w:rPr>
          <w:rFonts w:hint="eastAsia"/>
          <w:color w:val="auto"/>
          <w:lang w:val="zh-CN"/>
        </w:rPr>
        <w:t>）；</w:t>
      </w:r>
    </w:p>
    <w:p w14:paraId="4E44D8C6">
      <w:pPr>
        <w:keepNext w:val="0"/>
        <w:keepLines w:val="0"/>
        <w:pageBreakBefore w:val="0"/>
        <w:widowControl/>
        <w:numPr>
          <w:ilvl w:val="0"/>
          <w:numId w:val="21"/>
        </w:numPr>
        <w:kinsoku/>
        <w:wordWrap/>
        <w:overflowPunct/>
        <w:topLinePunct w:val="0"/>
        <w:autoSpaceDE/>
        <w:autoSpaceDN/>
        <w:bidi w:val="0"/>
        <w:adjustRightInd w:val="0"/>
        <w:snapToGrid/>
        <w:spacing w:line="348" w:lineRule="auto"/>
        <w:ind w:left="981" w:hanging="420" w:firstLineChars="0"/>
        <w:textAlignment w:val="auto"/>
        <w:rPr>
          <w:rFonts w:hint="eastAsia"/>
          <w:color w:val="auto"/>
          <w:lang w:val="zh-CN"/>
        </w:rPr>
      </w:pPr>
      <w:r>
        <w:rPr>
          <w:color w:val="auto"/>
          <w:lang w:val="zh-CN"/>
        </w:rPr>
        <w:t>《危险货物包装标志》（</w:t>
      </w:r>
      <w:r>
        <w:rPr>
          <w:rFonts w:ascii="Times New Roman" w:hAnsi="Times New Roman"/>
          <w:color w:val="auto"/>
          <w:lang w:val="zh-CN"/>
        </w:rPr>
        <w:t>GB</w:t>
      </w:r>
      <w:r>
        <w:rPr>
          <w:rFonts w:hint="eastAsia"/>
          <w:color w:val="auto"/>
          <w:lang w:val="en-US" w:eastAsia="zh-CN"/>
        </w:rPr>
        <w:t xml:space="preserve"> </w:t>
      </w:r>
      <w:r>
        <w:rPr>
          <w:rFonts w:ascii="Times New Roman" w:hAnsi="Times New Roman"/>
          <w:color w:val="auto"/>
          <w:lang w:val="zh-CN"/>
        </w:rPr>
        <w:t>190</w:t>
      </w:r>
      <w:r>
        <w:rPr>
          <w:color w:val="auto"/>
          <w:lang w:val="zh-CN"/>
        </w:rPr>
        <w:t>-</w:t>
      </w:r>
      <w:r>
        <w:rPr>
          <w:rFonts w:hint="eastAsia" w:ascii="Times New Roman" w:hAnsi="Times New Roman"/>
          <w:color w:val="auto"/>
          <w:lang w:val="zh-CN"/>
        </w:rPr>
        <w:t>2009</w:t>
      </w:r>
      <w:r>
        <w:rPr>
          <w:color w:val="auto"/>
          <w:lang w:val="zh-CN"/>
        </w:rPr>
        <w:t>）</w:t>
      </w:r>
      <w:r>
        <w:rPr>
          <w:rFonts w:hint="eastAsia"/>
          <w:color w:val="auto"/>
          <w:lang w:val="zh-CN"/>
        </w:rPr>
        <w:t>；</w:t>
      </w:r>
    </w:p>
    <w:p w14:paraId="1F8D188C">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rFonts w:hint="eastAsia"/>
          <w:color w:val="auto"/>
          <w:lang w:val="zh-CN"/>
        </w:rPr>
      </w:pPr>
      <w:r>
        <w:rPr>
          <w:rFonts w:hint="eastAsia"/>
          <w:color w:val="auto"/>
          <w:lang w:val="zh-CN"/>
        </w:rPr>
        <w:t>《危险化学品经营企业安全技术基本要求》（</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18265</w:t>
      </w:r>
      <w:r>
        <w:rPr>
          <w:rFonts w:hint="eastAsia"/>
          <w:color w:val="auto"/>
          <w:lang w:val="zh-CN"/>
        </w:rPr>
        <w:t>-</w:t>
      </w:r>
      <w:r>
        <w:rPr>
          <w:rFonts w:hint="eastAsia" w:ascii="Times New Roman" w:hAnsi="Times New Roman"/>
          <w:color w:val="auto"/>
          <w:lang w:val="zh-CN"/>
        </w:rPr>
        <w:t>2019</w:t>
      </w:r>
      <w:r>
        <w:rPr>
          <w:rFonts w:hint="eastAsia"/>
          <w:color w:val="auto"/>
          <w:lang w:val="zh-CN"/>
        </w:rPr>
        <w:t>）；</w:t>
      </w:r>
    </w:p>
    <w:p w14:paraId="3B62012D">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rFonts w:hint="eastAsia"/>
          <w:color w:val="auto"/>
          <w:lang w:val="zh-CN"/>
        </w:rPr>
      </w:pPr>
      <w:r>
        <w:rPr>
          <w:rFonts w:hint="eastAsia"/>
          <w:color w:val="auto"/>
          <w:lang w:val="zh-CN"/>
        </w:rPr>
        <w:t>《液体石油产品静电安全规程》（</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13348</w:t>
      </w:r>
      <w:r>
        <w:rPr>
          <w:rFonts w:hint="eastAsia"/>
          <w:color w:val="auto"/>
          <w:lang w:val="zh-CN"/>
        </w:rPr>
        <w:t>-</w:t>
      </w:r>
      <w:r>
        <w:rPr>
          <w:rFonts w:hint="eastAsia" w:ascii="Times New Roman" w:hAnsi="Times New Roman"/>
          <w:color w:val="auto"/>
          <w:lang w:val="zh-CN"/>
        </w:rPr>
        <w:t>2009</w:t>
      </w:r>
      <w:r>
        <w:rPr>
          <w:rFonts w:hint="eastAsia"/>
          <w:color w:val="auto"/>
          <w:lang w:val="zh-CN"/>
        </w:rPr>
        <w:t>）；</w:t>
      </w:r>
    </w:p>
    <w:p w14:paraId="3E229152">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rFonts w:hint="eastAsia"/>
          <w:color w:val="auto"/>
          <w:lang w:val="zh-CN"/>
        </w:rPr>
      </w:pPr>
      <w:r>
        <w:rPr>
          <w:rFonts w:hint="eastAsia"/>
          <w:color w:val="auto"/>
          <w:lang w:val="zh-CN"/>
        </w:rPr>
        <w:t>《加油站在役油罐防渗漏改造工程技术标准》（</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51344</w:t>
      </w:r>
      <w:r>
        <w:rPr>
          <w:rFonts w:hint="eastAsia"/>
          <w:color w:val="auto"/>
          <w:lang w:val="zh-CN"/>
        </w:rPr>
        <w:t>-</w:t>
      </w:r>
      <w:r>
        <w:rPr>
          <w:rFonts w:hint="eastAsia" w:ascii="Times New Roman" w:hAnsi="Times New Roman"/>
          <w:color w:val="auto"/>
          <w:lang w:val="zh-CN"/>
        </w:rPr>
        <w:t>2019</w:t>
      </w:r>
      <w:r>
        <w:rPr>
          <w:rFonts w:hint="eastAsia"/>
          <w:color w:val="auto"/>
          <w:lang w:val="zh-CN"/>
        </w:rPr>
        <w:t>）；</w:t>
      </w:r>
    </w:p>
    <w:p w14:paraId="6C8260AA">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rFonts w:hint="eastAsia"/>
          <w:color w:val="auto"/>
          <w:lang w:val="zh-CN"/>
        </w:rPr>
      </w:pPr>
      <w:r>
        <w:rPr>
          <w:rFonts w:hint="eastAsia"/>
          <w:color w:val="auto"/>
          <w:lang w:val="zh-CN"/>
        </w:rPr>
        <w:t>《建筑灭火器配置验收及检查规范》（</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50444</w:t>
      </w:r>
      <w:r>
        <w:rPr>
          <w:rFonts w:hint="eastAsia"/>
          <w:color w:val="auto"/>
          <w:lang w:val="zh-CN"/>
        </w:rPr>
        <w:t>-</w:t>
      </w:r>
      <w:r>
        <w:rPr>
          <w:rFonts w:hint="eastAsia" w:ascii="Times New Roman" w:hAnsi="Times New Roman"/>
          <w:color w:val="auto"/>
          <w:lang w:val="zh-CN"/>
        </w:rPr>
        <w:t>2008</w:t>
      </w:r>
      <w:r>
        <w:rPr>
          <w:rFonts w:hint="eastAsia"/>
          <w:color w:val="auto"/>
          <w:lang w:val="zh-CN"/>
        </w:rPr>
        <w:t>）；</w:t>
      </w:r>
    </w:p>
    <w:p w14:paraId="0588F0BF">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color w:val="auto"/>
          <w:lang w:val="zh-CN"/>
        </w:rPr>
      </w:pPr>
      <w:r>
        <w:rPr>
          <w:rFonts w:hint="eastAsia"/>
          <w:color w:val="auto"/>
          <w:lang w:val="zh-CN"/>
        </w:rPr>
        <w:t>《企业职工伤亡事故分类》（</w:t>
      </w:r>
      <w:r>
        <w:rPr>
          <w:rFonts w:hint="eastAsia" w:ascii="Times New Roman" w:hAnsi="Times New Roman"/>
          <w:color w:val="auto"/>
          <w:lang w:val="zh-CN"/>
        </w:rPr>
        <w:t>GB</w:t>
      </w:r>
      <w:r>
        <w:rPr>
          <w:rFonts w:hint="eastAsia"/>
          <w:color w:val="auto"/>
          <w:lang w:val="zh-CN"/>
        </w:rPr>
        <w:t>/</w:t>
      </w:r>
      <w:r>
        <w:rPr>
          <w:rFonts w:hint="eastAsia" w:ascii="Times New Roman" w:hAnsi="Times New Roman"/>
          <w:color w:val="auto"/>
          <w:lang w:val="zh-CN"/>
        </w:rPr>
        <w:t>T</w:t>
      </w:r>
      <w:r>
        <w:rPr>
          <w:rFonts w:hint="eastAsia"/>
          <w:color w:val="auto"/>
          <w:lang w:val="zh-CN"/>
        </w:rPr>
        <w:t xml:space="preserve"> </w:t>
      </w:r>
      <w:r>
        <w:rPr>
          <w:rFonts w:hint="eastAsia" w:ascii="Times New Roman" w:hAnsi="Times New Roman"/>
          <w:color w:val="auto"/>
          <w:lang w:val="zh-CN"/>
        </w:rPr>
        <w:t>6441</w:t>
      </w:r>
      <w:r>
        <w:rPr>
          <w:rFonts w:hint="eastAsia"/>
          <w:color w:val="auto"/>
          <w:lang w:val="zh-CN"/>
        </w:rPr>
        <w:t>-</w:t>
      </w:r>
      <w:r>
        <w:rPr>
          <w:rFonts w:hint="eastAsia" w:ascii="Times New Roman" w:hAnsi="Times New Roman"/>
          <w:color w:val="auto"/>
          <w:lang w:val="zh-CN"/>
        </w:rPr>
        <w:t>1986</w:t>
      </w:r>
      <w:r>
        <w:rPr>
          <w:rFonts w:hint="eastAsia"/>
          <w:color w:val="auto"/>
          <w:lang w:val="zh-CN"/>
        </w:rPr>
        <w:t>）；</w:t>
      </w:r>
    </w:p>
    <w:p w14:paraId="2D3EB090">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color w:val="auto"/>
          <w:lang w:val="zh-CN"/>
        </w:rPr>
      </w:pPr>
      <w:r>
        <w:rPr>
          <w:rFonts w:hint="eastAsia"/>
          <w:color w:val="auto"/>
          <w:lang w:val="zh-CN"/>
        </w:rPr>
        <w:t>《危险化学品单位应急救援物资配备要求》（</w:t>
      </w:r>
      <w:r>
        <w:rPr>
          <w:rFonts w:hint="eastAsia" w:ascii="Times New Roman" w:hAnsi="Times New Roman"/>
          <w:color w:val="auto"/>
          <w:lang w:val="zh-CN"/>
        </w:rPr>
        <w:t>GB</w:t>
      </w:r>
      <w:r>
        <w:rPr>
          <w:rFonts w:hint="eastAsia"/>
          <w:color w:val="auto"/>
          <w:lang w:val="zh-CN"/>
        </w:rPr>
        <w:t xml:space="preserve"> </w:t>
      </w:r>
      <w:r>
        <w:rPr>
          <w:rFonts w:hint="eastAsia" w:ascii="Times New Roman" w:hAnsi="Times New Roman"/>
          <w:color w:val="auto"/>
          <w:lang w:val="zh-CN"/>
        </w:rPr>
        <w:t>30077</w:t>
      </w:r>
      <w:r>
        <w:rPr>
          <w:rFonts w:hint="eastAsia"/>
          <w:color w:val="auto"/>
          <w:lang w:val="zh-CN"/>
        </w:rPr>
        <w:t>-</w:t>
      </w:r>
      <w:r>
        <w:rPr>
          <w:rFonts w:hint="eastAsia" w:ascii="Times New Roman" w:hAnsi="Times New Roman"/>
          <w:color w:val="auto"/>
          <w:lang w:val="zh-CN"/>
        </w:rPr>
        <w:t>2023</w:t>
      </w:r>
      <w:r>
        <w:rPr>
          <w:rFonts w:hint="eastAsia"/>
          <w:color w:val="auto"/>
          <w:lang w:val="zh-CN"/>
        </w:rPr>
        <w:t>）；</w:t>
      </w:r>
    </w:p>
    <w:p w14:paraId="211AA7EC">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color w:val="auto"/>
          <w:lang w:val="zh-CN"/>
        </w:rPr>
      </w:pPr>
      <w:r>
        <w:rPr>
          <w:rFonts w:hint="eastAsia"/>
          <w:color w:val="auto"/>
          <w:lang w:val="zh-CN"/>
        </w:rPr>
        <w:t>《危险化学品企业特殊作业安全规范》（</w:t>
      </w:r>
      <w:r>
        <w:rPr>
          <w:rFonts w:hint="eastAsia" w:ascii="Times New Roman" w:hAnsi="Times New Roman"/>
          <w:color w:val="auto"/>
          <w:lang w:val="zh-CN"/>
        </w:rPr>
        <w:t>GB</w:t>
      </w:r>
      <w:r>
        <w:rPr>
          <w:rFonts w:hint="eastAsia"/>
          <w:color w:val="auto"/>
          <w:lang w:val="en-US" w:eastAsia="zh-CN"/>
        </w:rPr>
        <w:t xml:space="preserve"> </w:t>
      </w:r>
      <w:r>
        <w:rPr>
          <w:rFonts w:hint="eastAsia" w:ascii="Times New Roman" w:hAnsi="Times New Roman"/>
          <w:color w:val="auto"/>
          <w:lang w:val="zh-CN"/>
        </w:rPr>
        <w:t>30871</w:t>
      </w:r>
      <w:r>
        <w:rPr>
          <w:rFonts w:hint="eastAsia"/>
          <w:color w:val="auto"/>
          <w:lang w:val="zh-CN"/>
        </w:rPr>
        <w:t>-</w:t>
      </w:r>
      <w:r>
        <w:rPr>
          <w:rFonts w:hint="eastAsia" w:ascii="Times New Roman" w:hAnsi="Times New Roman"/>
          <w:color w:val="auto"/>
          <w:lang w:val="zh-CN"/>
        </w:rPr>
        <w:t>2022</w:t>
      </w:r>
      <w:r>
        <w:rPr>
          <w:rFonts w:hint="eastAsia"/>
          <w:color w:val="auto"/>
          <w:lang w:val="zh-CN"/>
        </w:rPr>
        <w:t>）；</w:t>
      </w:r>
    </w:p>
    <w:p w14:paraId="3FB1AE59">
      <w:pPr>
        <w:keepNext w:val="0"/>
        <w:keepLines w:val="0"/>
        <w:pageBreakBefore w:val="0"/>
        <w:widowControl/>
        <w:numPr>
          <w:ilvl w:val="0"/>
          <w:numId w:val="21"/>
        </w:numPr>
        <w:kinsoku/>
        <w:wordWrap/>
        <w:overflowPunct/>
        <w:topLinePunct w:val="0"/>
        <w:bidi w:val="0"/>
        <w:adjustRightInd w:val="0"/>
        <w:snapToGrid/>
        <w:spacing w:line="348" w:lineRule="auto"/>
        <w:ind w:left="981" w:hanging="420" w:firstLineChars="0"/>
        <w:textAlignment w:val="auto"/>
        <w:rPr>
          <w:color w:val="auto"/>
          <w:lang w:val="zh-CN"/>
        </w:rPr>
      </w:pPr>
      <w:r>
        <w:rPr>
          <w:rFonts w:hint="eastAsia"/>
          <w:color w:val="auto"/>
          <w:lang w:val="zh-CN"/>
        </w:rPr>
        <w:t>《化工企业安全卫生设计规范》（</w:t>
      </w:r>
      <w:r>
        <w:rPr>
          <w:rFonts w:hint="eastAsia" w:ascii="Times New Roman" w:hAnsi="Times New Roman"/>
          <w:color w:val="auto"/>
          <w:lang w:val="zh-CN"/>
        </w:rPr>
        <w:t>HG</w:t>
      </w:r>
      <w:r>
        <w:rPr>
          <w:rFonts w:hint="eastAsia"/>
          <w:color w:val="auto"/>
          <w:lang w:val="zh-CN"/>
        </w:rPr>
        <w:t xml:space="preserve"> </w:t>
      </w:r>
      <w:r>
        <w:rPr>
          <w:rFonts w:hint="eastAsia" w:ascii="Times New Roman" w:hAnsi="Times New Roman"/>
          <w:color w:val="auto"/>
          <w:lang w:val="zh-CN"/>
        </w:rPr>
        <w:t>20571</w:t>
      </w:r>
      <w:r>
        <w:rPr>
          <w:rFonts w:hint="eastAsia"/>
          <w:color w:val="auto"/>
          <w:lang w:val="zh-CN"/>
        </w:rPr>
        <w:t>-</w:t>
      </w:r>
      <w:r>
        <w:rPr>
          <w:rFonts w:hint="eastAsia" w:ascii="Times New Roman" w:hAnsi="Times New Roman"/>
          <w:color w:val="auto"/>
          <w:lang w:val="zh-CN"/>
        </w:rPr>
        <w:t>2014</w:t>
      </w:r>
      <w:r>
        <w:rPr>
          <w:rFonts w:hint="eastAsia"/>
          <w:color w:val="auto"/>
          <w:lang w:val="zh-CN"/>
        </w:rPr>
        <w:t>）；</w:t>
      </w:r>
    </w:p>
    <w:p w14:paraId="4D6F8716">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color w:val="auto"/>
          <w:lang w:val="zh-CN"/>
        </w:rPr>
        <w:t>《化工企业腐蚀环境电力设计规程》（</w:t>
      </w:r>
      <w:r>
        <w:rPr>
          <w:rFonts w:ascii="Times New Roman" w:hAnsi="Times New Roman"/>
          <w:color w:val="auto"/>
          <w:lang w:val="zh-CN"/>
        </w:rPr>
        <w:t>HG</w:t>
      </w:r>
      <w:r>
        <w:rPr>
          <w:color w:val="auto"/>
          <w:lang w:val="zh-CN"/>
        </w:rPr>
        <w:t>/</w:t>
      </w:r>
      <w:r>
        <w:rPr>
          <w:rFonts w:ascii="Times New Roman" w:hAnsi="Times New Roman"/>
          <w:color w:val="auto"/>
          <w:lang w:val="zh-CN"/>
        </w:rPr>
        <w:t>T</w:t>
      </w:r>
      <w:r>
        <w:rPr>
          <w:rFonts w:hint="eastAsia"/>
          <w:color w:val="auto"/>
          <w:lang w:val="en-US" w:eastAsia="zh-CN"/>
        </w:rPr>
        <w:t xml:space="preserve"> </w:t>
      </w:r>
      <w:r>
        <w:rPr>
          <w:rFonts w:ascii="Times New Roman" w:hAnsi="Times New Roman"/>
          <w:color w:val="auto"/>
          <w:lang w:val="zh-CN"/>
        </w:rPr>
        <w:t>20666</w:t>
      </w:r>
      <w:r>
        <w:rPr>
          <w:color w:val="auto"/>
          <w:lang w:val="zh-CN"/>
        </w:rPr>
        <w:t>-</w:t>
      </w:r>
      <w:r>
        <w:rPr>
          <w:rFonts w:ascii="Times New Roman" w:hAnsi="Times New Roman"/>
          <w:color w:val="auto"/>
          <w:lang w:val="zh-CN"/>
        </w:rPr>
        <w:t>1999</w:t>
      </w:r>
      <w:r>
        <w:rPr>
          <w:color w:val="auto"/>
          <w:lang w:val="zh-CN"/>
        </w:rPr>
        <w:t>）</w:t>
      </w:r>
      <w:r>
        <w:rPr>
          <w:rFonts w:hint="eastAsia"/>
          <w:color w:val="auto"/>
          <w:lang w:val="zh-CN"/>
        </w:rPr>
        <w:t>；</w:t>
      </w:r>
    </w:p>
    <w:p w14:paraId="04879C49">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rPr>
      </w:pPr>
      <w:r>
        <w:rPr>
          <w:color w:val="auto"/>
          <w:lang w:val="zh-CN"/>
        </w:rPr>
        <w:t>《安全评价通则》</w:t>
      </w:r>
      <w:r>
        <w:rPr>
          <w:rFonts w:hint="eastAsia"/>
          <w:color w:val="auto"/>
        </w:rPr>
        <w:t>（</w:t>
      </w:r>
      <w:r>
        <w:rPr>
          <w:rFonts w:ascii="Times New Roman" w:hAnsi="Times New Roman"/>
          <w:color w:val="auto"/>
        </w:rPr>
        <w:t>AQ</w:t>
      </w:r>
      <w:r>
        <w:rPr>
          <w:rFonts w:hint="eastAsia"/>
          <w:color w:val="auto"/>
          <w:lang w:val="en-US" w:eastAsia="zh-CN"/>
        </w:rPr>
        <w:t xml:space="preserve"> </w:t>
      </w:r>
      <w:r>
        <w:rPr>
          <w:rFonts w:ascii="Times New Roman" w:hAnsi="Times New Roman"/>
          <w:color w:val="auto"/>
        </w:rPr>
        <w:t>8001</w:t>
      </w:r>
      <w:r>
        <w:rPr>
          <w:color w:val="auto"/>
        </w:rPr>
        <w:t>-</w:t>
      </w:r>
      <w:r>
        <w:rPr>
          <w:rFonts w:ascii="Times New Roman" w:hAnsi="Times New Roman"/>
          <w:color w:val="auto"/>
        </w:rPr>
        <w:t>2007</w:t>
      </w:r>
      <w:r>
        <w:rPr>
          <w:rFonts w:hint="eastAsia"/>
          <w:color w:val="auto"/>
        </w:rPr>
        <w:t>）；</w:t>
      </w:r>
    </w:p>
    <w:p w14:paraId="0BDA5362">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color w:val="auto"/>
          <w:lang w:val="zh-CN"/>
        </w:rPr>
        <w:t>《安全</w:t>
      </w:r>
      <w:r>
        <w:rPr>
          <w:rFonts w:hint="eastAsia"/>
          <w:color w:val="auto"/>
        </w:rPr>
        <w:t>验收</w:t>
      </w:r>
      <w:r>
        <w:rPr>
          <w:color w:val="auto"/>
          <w:lang w:val="zh-CN"/>
        </w:rPr>
        <w:t>评价导则》</w:t>
      </w:r>
      <w:r>
        <w:rPr>
          <w:rFonts w:hint="eastAsia"/>
          <w:color w:val="auto"/>
        </w:rPr>
        <w:t>（</w:t>
      </w:r>
      <w:r>
        <w:rPr>
          <w:rFonts w:ascii="Times New Roman" w:hAnsi="Times New Roman"/>
          <w:color w:val="auto"/>
        </w:rPr>
        <w:t>AQ</w:t>
      </w:r>
      <w:r>
        <w:rPr>
          <w:rFonts w:hint="eastAsia"/>
          <w:color w:val="auto"/>
          <w:lang w:val="en-US" w:eastAsia="zh-CN"/>
        </w:rPr>
        <w:t xml:space="preserve"> </w:t>
      </w:r>
      <w:r>
        <w:rPr>
          <w:rFonts w:ascii="Times New Roman" w:hAnsi="Times New Roman"/>
          <w:color w:val="auto"/>
        </w:rPr>
        <w:t>800</w:t>
      </w:r>
      <w:r>
        <w:rPr>
          <w:rFonts w:hint="eastAsia" w:ascii="Times New Roman" w:hAnsi="Times New Roman"/>
          <w:color w:val="auto"/>
        </w:rPr>
        <w:t>3</w:t>
      </w:r>
      <w:r>
        <w:rPr>
          <w:color w:val="auto"/>
        </w:rPr>
        <w:t>-</w:t>
      </w:r>
      <w:r>
        <w:rPr>
          <w:rFonts w:ascii="Times New Roman" w:hAnsi="Times New Roman"/>
          <w:color w:val="auto"/>
        </w:rPr>
        <w:t>2007</w:t>
      </w:r>
      <w:r>
        <w:rPr>
          <w:rFonts w:hint="eastAsia"/>
          <w:color w:val="auto"/>
        </w:rPr>
        <w:t>）；</w:t>
      </w:r>
    </w:p>
    <w:p w14:paraId="198811D8">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w:t>
      </w:r>
      <w:r>
        <w:rPr>
          <w:color w:val="auto"/>
        </w:rPr>
        <w:t>生产安全事故应急演练基本规范</w:t>
      </w:r>
      <w:r>
        <w:rPr>
          <w:rFonts w:hint="eastAsia"/>
          <w:color w:val="auto"/>
          <w:lang w:val="zh-CN"/>
        </w:rPr>
        <w:t>》（</w:t>
      </w:r>
      <w:r>
        <w:rPr>
          <w:rFonts w:hint="eastAsia"/>
          <w:color w:val="auto"/>
          <w:lang w:val="en-US" w:eastAsia="zh-CN"/>
        </w:rPr>
        <w:t>YJ</w:t>
      </w:r>
      <w:r>
        <w:rPr>
          <w:rFonts w:hint="eastAsia"/>
          <w:color w:val="auto"/>
          <w:lang w:val="zh-CN"/>
        </w:rPr>
        <w:t>/</w:t>
      </w:r>
      <w:r>
        <w:rPr>
          <w:rFonts w:hint="eastAsia" w:ascii="Times New Roman" w:hAnsi="Times New Roman"/>
          <w:color w:val="auto"/>
        </w:rPr>
        <w:t>T</w:t>
      </w:r>
      <w:r>
        <w:rPr>
          <w:rFonts w:hint="eastAsia"/>
          <w:color w:val="auto"/>
          <w:lang w:val="en-US" w:eastAsia="zh-CN"/>
        </w:rPr>
        <w:t xml:space="preserve"> </w:t>
      </w:r>
      <w:r>
        <w:rPr>
          <w:rFonts w:hint="eastAsia" w:ascii="Times New Roman" w:hAnsi="Times New Roman"/>
          <w:color w:val="auto"/>
          <w:lang w:val="zh-CN"/>
        </w:rPr>
        <w:t>9007</w:t>
      </w:r>
      <w:r>
        <w:rPr>
          <w:rFonts w:hint="eastAsia"/>
          <w:color w:val="auto"/>
          <w:lang w:val="zh-CN"/>
        </w:rPr>
        <w:t>-</w:t>
      </w:r>
      <w:r>
        <w:rPr>
          <w:rFonts w:hint="eastAsia" w:ascii="Times New Roman" w:hAnsi="Times New Roman"/>
          <w:color w:val="auto"/>
          <w:lang w:val="zh-CN"/>
        </w:rPr>
        <w:t>2019</w:t>
      </w:r>
      <w:r>
        <w:rPr>
          <w:rFonts w:hint="eastAsia"/>
          <w:color w:val="auto"/>
          <w:lang w:val="zh-CN"/>
        </w:rPr>
        <w:t>）；</w:t>
      </w:r>
    </w:p>
    <w:p w14:paraId="756AB3A4">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《危险场所电气防爆安全规范》（</w:t>
      </w:r>
      <w:r>
        <w:rPr>
          <w:rFonts w:hint="eastAsia" w:ascii="Times New Roman" w:hAnsi="Times New Roman"/>
          <w:color w:val="auto"/>
          <w:lang w:val="zh-CN"/>
        </w:rPr>
        <w:t>AQ</w:t>
      </w:r>
      <w:r>
        <w:rPr>
          <w:rFonts w:hint="eastAsia"/>
          <w:color w:val="auto"/>
          <w:lang w:val="en-US" w:eastAsia="zh-CN"/>
        </w:rPr>
        <w:t xml:space="preserve"> </w:t>
      </w:r>
      <w:r>
        <w:rPr>
          <w:rFonts w:hint="eastAsia" w:ascii="Times New Roman" w:hAnsi="Times New Roman"/>
          <w:color w:val="auto"/>
          <w:lang w:val="zh-CN"/>
        </w:rPr>
        <w:t>3009</w:t>
      </w:r>
      <w:r>
        <w:rPr>
          <w:rFonts w:hint="eastAsia"/>
          <w:color w:val="auto"/>
          <w:lang w:val="zh-CN"/>
        </w:rPr>
        <w:t>-</w:t>
      </w:r>
      <w:r>
        <w:rPr>
          <w:rFonts w:hint="eastAsia" w:ascii="Times New Roman" w:hAnsi="Times New Roman"/>
          <w:color w:val="auto"/>
          <w:lang w:val="zh-CN"/>
        </w:rPr>
        <w:t>2007</w:t>
      </w:r>
      <w:r>
        <w:rPr>
          <w:rFonts w:hint="eastAsia"/>
          <w:color w:val="auto"/>
          <w:lang w:val="zh-CN"/>
        </w:rPr>
        <w:t>）；</w:t>
      </w:r>
    </w:p>
    <w:p w14:paraId="3E7729C6">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《加油站作业安全规范》（</w:t>
      </w:r>
      <w:r>
        <w:rPr>
          <w:rFonts w:hint="eastAsia" w:ascii="Times New Roman" w:hAnsi="Times New Roman"/>
          <w:color w:val="auto"/>
          <w:lang w:val="zh-CN"/>
        </w:rPr>
        <w:t>AQ</w:t>
      </w:r>
      <w:r>
        <w:rPr>
          <w:rFonts w:hint="eastAsia"/>
          <w:color w:val="auto"/>
          <w:lang w:val="zh-CN"/>
        </w:rPr>
        <w:t xml:space="preserve"> </w:t>
      </w:r>
      <w:r>
        <w:rPr>
          <w:rFonts w:hint="eastAsia" w:ascii="Times New Roman" w:hAnsi="Times New Roman"/>
          <w:color w:val="auto"/>
          <w:lang w:val="zh-CN"/>
        </w:rPr>
        <w:t>3010</w:t>
      </w:r>
      <w:r>
        <w:rPr>
          <w:rFonts w:hint="eastAsia"/>
          <w:color w:val="auto"/>
          <w:lang w:val="zh-CN"/>
        </w:rPr>
        <w:t>-</w:t>
      </w:r>
      <w:r>
        <w:rPr>
          <w:rFonts w:hint="eastAsia" w:ascii="Times New Roman" w:hAnsi="Times New Roman"/>
          <w:color w:val="auto"/>
          <w:lang w:val="zh-CN"/>
        </w:rPr>
        <w:t>2022</w:t>
      </w:r>
      <w:r>
        <w:rPr>
          <w:rFonts w:hint="eastAsia"/>
          <w:color w:val="auto"/>
          <w:lang w:val="zh-CN"/>
        </w:rPr>
        <w:t>）；</w:t>
      </w:r>
    </w:p>
    <w:p w14:paraId="21F1EBBC">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《加油（气）站油（气）储存罐体阻隔防爆技术要求》（</w:t>
      </w:r>
      <w:r>
        <w:rPr>
          <w:rFonts w:hint="eastAsia" w:ascii="Times New Roman" w:hAnsi="Times New Roman"/>
          <w:color w:val="auto"/>
          <w:lang w:val="zh-CN"/>
        </w:rPr>
        <w:t>AQ</w:t>
      </w:r>
      <w:r>
        <w:rPr>
          <w:rFonts w:hint="eastAsia"/>
          <w:color w:val="auto"/>
          <w:lang w:val="zh-CN"/>
        </w:rPr>
        <w:t>/</w:t>
      </w:r>
      <w:r>
        <w:rPr>
          <w:rFonts w:hint="eastAsia" w:ascii="Times New Roman" w:hAnsi="Times New Roman"/>
          <w:color w:val="auto"/>
          <w:lang w:val="zh-CN"/>
        </w:rPr>
        <w:t>T3001</w:t>
      </w:r>
      <w:r>
        <w:rPr>
          <w:rFonts w:hint="eastAsia"/>
          <w:color w:val="auto"/>
          <w:lang w:val="zh-CN"/>
        </w:rPr>
        <w:t>-</w:t>
      </w:r>
      <w:r>
        <w:rPr>
          <w:rFonts w:hint="eastAsia" w:ascii="Times New Roman" w:hAnsi="Times New Roman"/>
          <w:color w:val="auto"/>
          <w:lang w:val="zh-CN"/>
        </w:rPr>
        <w:t>2021</w:t>
      </w:r>
      <w:r>
        <w:rPr>
          <w:rFonts w:hint="eastAsia"/>
          <w:color w:val="auto"/>
          <w:lang w:val="zh-CN"/>
        </w:rPr>
        <w:t>）</w:t>
      </w:r>
    </w:p>
    <w:p w14:paraId="0E605A51">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color w:val="auto"/>
          <w:lang w:val="zh-CN"/>
        </w:rPr>
        <w:t>《加油站服务技术规范》（</w:t>
      </w:r>
      <w:r>
        <w:rPr>
          <w:rFonts w:ascii="Times New Roman" w:hAnsi="Times New Roman"/>
          <w:color w:val="auto"/>
          <w:lang w:val="zh-CN"/>
        </w:rPr>
        <w:t>SB</w:t>
      </w:r>
      <w:r>
        <w:rPr>
          <w:color w:val="auto"/>
          <w:lang w:val="zh-CN"/>
        </w:rPr>
        <w:t>/</w:t>
      </w:r>
      <w:r>
        <w:rPr>
          <w:rFonts w:ascii="Times New Roman" w:hAnsi="Times New Roman"/>
          <w:color w:val="auto"/>
          <w:lang w:val="zh-CN"/>
        </w:rPr>
        <w:t>T10591</w:t>
      </w:r>
      <w:r>
        <w:rPr>
          <w:color w:val="auto"/>
          <w:lang w:val="zh-CN"/>
        </w:rPr>
        <w:t>-</w:t>
      </w:r>
      <w:r>
        <w:rPr>
          <w:rFonts w:ascii="Times New Roman" w:hAnsi="Times New Roman"/>
          <w:color w:val="auto"/>
          <w:lang w:val="zh-CN"/>
        </w:rPr>
        <w:t>2011</w:t>
      </w:r>
      <w:r>
        <w:rPr>
          <w:color w:val="auto"/>
          <w:lang w:val="zh-CN"/>
        </w:rPr>
        <w:t>）；</w:t>
      </w:r>
    </w:p>
    <w:p w14:paraId="68E4E152">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《加油站用埋地钢-玻璃纤维增强塑料双层油罐工程技术规范》（</w:t>
      </w:r>
      <w:r>
        <w:rPr>
          <w:rFonts w:ascii="Times New Roman" w:hAnsi="Times New Roman"/>
          <w:color w:val="auto"/>
          <w:lang w:val="zh-CN"/>
        </w:rPr>
        <w:t>SH</w:t>
      </w:r>
      <w:r>
        <w:rPr>
          <w:color w:val="auto"/>
          <w:lang w:val="zh-CN"/>
        </w:rPr>
        <w:t>/</w:t>
      </w:r>
      <w:r>
        <w:rPr>
          <w:rFonts w:ascii="Times New Roman" w:hAnsi="Times New Roman"/>
          <w:color w:val="auto"/>
          <w:lang w:val="zh-CN"/>
        </w:rPr>
        <w:t>T3178</w:t>
      </w:r>
      <w:r>
        <w:rPr>
          <w:color w:val="auto"/>
          <w:lang w:val="zh-CN"/>
        </w:rPr>
        <w:t>-</w:t>
      </w:r>
      <w:r>
        <w:rPr>
          <w:rFonts w:ascii="Times New Roman" w:hAnsi="Times New Roman"/>
          <w:color w:val="auto"/>
          <w:lang w:val="zh-CN"/>
        </w:rPr>
        <w:t>2015</w:t>
      </w:r>
      <w:r>
        <w:rPr>
          <w:rFonts w:hint="eastAsia"/>
          <w:color w:val="auto"/>
          <w:lang w:val="zh-CN"/>
        </w:rPr>
        <w:t>）；</w:t>
      </w:r>
    </w:p>
    <w:p w14:paraId="527D803D">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lang w:val="zh-CN"/>
        </w:rPr>
      </w:pPr>
      <w:r>
        <w:rPr>
          <w:rFonts w:hint="eastAsia"/>
          <w:color w:val="auto"/>
          <w:lang w:val="zh-CN"/>
        </w:rPr>
        <w:t>《油气回收系统工程技术导则》（</w:t>
      </w:r>
      <w:r>
        <w:rPr>
          <w:rFonts w:hint="eastAsia" w:ascii="Times New Roman" w:hAnsi="Times New Roman"/>
          <w:color w:val="auto"/>
          <w:lang w:val="zh-CN"/>
        </w:rPr>
        <w:t>Q</w:t>
      </w:r>
      <w:r>
        <w:rPr>
          <w:rFonts w:hint="eastAsia"/>
          <w:color w:val="auto"/>
          <w:lang w:val="zh-CN"/>
        </w:rPr>
        <w:t>/</w:t>
      </w:r>
      <w:r>
        <w:rPr>
          <w:rFonts w:hint="eastAsia" w:ascii="Times New Roman" w:hAnsi="Times New Roman"/>
          <w:color w:val="auto"/>
          <w:lang w:val="zh-CN"/>
        </w:rPr>
        <w:t>SH</w:t>
      </w:r>
      <w:r>
        <w:rPr>
          <w:rFonts w:hint="eastAsia"/>
          <w:color w:val="auto"/>
          <w:lang w:val="zh-CN"/>
        </w:rPr>
        <w:t xml:space="preserve"> </w:t>
      </w:r>
      <w:r>
        <w:rPr>
          <w:rFonts w:hint="eastAsia" w:ascii="Times New Roman" w:hAnsi="Times New Roman"/>
          <w:color w:val="auto"/>
          <w:lang w:val="zh-CN"/>
        </w:rPr>
        <w:t>0117</w:t>
      </w:r>
      <w:r>
        <w:rPr>
          <w:rFonts w:hint="eastAsia"/>
          <w:color w:val="auto"/>
          <w:lang w:val="zh-CN"/>
        </w:rPr>
        <w:t>-</w:t>
      </w:r>
      <w:r>
        <w:rPr>
          <w:rFonts w:hint="eastAsia" w:ascii="Times New Roman" w:hAnsi="Times New Roman"/>
          <w:color w:val="auto"/>
          <w:lang w:val="zh-CN"/>
        </w:rPr>
        <w:t>2007</w:t>
      </w:r>
      <w:r>
        <w:rPr>
          <w:rFonts w:hint="eastAsia"/>
          <w:color w:val="auto"/>
          <w:lang w:val="zh-CN"/>
        </w:rPr>
        <w:t>）；</w:t>
      </w:r>
    </w:p>
    <w:p w14:paraId="053ECE74">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kern w:val="0"/>
          <w:szCs w:val="28"/>
          <w:lang w:bidi="ar"/>
        </w:rPr>
      </w:pPr>
      <w:r>
        <w:rPr>
          <w:color w:val="auto"/>
          <w:kern w:val="0"/>
          <w:szCs w:val="28"/>
          <w:lang w:bidi="ar"/>
        </w:rPr>
        <w:t>《仓储场所消防安全管理通则》（</w:t>
      </w:r>
      <w:r>
        <w:rPr>
          <w:rFonts w:ascii="Times New Roman" w:hAnsi="Times New Roman"/>
          <w:color w:val="auto"/>
          <w:kern w:val="0"/>
          <w:szCs w:val="28"/>
          <w:lang w:bidi="ar"/>
        </w:rPr>
        <w:t>XF</w:t>
      </w:r>
      <w:r>
        <w:rPr>
          <w:color w:val="auto"/>
          <w:kern w:val="0"/>
          <w:szCs w:val="28"/>
          <w:lang w:bidi="ar"/>
        </w:rPr>
        <w:t xml:space="preserve"> </w:t>
      </w:r>
      <w:r>
        <w:rPr>
          <w:rFonts w:ascii="Times New Roman" w:hAnsi="Times New Roman"/>
          <w:color w:val="auto"/>
          <w:kern w:val="0"/>
          <w:szCs w:val="28"/>
          <w:lang w:bidi="ar"/>
        </w:rPr>
        <w:t>1131</w:t>
      </w:r>
      <w:r>
        <w:rPr>
          <w:color w:val="auto"/>
          <w:kern w:val="0"/>
          <w:szCs w:val="28"/>
          <w:lang w:bidi="ar"/>
        </w:rPr>
        <w:t>-</w:t>
      </w:r>
      <w:r>
        <w:rPr>
          <w:rFonts w:ascii="Times New Roman" w:hAnsi="Times New Roman"/>
          <w:color w:val="auto"/>
          <w:kern w:val="0"/>
          <w:szCs w:val="28"/>
          <w:lang w:bidi="ar"/>
        </w:rPr>
        <w:t>2014</w:t>
      </w:r>
      <w:r>
        <w:rPr>
          <w:color w:val="auto"/>
          <w:kern w:val="0"/>
          <w:szCs w:val="28"/>
          <w:lang w:bidi="ar"/>
        </w:rPr>
        <w:t>）；</w:t>
      </w:r>
    </w:p>
    <w:p w14:paraId="5C1EA42F">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kern w:val="0"/>
          <w:szCs w:val="28"/>
          <w:lang w:bidi="ar"/>
        </w:rPr>
      </w:pPr>
      <w:r>
        <w:rPr>
          <w:rFonts w:hint="eastAsia"/>
          <w:color w:val="auto"/>
          <w:kern w:val="0"/>
          <w:szCs w:val="28"/>
          <w:lang w:bidi="ar"/>
        </w:rPr>
        <w:t>《汽车加油加气站消防安全管理》（</w:t>
      </w:r>
      <w:r>
        <w:rPr>
          <w:rFonts w:hint="eastAsia" w:ascii="Times New Roman" w:hAnsi="Times New Roman"/>
          <w:color w:val="auto"/>
          <w:kern w:val="0"/>
          <w:szCs w:val="28"/>
          <w:lang w:bidi="ar"/>
        </w:rPr>
        <w:t>XF</w:t>
      </w:r>
      <w:r>
        <w:rPr>
          <w:rFonts w:hint="eastAsia"/>
          <w:color w:val="auto"/>
          <w:kern w:val="0"/>
          <w:szCs w:val="28"/>
          <w:lang w:bidi="ar"/>
        </w:rPr>
        <w:t>/</w:t>
      </w:r>
      <w:r>
        <w:rPr>
          <w:rFonts w:hint="eastAsia" w:ascii="Times New Roman" w:hAnsi="Times New Roman"/>
          <w:color w:val="auto"/>
          <w:kern w:val="0"/>
          <w:szCs w:val="28"/>
          <w:lang w:bidi="ar"/>
        </w:rPr>
        <w:t>T</w:t>
      </w:r>
      <w:r>
        <w:rPr>
          <w:rFonts w:hint="eastAsia"/>
          <w:color w:val="auto"/>
          <w:kern w:val="0"/>
          <w:szCs w:val="28"/>
          <w:lang w:val="en-US" w:eastAsia="zh-CN" w:bidi="ar"/>
        </w:rPr>
        <w:t xml:space="preserve"> </w:t>
      </w:r>
      <w:r>
        <w:rPr>
          <w:rFonts w:hint="eastAsia" w:ascii="Times New Roman" w:hAnsi="Times New Roman"/>
          <w:color w:val="auto"/>
          <w:kern w:val="0"/>
          <w:szCs w:val="28"/>
          <w:lang w:bidi="ar"/>
        </w:rPr>
        <w:t>3004</w:t>
      </w:r>
      <w:r>
        <w:rPr>
          <w:rFonts w:hint="eastAsia"/>
          <w:color w:val="auto"/>
          <w:kern w:val="0"/>
          <w:szCs w:val="28"/>
          <w:lang w:bidi="ar"/>
        </w:rPr>
        <w:t>-</w:t>
      </w:r>
      <w:r>
        <w:rPr>
          <w:rFonts w:hint="eastAsia" w:ascii="Times New Roman" w:hAnsi="Times New Roman"/>
          <w:color w:val="auto"/>
          <w:kern w:val="0"/>
          <w:szCs w:val="28"/>
          <w:lang w:bidi="ar"/>
        </w:rPr>
        <w:t>2020</w:t>
      </w:r>
      <w:r>
        <w:rPr>
          <w:rFonts w:hint="eastAsia"/>
          <w:color w:val="auto"/>
          <w:kern w:val="0"/>
          <w:szCs w:val="28"/>
          <w:lang w:bidi="ar"/>
        </w:rPr>
        <w:t>）；</w:t>
      </w:r>
    </w:p>
    <w:p w14:paraId="76290F87">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kern w:val="0"/>
          <w:szCs w:val="28"/>
          <w:lang w:bidi="ar"/>
        </w:rPr>
      </w:pPr>
      <w:r>
        <w:rPr>
          <w:rFonts w:hint="eastAsia"/>
          <w:color w:val="auto"/>
          <w:kern w:val="0"/>
          <w:szCs w:val="28"/>
          <w:lang w:bidi="ar"/>
        </w:rPr>
        <w:t>《生产安全事故隐患排查治理体系建设通则》（</w:t>
      </w:r>
      <w:r>
        <w:rPr>
          <w:rFonts w:hint="eastAsia" w:ascii="Times New Roman" w:hAnsi="Times New Roman"/>
          <w:color w:val="auto"/>
          <w:kern w:val="0"/>
          <w:szCs w:val="28"/>
          <w:lang w:bidi="ar"/>
        </w:rPr>
        <w:t>DB36</w:t>
      </w:r>
      <w:r>
        <w:rPr>
          <w:rFonts w:hint="eastAsia"/>
          <w:color w:val="auto"/>
          <w:kern w:val="0"/>
          <w:szCs w:val="28"/>
          <w:lang w:bidi="ar"/>
        </w:rPr>
        <w:t>/</w:t>
      </w:r>
      <w:r>
        <w:rPr>
          <w:rFonts w:hint="eastAsia" w:ascii="Times New Roman" w:hAnsi="Times New Roman"/>
          <w:color w:val="auto"/>
          <w:kern w:val="0"/>
          <w:szCs w:val="28"/>
          <w:lang w:bidi="ar"/>
        </w:rPr>
        <w:t>T</w:t>
      </w:r>
      <w:r>
        <w:rPr>
          <w:rFonts w:hint="eastAsia"/>
          <w:color w:val="auto"/>
          <w:kern w:val="0"/>
          <w:szCs w:val="28"/>
          <w:lang w:bidi="ar"/>
        </w:rPr>
        <w:t xml:space="preserve"> </w:t>
      </w:r>
      <w:r>
        <w:rPr>
          <w:rFonts w:hint="eastAsia" w:ascii="Times New Roman" w:hAnsi="Times New Roman"/>
          <w:color w:val="auto"/>
          <w:kern w:val="0"/>
          <w:szCs w:val="28"/>
          <w:lang w:bidi="ar"/>
        </w:rPr>
        <w:t>1392</w:t>
      </w:r>
      <w:r>
        <w:rPr>
          <w:rFonts w:hint="eastAsia"/>
          <w:color w:val="auto"/>
          <w:kern w:val="0"/>
          <w:szCs w:val="28"/>
          <w:lang w:bidi="ar"/>
        </w:rPr>
        <w:t>-</w:t>
      </w:r>
      <w:r>
        <w:rPr>
          <w:rFonts w:hint="eastAsia" w:ascii="Times New Roman" w:hAnsi="Times New Roman"/>
          <w:color w:val="auto"/>
          <w:kern w:val="0"/>
          <w:szCs w:val="28"/>
          <w:lang w:bidi="ar"/>
        </w:rPr>
        <w:t>2021</w:t>
      </w:r>
      <w:r>
        <w:rPr>
          <w:rFonts w:hint="eastAsia"/>
          <w:color w:val="auto"/>
          <w:kern w:val="0"/>
          <w:szCs w:val="28"/>
          <w:lang w:bidi="ar"/>
        </w:rPr>
        <w:t>）</w:t>
      </w:r>
      <w:r>
        <w:rPr>
          <w:rFonts w:hint="eastAsia"/>
          <w:color w:val="auto"/>
          <w:kern w:val="0"/>
          <w:szCs w:val="28"/>
          <w:lang w:eastAsia="zh-CN" w:bidi="ar"/>
        </w:rPr>
        <w:t>；</w:t>
      </w:r>
    </w:p>
    <w:p w14:paraId="71886EA9">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kern w:val="0"/>
          <w:szCs w:val="28"/>
          <w:lang w:bidi="ar"/>
        </w:rPr>
      </w:pPr>
      <w:r>
        <w:rPr>
          <w:rFonts w:hint="eastAsia"/>
          <w:color w:val="auto"/>
          <w:kern w:val="0"/>
          <w:szCs w:val="28"/>
          <w:lang w:bidi="ar"/>
        </w:rPr>
        <w:t>《生产安全风险分级管控体系建设通则》（</w:t>
      </w:r>
      <w:r>
        <w:rPr>
          <w:rFonts w:hint="eastAsia" w:ascii="Times New Roman" w:hAnsi="Times New Roman"/>
          <w:color w:val="auto"/>
          <w:kern w:val="0"/>
          <w:szCs w:val="28"/>
          <w:lang w:bidi="ar"/>
        </w:rPr>
        <w:t>DB36</w:t>
      </w:r>
      <w:r>
        <w:rPr>
          <w:rFonts w:hint="eastAsia"/>
          <w:color w:val="auto"/>
          <w:kern w:val="0"/>
          <w:szCs w:val="28"/>
          <w:lang w:bidi="ar"/>
        </w:rPr>
        <w:t>/</w:t>
      </w:r>
      <w:r>
        <w:rPr>
          <w:rFonts w:hint="eastAsia" w:ascii="Times New Roman" w:hAnsi="Times New Roman"/>
          <w:color w:val="auto"/>
          <w:kern w:val="0"/>
          <w:szCs w:val="28"/>
          <w:lang w:bidi="ar"/>
        </w:rPr>
        <w:t>T</w:t>
      </w:r>
      <w:r>
        <w:rPr>
          <w:rFonts w:hint="eastAsia"/>
          <w:color w:val="auto"/>
          <w:kern w:val="0"/>
          <w:szCs w:val="28"/>
          <w:lang w:bidi="ar"/>
        </w:rPr>
        <w:t xml:space="preserve"> </w:t>
      </w:r>
      <w:r>
        <w:rPr>
          <w:rFonts w:hint="eastAsia" w:ascii="Times New Roman" w:hAnsi="Times New Roman"/>
          <w:color w:val="auto"/>
          <w:kern w:val="0"/>
          <w:szCs w:val="28"/>
          <w:lang w:bidi="ar"/>
        </w:rPr>
        <w:t>1393</w:t>
      </w:r>
      <w:r>
        <w:rPr>
          <w:rFonts w:hint="eastAsia"/>
          <w:color w:val="auto"/>
          <w:kern w:val="0"/>
          <w:szCs w:val="28"/>
          <w:lang w:bidi="ar"/>
        </w:rPr>
        <w:t>-</w:t>
      </w:r>
      <w:r>
        <w:rPr>
          <w:rFonts w:hint="eastAsia" w:ascii="Times New Roman" w:hAnsi="Times New Roman"/>
          <w:color w:val="auto"/>
          <w:kern w:val="0"/>
          <w:szCs w:val="28"/>
          <w:lang w:bidi="ar"/>
        </w:rPr>
        <w:t>2021</w:t>
      </w:r>
      <w:r>
        <w:rPr>
          <w:rFonts w:hint="eastAsia"/>
          <w:color w:val="auto"/>
          <w:kern w:val="0"/>
          <w:szCs w:val="28"/>
          <w:lang w:bidi="ar"/>
        </w:rPr>
        <w:t>）</w:t>
      </w:r>
      <w:r>
        <w:rPr>
          <w:rFonts w:hint="eastAsia"/>
          <w:color w:val="auto"/>
          <w:kern w:val="0"/>
          <w:szCs w:val="28"/>
          <w:lang w:eastAsia="zh-CN" w:bidi="ar"/>
        </w:rPr>
        <w:t>；</w:t>
      </w:r>
    </w:p>
    <w:p w14:paraId="1B112222">
      <w:pPr>
        <w:keepNext w:val="0"/>
        <w:keepLines w:val="0"/>
        <w:pageBreakBefore w:val="0"/>
        <w:widowControl/>
        <w:numPr>
          <w:ilvl w:val="0"/>
          <w:numId w:val="21"/>
        </w:numPr>
        <w:kinsoku/>
        <w:wordWrap/>
        <w:overflowPunct/>
        <w:topLinePunct w:val="0"/>
        <w:bidi w:val="0"/>
        <w:adjustRightInd w:val="0"/>
        <w:snapToGrid/>
        <w:spacing w:line="336" w:lineRule="auto"/>
        <w:ind w:left="981" w:hanging="420" w:firstLineChars="0"/>
        <w:textAlignment w:val="auto"/>
        <w:rPr>
          <w:color w:val="auto"/>
          <w:kern w:val="0"/>
          <w:szCs w:val="28"/>
          <w:lang w:bidi="ar"/>
        </w:rPr>
      </w:pPr>
      <w:r>
        <w:rPr>
          <w:rFonts w:hint="eastAsia"/>
          <w:color w:val="auto"/>
          <w:kern w:val="0"/>
          <w:szCs w:val="28"/>
          <w:lang w:bidi="ar"/>
        </w:rPr>
        <w:t>《</w:t>
      </w:r>
      <w:r>
        <w:rPr>
          <w:rFonts w:hint="eastAsia"/>
          <w:color w:val="auto"/>
          <w:kern w:val="0"/>
          <w:szCs w:val="28"/>
          <w:lang w:eastAsia="zh-CN" w:bidi="ar"/>
        </w:rPr>
        <w:t>汽车加油站雷电防护装置检测技术规范</w:t>
      </w:r>
      <w:r>
        <w:rPr>
          <w:rFonts w:hint="eastAsia"/>
          <w:color w:val="auto"/>
          <w:kern w:val="0"/>
          <w:szCs w:val="28"/>
          <w:lang w:bidi="ar"/>
        </w:rPr>
        <w:t>》（</w:t>
      </w:r>
      <w:r>
        <w:rPr>
          <w:rFonts w:hint="eastAsia"/>
          <w:color w:val="auto"/>
          <w:kern w:val="0"/>
          <w:szCs w:val="28"/>
          <w:lang w:eastAsia="zh-CN" w:bidi="ar"/>
        </w:rPr>
        <w:t>DB36/T720-2023</w:t>
      </w:r>
      <w:r>
        <w:rPr>
          <w:rFonts w:hint="eastAsia"/>
          <w:color w:val="auto"/>
          <w:kern w:val="0"/>
          <w:szCs w:val="28"/>
          <w:lang w:bidi="ar"/>
        </w:rPr>
        <w:t>）</w:t>
      </w:r>
      <w:r>
        <w:rPr>
          <w:rFonts w:hint="eastAsia"/>
          <w:color w:val="auto"/>
          <w:kern w:val="0"/>
          <w:szCs w:val="28"/>
          <w:lang w:eastAsia="zh-CN" w:bidi="ar"/>
        </w:rPr>
        <w:t>；</w:t>
      </w:r>
    </w:p>
    <w:p w14:paraId="4CCF2A1B">
      <w:pPr>
        <w:pStyle w:val="128"/>
        <w:keepNext w:val="0"/>
        <w:keepLines w:val="0"/>
        <w:pageBreakBefore w:val="0"/>
        <w:widowControl/>
        <w:numPr>
          <w:ilvl w:val="0"/>
          <w:numId w:val="21"/>
        </w:numPr>
        <w:kinsoku/>
        <w:wordWrap/>
        <w:overflowPunct/>
        <w:topLinePunct w:val="0"/>
        <w:autoSpaceDE w:val="0"/>
        <w:autoSpaceDN w:val="0"/>
        <w:bidi w:val="0"/>
        <w:adjustRightInd w:val="0"/>
        <w:snapToGrid/>
        <w:spacing w:line="336" w:lineRule="auto"/>
        <w:ind w:left="981" w:hanging="420" w:firstLineChars="0"/>
        <w:textAlignment w:val="auto"/>
        <w:rPr>
          <w:rFonts w:ascii="宋体" w:hAnsi="宋体" w:cs="宋体"/>
          <w:color w:val="auto"/>
          <w:kern w:val="0"/>
          <w:szCs w:val="28"/>
        </w:rPr>
      </w:pPr>
      <w:r>
        <w:rPr>
          <w:rFonts w:hint="eastAsia"/>
          <w:color w:val="auto"/>
          <w:lang w:val="zh-CN"/>
        </w:rPr>
        <w:t>等其他相关行业标准及规范。</w:t>
      </w:r>
    </w:p>
    <w:bookmarkEnd w:id="774"/>
    <w:bookmarkEnd w:id="775"/>
    <w:bookmarkEnd w:id="776"/>
    <w:bookmarkEnd w:id="777"/>
    <w:bookmarkEnd w:id="778"/>
    <w:bookmarkEnd w:id="779"/>
    <w:p w14:paraId="5457702E">
      <w:pPr>
        <w:rPr>
          <w:rFonts w:hint="eastAsia" w:ascii="黑体"/>
          <w:color w:val="auto"/>
        </w:rPr>
      </w:pPr>
      <w:bookmarkStart w:id="780" w:name="_Toc12017"/>
      <w:bookmarkStart w:id="781" w:name="_Toc23054"/>
      <w:bookmarkStart w:id="782" w:name="_Toc14732"/>
      <w:bookmarkStart w:id="783" w:name="_Toc21058"/>
      <w:bookmarkStart w:id="784" w:name="_Toc25402"/>
      <w:bookmarkStart w:id="785" w:name="_Toc32728"/>
      <w:bookmarkStart w:id="786" w:name="_Toc15076"/>
      <w:r>
        <w:rPr>
          <w:rFonts w:hint="eastAsia" w:ascii="黑体"/>
          <w:color w:val="auto"/>
        </w:rPr>
        <w:br w:type="page"/>
      </w:r>
    </w:p>
    <w:p w14:paraId="2A2EBE9E">
      <w:pPr>
        <w:pStyle w:val="3"/>
        <w:spacing w:line="360" w:lineRule="auto"/>
        <w:rPr>
          <w:color w:val="auto"/>
        </w:rPr>
      </w:pPr>
      <w:bookmarkStart w:id="787" w:name="_Toc28328"/>
      <w:bookmarkStart w:id="792" w:name="_GoBack"/>
      <w:bookmarkEnd w:id="792"/>
      <w:r>
        <w:rPr>
          <w:rFonts w:hint="eastAsia" w:ascii="黑体"/>
          <w:color w:val="auto"/>
        </w:rPr>
        <w:t>附件</w:t>
      </w:r>
      <w:r>
        <w:rPr>
          <w:rFonts w:hint="eastAsia" w:ascii="黑体"/>
          <w:color w:val="auto"/>
          <w:lang w:val="en-US" w:eastAsia="zh-CN"/>
        </w:rPr>
        <w:t>六</w:t>
      </w:r>
      <w:r>
        <w:rPr>
          <w:rFonts w:hint="eastAsia" w:ascii="黑体"/>
          <w:color w:val="auto"/>
        </w:rPr>
        <w:t>：收集的建设单位提供的文件、资料目录</w:t>
      </w:r>
      <w:bookmarkEnd w:id="764"/>
      <w:bookmarkEnd w:id="765"/>
      <w:bookmarkEnd w:id="780"/>
      <w:bookmarkEnd w:id="781"/>
      <w:bookmarkEnd w:id="782"/>
      <w:bookmarkEnd w:id="783"/>
      <w:bookmarkEnd w:id="784"/>
      <w:bookmarkEnd w:id="785"/>
      <w:bookmarkEnd w:id="786"/>
      <w:bookmarkEnd w:id="787"/>
    </w:p>
    <w:p w14:paraId="61862348">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bookmarkStart w:id="788" w:name="_Toc18681"/>
      <w:bookmarkStart w:id="789" w:name="_Toc2398"/>
      <w:bookmarkStart w:id="790" w:name="_Toc31634"/>
      <w:bookmarkStart w:id="791" w:name="_Toc13826"/>
      <w:r>
        <w:rPr>
          <w:rFonts w:hint="eastAsia" w:ascii="宋体" w:hAnsi="宋体" w:eastAsia="宋体" w:cs="宋体"/>
          <w:color w:val="auto"/>
          <w:kern w:val="2"/>
          <w:sz w:val="28"/>
          <w:szCs w:val="28"/>
          <w:lang w:val="en-US" w:eastAsia="zh-CN" w:bidi="ar"/>
        </w:rPr>
        <w:t>专家评审意见；</w:t>
      </w:r>
    </w:p>
    <w:p w14:paraId="4ED824BA">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专家评审意见落实情况对照表；</w:t>
      </w:r>
    </w:p>
    <w:p w14:paraId="10BBBE40">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安全设施设计竣工验收专家意见整改回复；</w:t>
      </w:r>
    </w:p>
    <w:p w14:paraId="32E1047E">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cs="宋体"/>
          <w:color w:val="auto"/>
          <w:kern w:val="2"/>
          <w:sz w:val="28"/>
          <w:szCs w:val="28"/>
          <w:lang w:val="en-US" w:eastAsia="zh-CN" w:bidi="ar"/>
        </w:rPr>
        <w:t>修改确认书</w:t>
      </w:r>
      <w:r>
        <w:rPr>
          <w:rFonts w:hint="eastAsia" w:ascii="宋体" w:hAnsi="宋体" w:eastAsia="宋体" w:cs="宋体"/>
          <w:color w:val="auto"/>
          <w:kern w:val="2"/>
          <w:sz w:val="28"/>
          <w:szCs w:val="28"/>
          <w:lang w:val="en-US" w:eastAsia="zh-CN" w:bidi="ar"/>
        </w:rPr>
        <w:t>；</w:t>
      </w:r>
    </w:p>
    <w:p w14:paraId="14D53795">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整改回复；</w:t>
      </w:r>
    </w:p>
    <w:p w14:paraId="0E04FCA9">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测漏仪合格证；</w:t>
      </w:r>
    </w:p>
    <w:p w14:paraId="4A388045">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营业执照、成品油零售经营批准证书、危险化学品经营许可证；</w:t>
      </w:r>
    </w:p>
    <w:p w14:paraId="4B80E140">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ascii="宋体" w:hAnsi="宋体" w:eastAsia="宋体" w:cs="宋体"/>
          <w:color w:val="auto"/>
          <w:kern w:val="2"/>
          <w:sz w:val="28"/>
          <w:szCs w:val="28"/>
          <w:lang w:val="en-US" w:eastAsia="zh-CN" w:bidi="ar"/>
        </w:rPr>
        <w:t>项目备案文件；</w:t>
      </w:r>
    </w:p>
    <w:p w14:paraId="48A6C795">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rFonts w:hint="eastAsia" w:ascii="宋体" w:hAnsi="宋体" w:eastAsia="宋体" w:cs="宋体"/>
          <w:color w:val="auto"/>
          <w:kern w:val="2"/>
          <w:sz w:val="28"/>
          <w:szCs w:val="28"/>
          <w:lang w:val="en-US" w:eastAsia="zh-CN" w:bidi="ar"/>
        </w:rPr>
      </w:pPr>
      <w:r>
        <w:rPr>
          <w:rFonts w:hint="eastAsia"/>
          <w:color w:val="auto"/>
          <w:sz w:val="28"/>
          <w:szCs w:val="28"/>
          <w:lang w:bidi="ar"/>
        </w:rPr>
        <w:t>安全条件审查意见书</w:t>
      </w:r>
      <w:r>
        <w:rPr>
          <w:rFonts w:hint="eastAsia"/>
          <w:color w:val="auto"/>
          <w:sz w:val="28"/>
          <w:szCs w:val="28"/>
          <w:lang w:eastAsia="zh-CN" w:bidi="ar"/>
        </w:rPr>
        <w:t>、</w:t>
      </w:r>
      <w:r>
        <w:rPr>
          <w:rFonts w:hint="eastAsia"/>
          <w:color w:val="auto"/>
          <w:sz w:val="28"/>
          <w:szCs w:val="28"/>
          <w:lang w:bidi="ar"/>
        </w:rPr>
        <w:t>安全设施设计审查意见书</w:t>
      </w:r>
      <w:r>
        <w:rPr>
          <w:rFonts w:hint="eastAsia"/>
          <w:color w:val="auto"/>
          <w:sz w:val="28"/>
          <w:szCs w:val="28"/>
          <w:lang w:val="en-US" w:eastAsia="zh-CN" w:bidi="ar"/>
        </w:rPr>
        <w:t>；</w:t>
      </w:r>
    </w:p>
    <w:p w14:paraId="3F496E7C">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lang w:bidi="ar"/>
        </w:rPr>
      </w:pPr>
      <w:r>
        <w:rPr>
          <w:rFonts w:hint="eastAsia" w:cs="宋体"/>
          <w:color w:val="auto"/>
          <w:kern w:val="2"/>
          <w:sz w:val="28"/>
          <w:szCs w:val="28"/>
          <w:lang w:val="en-US" w:eastAsia="zh-CN" w:bidi="ar"/>
        </w:rPr>
        <w:t>土地证</w:t>
      </w:r>
      <w:r>
        <w:rPr>
          <w:rFonts w:hint="eastAsia" w:ascii="宋体" w:hAnsi="宋体" w:eastAsia="宋体" w:cs="宋体"/>
          <w:color w:val="auto"/>
          <w:kern w:val="2"/>
          <w:sz w:val="28"/>
          <w:szCs w:val="28"/>
          <w:lang w:val="en-US" w:eastAsia="zh-CN" w:bidi="ar"/>
        </w:rPr>
        <w:t>；</w:t>
      </w:r>
    </w:p>
    <w:p w14:paraId="0F784340">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val="en-US" w:eastAsia="zh-CN" w:bidi="ar"/>
        </w:rPr>
        <w:t>建设工程消防验收意见书；</w:t>
      </w:r>
    </w:p>
    <w:p w14:paraId="2B38088F">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val="en-US" w:eastAsia="zh-CN" w:bidi="ar"/>
        </w:rPr>
        <w:t>成立安全管理小组的通知；</w:t>
      </w:r>
    </w:p>
    <w:p w14:paraId="1005D837">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kern w:val="2"/>
          <w:sz w:val="28"/>
          <w:szCs w:val="28"/>
          <w:shd w:val="clear" w:color="auto" w:fill="FFFFFF"/>
          <w:lang w:val="en-US" w:eastAsia="zh-CN" w:bidi="ar"/>
        </w:rPr>
        <w:t>主要负责人及安全管理人员证</w:t>
      </w:r>
      <w:r>
        <w:rPr>
          <w:rFonts w:hint="eastAsia"/>
          <w:color w:val="auto"/>
          <w:sz w:val="28"/>
          <w:szCs w:val="28"/>
          <w:lang w:bidi="ar"/>
        </w:rPr>
        <w:t>；</w:t>
      </w:r>
    </w:p>
    <w:p w14:paraId="3066FF6D">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bidi="ar"/>
        </w:rPr>
        <w:t>应急救援预案登记表、应急培训记录、应急演练记录；</w:t>
      </w:r>
    </w:p>
    <w:p w14:paraId="25BF85F6">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bidi="ar"/>
        </w:rPr>
        <w:t>防雷装置检测报告；</w:t>
      </w:r>
    </w:p>
    <w:p w14:paraId="68B68D8D">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pPr>
      <w:r>
        <w:rPr>
          <w:rFonts w:hint="eastAsia"/>
          <w:color w:val="auto"/>
          <w:sz w:val="28"/>
          <w:szCs w:val="28"/>
          <w:lang w:bidi="ar"/>
        </w:rPr>
        <w:t>设计单位、施工单位、监理单位资质；</w:t>
      </w:r>
    </w:p>
    <w:p w14:paraId="0CB5934F">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pPr>
      <w:r>
        <w:rPr>
          <w:rFonts w:hint="eastAsia"/>
          <w:color w:val="auto"/>
          <w:sz w:val="28"/>
          <w:szCs w:val="28"/>
          <w:lang w:val="en-US" w:eastAsia="zh-CN" w:bidi="ar"/>
        </w:rPr>
        <w:t>设计单位、施工单位、监理单位总结报告；</w:t>
      </w:r>
    </w:p>
    <w:p w14:paraId="407523E5">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val="en-US" w:eastAsia="zh-CN" w:bidi="ar"/>
        </w:rPr>
        <w:t>设计变更通知单</w:t>
      </w:r>
      <w:r>
        <w:rPr>
          <w:color w:val="auto"/>
          <w:sz w:val="28"/>
          <w:szCs w:val="28"/>
          <w:lang w:bidi="ar"/>
        </w:rPr>
        <w:t>；</w:t>
      </w:r>
    </w:p>
    <w:p w14:paraId="5B14B8F9">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sz w:val="28"/>
          <w:szCs w:val="28"/>
        </w:rPr>
      </w:pPr>
      <w:r>
        <w:rPr>
          <w:rFonts w:hint="eastAsia"/>
          <w:color w:val="auto"/>
          <w:sz w:val="28"/>
          <w:szCs w:val="28"/>
          <w:lang w:bidi="ar"/>
        </w:rPr>
        <w:t>安全管理制度、安全操作规程</w:t>
      </w:r>
      <w:r>
        <w:rPr>
          <w:color w:val="auto"/>
          <w:sz w:val="28"/>
          <w:szCs w:val="28"/>
          <w:lang w:bidi="ar"/>
        </w:rPr>
        <w:t>；</w:t>
      </w:r>
    </w:p>
    <w:p w14:paraId="5D875A90">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rPr>
          <w:color w:val="auto"/>
          <w:kern w:val="2"/>
          <w:sz w:val="28"/>
          <w:szCs w:val="28"/>
          <w:shd w:val="clear" w:color="auto" w:fill="FFFFFF"/>
          <w:lang w:bidi="ar"/>
        </w:rPr>
      </w:pPr>
      <w:r>
        <w:rPr>
          <w:rFonts w:hint="eastAsia"/>
          <w:color w:val="auto"/>
          <w:sz w:val="28"/>
          <w:szCs w:val="28"/>
          <w:lang w:val="en-US" w:eastAsia="zh-CN" w:bidi="ar"/>
        </w:rPr>
        <w:t>油罐产品质量证书、合格证</w:t>
      </w:r>
      <w:r>
        <w:rPr>
          <w:color w:val="auto"/>
          <w:sz w:val="28"/>
          <w:szCs w:val="28"/>
          <w:lang w:bidi="ar"/>
        </w:rPr>
        <w:t>；</w:t>
      </w:r>
    </w:p>
    <w:p w14:paraId="197A132F">
      <w:pPr>
        <w:pStyle w:val="38"/>
        <w:keepNext w:val="0"/>
        <w:keepLines w:val="0"/>
        <w:widowControl/>
        <w:numPr>
          <w:ilvl w:val="0"/>
          <w:numId w:val="22"/>
        </w:numPr>
        <w:suppressLineNumbers w:val="0"/>
        <w:autoSpaceDE w:val="0"/>
        <w:autoSpaceDN w:val="0"/>
        <w:adjustRightInd w:val="0"/>
        <w:spacing w:before="0" w:beforeAutospacing="0" w:after="0" w:afterAutospacing="0" w:line="360" w:lineRule="auto"/>
        <w:ind w:left="981" w:right="0" w:hanging="420" w:firstLineChars="0"/>
        <w:jc w:val="both"/>
      </w:pPr>
      <w:r>
        <w:rPr>
          <w:rFonts w:hint="eastAsia"/>
          <w:color w:val="auto"/>
          <w:kern w:val="2"/>
          <w:sz w:val="28"/>
          <w:szCs w:val="28"/>
          <w:shd w:val="clear" w:color="auto" w:fill="FFFFFF"/>
          <w:lang w:val="en-US" w:eastAsia="zh-CN" w:bidi="ar"/>
        </w:rPr>
        <w:t>竣工图。</w:t>
      </w:r>
    </w:p>
    <w:bookmarkEnd w:id="788"/>
    <w:bookmarkEnd w:id="789"/>
    <w:bookmarkEnd w:id="790"/>
    <w:bookmarkEnd w:id="791"/>
    <w:p w14:paraId="6CA338A7">
      <w:pPr>
        <w:rPr>
          <w:color w:val="auto"/>
          <w:sz w:val="28"/>
          <w:szCs w:val="28"/>
        </w:rPr>
      </w:pPr>
      <w:r>
        <w:rPr>
          <w:rFonts w:hint="eastAsia"/>
          <w:color w:val="auto"/>
          <w:sz w:val="28"/>
          <w:szCs w:val="28"/>
          <w:lang w:eastAsia="zh-CN" w:bidi="ar"/>
        </w:rPr>
        <w:br w:type="page"/>
      </w:r>
    </w:p>
    <w:p w14:paraId="60E26E4D">
      <w:pPr>
        <w:pStyle w:val="56"/>
        <w:ind w:left="0" w:leftChars="0" w:firstLine="0" w:firstLineChars="0"/>
        <w:rPr>
          <w:rFonts w:hint="eastAsia"/>
          <w:b w:val="0"/>
          <w:bCs w:val="0"/>
          <w:color w:val="auto"/>
          <w:sz w:val="28"/>
          <w:szCs w:val="28"/>
          <w:lang w:val="en-US" w:eastAsia="zh-CN"/>
        </w:rPr>
      </w:pPr>
      <w:r>
        <w:rPr>
          <w:rFonts w:hint="eastAsia"/>
          <w:b w:val="0"/>
          <w:bCs w:val="0"/>
          <w:color w:val="auto"/>
          <w:sz w:val="28"/>
          <w:szCs w:val="28"/>
          <w:lang w:val="en-US" w:eastAsia="zh-CN"/>
        </w:rPr>
        <w:t>现场照片：</w:t>
      </w:r>
    </w:p>
    <w:p w14:paraId="385C1B6A">
      <w:pPr>
        <w:rPr>
          <w:rFonts w:hint="default"/>
          <w:color w:val="auto"/>
          <w:lang w:val="en-US" w:eastAsia="zh-CN"/>
        </w:rPr>
      </w:pPr>
      <w:r>
        <w:rPr>
          <w:rFonts w:hint="eastAsia" w:ascii="Times New Roman" w:hAnsi="Times New Roman" w:eastAsia="宋体" w:cs="Times New Roman"/>
          <w:lang w:eastAsia="zh-CN"/>
        </w:rPr>
        <w:drawing>
          <wp:inline distT="0" distB="0" distL="114300" distR="114300">
            <wp:extent cx="4462780" cy="7927975"/>
            <wp:effectExtent l="0" t="0" r="13970" b="15875"/>
            <wp:docPr id="24" name="图片 2" descr="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descr="现场照片"/>
                    <pic:cNvPicPr>
                      <a:picLocks noChangeAspect="1"/>
                    </pic:cNvPicPr>
                  </pic:nvPicPr>
                  <pic:blipFill>
                    <a:blip r:embed="rId19"/>
                    <a:stretch>
                      <a:fillRect/>
                    </a:stretch>
                  </pic:blipFill>
                  <pic:spPr>
                    <a:xfrm>
                      <a:off x="0" y="0"/>
                      <a:ext cx="4462780" cy="7927975"/>
                    </a:xfrm>
                    <a:prstGeom prst="rect">
                      <a:avLst/>
                    </a:prstGeom>
                    <a:noFill/>
                    <a:ln>
                      <a:noFill/>
                    </a:ln>
                  </pic:spPr>
                </pic:pic>
              </a:graphicData>
            </a:graphic>
          </wp:inline>
        </w:drawing>
      </w:r>
    </w:p>
    <w:sectPr>
      <w:footerReference r:id="rId12" w:type="default"/>
      <w:pgSz w:w="11905" w:h="16838"/>
      <w:pgMar w:top="1417" w:right="1134" w:bottom="1236" w:left="1588" w:header="896" w:footer="986" w:gutter="0"/>
      <w:pgBorders>
        <w:top w:val="none" w:sz="0" w:space="0"/>
        <w:left w:val="none" w:sz="0" w:space="0"/>
        <w:bottom w:val="none" w:sz="0" w:space="0"/>
        <w:right w:val="none" w:sz="0" w:space="0"/>
      </w:pgBorders>
      <w:pgNumType w:fmt="decimal"/>
      <w:cols w:space="0" w:num="1"/>
      <w:rtlGutter w:val="0"/>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20058BE5-F9F0-40A0-9B47-0A774E167336}"/>
  </w:font>
  <w:font w:name="黑体">
    <w:panose1 w:val="02010609060101010101"/>
    <w:charset w:val="86"/>
    <w:family w:val="auto"/>
    <w:pitch w:val="default"/>
    <w:sig w:usb0="800002BF" w:usb1="38CF7CFA" w:usb2="00000016" w:usb3="00000000" w:csb0="00040001" w:csb1="00000000"/>
    <w:embedRegular r:id="rId2" w:fontKey="{BF7B1CE9-0902-4A3D-B45E-63AABEE1AFE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3" w:fontKey="{BCA1FF4E-8772-4F7D-8C4A-DFBDD40DAA7E}"/>
  </w:font>
  <w:font w:name="仿宋_GB2312">
    <w:panose1 w:val="02010609030101010101"/>
    <w:charset w:val="86"/>
    <w:family w:val="modern"/>
    <w:pitch w:val="default"/>
    <w:sig w:usb0="00000001" w:usb1="080E0000" w:usb2="00000000" w:usb3="00000000" w:csb0="00040000" w:csb1="00000000"/>
    <w:embedRegular r:id="rId4" w:fontKey="{F78E2048-8736-4A33-98F0-3AC73D703656}"/>
  </w:font>
  <w:font w:name="楷体_GB2312">
    <w:altName w:val="楷体"/>
    <w:panose1 w:val="02010609030101010101"/>
    <w:charset w:val="86"/>
    <w:family w:val="modern"/>
    <w:pitch w:val="default"/>
    <w:sig w:usb0="00000000" w:usb1="00000000" w:usb2="00000000" w:usb3="00000000" w:csb0="00040000" w:csb1="00000000"/>
  </w:font>
  <w:font w:name="MS Mincho">
    <w:altName w:val="Yu Gothic UI"/>
    <w:panose1 w:val="02020609040205080304"/>
    <w:charset w:val="80"/>
    <w:family w:val="roman"/>
    <w:pitch w:val="default"/>
    <w:sig w:usb0="00000000" w:usb1="00000000" w:usb2="00000012" w:usb3="00000000" w:csb0="4002009F" w:csb1="DFD70000"/>
  </w:font>
  <w:font w:name="华文宋体">
    <w:panose1 w:val="02010600040101010101"/>
    <w:charset w:val="86"/>
    <w:family w:val="auto"/>
    <w:pitch w:val="default"/>
    <w:sig w:usb0="00000287" w:usb1="080F0000" w:usb2="00000000" w:usb3="00000000" w:csb0="0004009F" w:csb1="DFD70000"/>
    <w:embedRegular r:id="rId5" w:fontKey="{0AB586CA-9F20-4082-8813-FB35E5BA0D1D}"/>
  </w:font>
  <w:font w:name="华文中宋">
    <w:panose1 w:val="02010600040101010101"/>
    <w:charset w:val="86"/>
    <w:family w:val="auto"/>
    <w:pitch w:val="default"/>
    <w:sig w:usb0="00000287" w:usb1="080F0000" w:usb2="00000000" w:usb3="00000000" w:csb0="0004009F" w:csb1="DFD70000"/>
    <w:embedRegular r:id="rId6" w:fontKey="{8EC280C1-0065-4F2C-A2FF-EB15914C8617}"/>
  </w:font>
  <w:font w:name="仿宋">
    <w:panose1 w:val="02010609060101010101"/>
    <w:charset w:val="86"/>
    <w:family w:val="auto"/>
    <w:pitch w:val="default"/>
    <w:sig w:usb0="800002BF" w:usb1="38CF7CFA" w:usb2="00000016" w:usb3="00000000" w:csb0="00040001" w:csb1="00000000"/>
    <w:embedRegular r:id="rId7" w:fontKey="{2D0A3F21-72C7-4EDA-BDCE-BAEEA7F0ACC3}"/>
  </w:font>
  <w:font w:name="微软雅黑">
    <w:panose1 w:val="020B0503020204020204"/>
    <w:charset w:val="86"/>
    <w:family w:val="auto"/>
    <w:pitch w:val="default"/>
    <w:sig w:usb0="80000287" w:usb1="2ACF3C50" w:usb2="00000016" w:usb3="00000000" w:csb0="0004001F" w:csb1="00000000"/>
    <w:embedRegular r:id="rId8" w:fontKey="{14ECF7C7-B3DC-4C02-9D82-19B3FE5B8EB5}"/>
  </w:font>
  <w:font w:name="Cambria Math">
    <w:panose1 w:val="02040503050406030204"/>
    <w:charset w:val="00"/>
    <w:family w:val="roman"/>
    <w:pitch w:val="default"/>
    <w:sig w:usb0="E00006FF" w:usb1="420024FF" w:usb2="02000000" w:usb3="00000000" w:csb0="2000019F" w:csb1="00000000"/>
    <w:embedRegular r:id="rId9" w:fontKey="{66372D7D-1F18-4AFB-A8B2-A7D401C7FCFF}"/>
  </w:font>
  <w:font w:name="Tahoma">
    <w:panose1 w:val="020B0604030504040204"/>
    <w:charset w:val="00"/>
    <w:family w:val="swiss"/>
    <w:pitch w:val="default"/>
    <w:sig w:usb0="E1002EFF" w:usb1="C000605B" w:usb2="00000029" w:usb3="00000000" w:csb0="200101FF" w:csb1="20280000"/>
    <w:embedRegular r:id="rId10" w:fontKey="{84BAA6F6-4112-4E9F-BB3B-309459210033}"/>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A9994">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DB6D5B">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LQHfE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C0B3xMQIAAGUEAAAOAAAAAAAAAAEAIAAAAB8BAABkcnMvZTJvRG9jLnhtbFBLBQYA&#10;AAAABgAGAFkBAADCBQAAAAA=&#10;">
              <v:fill on="f" focussize="0,0"/>
              <v:stroke on="f" weight="0.5pt"/>
              <v:imagedata o:title=""/>
              <o:lock v:ext="edit" aspectratio="f"/>
              <v:textbox inset="0mm,0mm,0mm,0mm" style="mso-fit-shape-to-text:t;">
                <w:txbxContent>
                  <w:p w14:paraId="25DB6D5B">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75CE">
    <w:pPr>
      <w:keepNext w:val="0"/>
      <w:keepLines w:val="0"/>
      <w:pageBreakBefore w:val="0"/>
      <w:widowControl w:val="0"/>
      <w:pBdr>
        <w:top w:val="single" w:color="auto" w:sz="4" w:space="0"/>
      </w:pBdr>
      <w:tabs>
        <w:tab w:val="center" w:pos="4153"/>
        <w:tab w:val="right" w:pos="8306"/>
      </w:tabs>
      <w:kinsoku/>
      <w:wordWrap/>
      <w:overflowPunct/>
      <w:topLinePunct w:val="0"/>
      <w:autoSpaceDE/>
      <w:autoSpaceDN/>
      <w:bidi w:val="0"/>
      <w:adjustRightInd/>
      <w:snapToGrid w:val="0"/>
      <w:spacing w:line="240" w:lineRule="auto"/>
      <w:ind w:firstLine="0" w:firstLineChars="0"/>
      <w:jc w:val="both"/>
      <w:textAlignment w:val="auto"/>
      <w:rPr>
        <w:rFonts w:ascii="Times New Roman" w:hAnsi="Times New Roman" w:eastAsia="宋体" w:cs="Times New Roman"/>
        <w:kern w:val="2"/>
        <w:sz w:val="18"/>
        <w:szCs w:val="18"/>
        <w:lang w:val="en-US" w:eastAsia="zh-CN" w:bidi="ar-SA"/>
      </w:rPr>
    </w:pPr>
    <w:r>
      <w:rPr>
        <w:rFonts w:ascii="Times New Roman" w:hAnsi="Times New Roman" w:eastAsia="宋体" w:cs="Times New Roman"/>
        <w:sz w:val="18"/>
      </w:rPr>
      <mc:AlternateContent>
        <mc:Choice Requires="wps">
          <w:drawing>
            <wp:anchor distT="0" distB="0" distL="114300" distR="114300" simplePos="0" relativeHeight="251663360" behindDoc="0" locked="0" layoutInCell="1" allowOverlap="1">
              <wp:simplePos x="0" y="0"/>
              <wp:positionH relativeFrom="margin">
                <wp:posOffset>2798445</wp:posOffset>
              </wp:positionH>
              <wp:positionV relativeFrom="paragraph">
                <wp:posOffset>-114300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F9C0EB6">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5pt;margin-top:-9pt;height:144pt;width:144pt;mso-position-horizontal-relative:margin;mso-wrap-style:none;z-index:251663360;mso-width-relative:page;mso-height-relative:page;" filled="f" stroked="f" coordsize="21600,21600" o:gfxdata="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FQa7vXAAAACwEAAA8AAAAAAAAAAQAgAAAAIgAAAGRycy9kb3du&#10;cmV2LnhtbFBLAQIUABQAAAAIAIdO4kDYrrI5OQIAAHEEAAAOAAAAAAAAAAEAIAAAACYBAABkcnMv&#10;ZTJvRG9jLnhtbFBLBQYAAAAABgAGAFkBAADRBQAAAAA=&#10;">
              <v:fill on="f" focussize="0,0"/>
              <v:stroke on="f" weight="0.5pt"/>
              <v:imagedata o:title=""/>
              <o:lock v:ext="edit" aspectratio="f"/>
              <v:textbox inset="0mm,0mm,0mm,0mm" style="mso-fit-shape-to-text:t;">
                <w:txbxContent>
                  <w:p w14:paraId="6F9C0EB6">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txbxContent>
              </v:textbox>
            </v:shape>
          </w:pict>
        </mc:Fallback>
      </mc:AlternateContent>
    </w:r>
    <w:sdt>
      <w:sdtPr>
        <w:rPr>
          <w:rFonts w:ascii="Times New Roman" w:hAnsi="Times New Roman" w:eastAsia="宋体" w:cs="Times New Roman"/>
          <w:kern w:val="2"/>
          <w:sz w:val="18"/>
          <w:szCs w:val="18"/>
          <w:lang w:val="en-US" w:eastAsia="zh-CN" w:bidi="ar-SA"/>
        </w:rPr>
        <w:id w:val="-857887989"/>
      </w:sdtPr>
      <w:sdtEndPr>
        <w:rPr>
          <w:rFonts w:ascii="Times New Roman" w:hAnsi="Times New Roman" w:eastAsia="宋体" w:cs="Times New Roman"/>
          <w:kern w:val="2"/>
          <w:sz w:val="18"/>
          <w:szCs w:val="18"/>
          <w:lang w:val="en-US" w:eastAsia="zh-CN" w:bidi="ar-SA"/>
        </w:rPr>
      </w:sdtEndPr>
      <w:sdtContent>
        <w:r>
          <w:rPr>
            <w:rFonts w:hint="eastAsia" w:ascii="Times New Roman" w:hAnsi="Times New Roman" w:eastAsia="宋体" w:cs="Times New Roman"/>
            <w:kern w:val="2"/>
            <w:sz w:val="18"/>
            <w:szCs w:val="18"/>
            <w:lang w:val="en-US" w:eastAsia="zh-CN" w:bidi="ar-SA"/>
          </w:rPr>
          <w:t xml:space="preserve">江西赣安安全生产科学技术咨询服务中心                 </w:t>
        </w: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I</w:t>
        </w:r>
        <w:r>
          <w:rPr>
            <w:rFonts w:ascii="Times New Roman" w:hAnsi="Times New Roman" w:eastAsia="宋体" w:cs="Times New Roman"/>
            <w:kern w:val="2"/>
            <w:sz w:val="18"/>
            <w:szCs w:val="18"/>
            <w:lang w:val="en-US" w:eastAsia="zh-CN" w:bidi="ar-SA"/>
          </w:rPr>
          <w:fldChar w:fldCharType="end"/>
        </w:r>
        <w:r>
          <w:rPr>
            <w:rFonts w:hint="eastAsia" w:ascii="Times New Roman" w:hAnsi="Times New Roman" w:eastAsia="宋体" w:cs="Times New Roman"/>
            <w:kern w:val="2"/>
            <w:sz w:val="18"/>
            <w:szCs w:val="18"/>
            <w:lang w:val="en-US" w:eastAsia="zh-CN" w:bidi="ar-SA"/>
          </w:rPr>
          <w:t xml:space="preserve">                                   APJ-（赣）-002</w:t>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BC0DD">
    <w:pPr>
      <w:pStyle w:val="37"/>
      <w:pBdr>
        <w:top w:val="single" w:color="auto" w:sz="4" w:space="0"/>
      </w:pBdr>
      <w:spacing w:line="240" w:lineRule="auto"/>
      <w:ind w:left="0" w:leftChars="0" w:firstLine="0" w:firstLineChars="0"/>
      <w:jc w:val="both"/>
    </w:pPr>
    <w:r>
      <w:rPr>
        <w:sz w:val="18"/>
      </w:rPr>
      <mc:AlternateContent>
        <mc:Choice Requires="wps">
          <w:drawing>
            <wp:anchor distT="0" distB="0" distL="114300" distR="114300" simplePos="0" relativeHeight="251660288" behindDoc="0" locked="0" layoutInCell="1" allowOverlap="1">
              <wp:simplePos x="0" y="0"/>
              <wp:positionH relativeFrom="margin">
                <wp:posOffset>2742565</wp:posOffset>
              </wp:positionH>
              <wp:positionV relativeFrom="paragraph">
                <wp:posOffset>0</wp:posOffset>
              </wp:positionV>
              <wp:extent cx="274320" cy="14986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274320" cy="1498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4FCF0">
                          <w:pPr>
                            <w:pStyle w:val="37"/>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15.95pt;margin-top:0pt;height:11.8pt;width:21.6pt;mso-position-horizontal-relative:margin;z-index:251660288;mso-width-relative:page;mso-height-relative:page;" filled="f" stroked="f" coordsize="21600,21600" o:gfxdata="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W1RXJ1gAAAAcBAAAPAAAAAAAAAAEAIAAAACIAAABkcnMvZG93bnJl&#10;di54bWxQSwECFAAUAAAACACHTuJAxApOcTgCAABjBAAADgAAAAAAAAABACAAAAAlAQAAZHJzL2Uy&#10;b0RvYy54bWxQSwUGAAAAAAYABgBZAQAAzwUAAAAA&#10;">
              <v:fill on="f" focussize="0,0"/>
              <v:stroke on="f" weight="0.5pt"/>
              <v:imagedata o:title=""/>
              <o:lock v:ext="edit" aspectratio="f"/>
              <v:textbox inset="0mm,0mm,0mm,0mm">
                <w:txbxContent>
                  <w:p w14:paraId="5064FCF0">
                    <w:pPr>
                      <w:pStyle w:val="37"/>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 xml:space="preserve">江西赣安安全生产科学技术咨询服务中心                          </w:t>
    </w:r>
    <w:r>
      <w:rPr>
        <w:rFonts w:hint="eastAsia"/>
        <w:lang w:val="en-US" w:eastAsia="zh-CN"/>
      </w:rPr>
      <w:t xml:space="preserve"> </w:t>
    </w:r>
    <w:r>
      <w:rPr>
        <w:rFonts w:hint="eastAsia"/>
      </w:rPr>
      <w:t xml:space="preserve">                         </w:t>
    </w:r>
    <w:r>
      <w:rPr>
        <w:rFonts w:hint="eastAsia" w:ascii="Times New Roman" w:hAnsi="Times New Roman"/>
      </w:rPr>
      <w:t>APJ</w:t>
    </w:r>
    <w:r>
      <w:rPr>
        <w:rFonts w:hint="eastAsia"/>
      </w:rPr>
      <w:t>-（赣）-</w:t>
    </w:r>
    <w:r>
      <w:rPr>
        <w:rFonts w:hint="eastAsia" w:ascii="Times New Roman" w:hAnsi="Times New Roman"/>
      </w:rPr>
      <w:t>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68C00">
    <w:pPr>
      <w:pStyle w:val="37"/>
      <w:pBdr>
        <w:top w:val="single" w:color="auto" w:sz="4" w:space="0"/>
      </w:pBdr>
      <w:spacing w:line="240" w:lineRule="auto"/>
      <w:ind w:left="0" w:leftChars="0" w:firstLine="0" w:firstLineChars="0"/>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7D98A">
                          <w:pPr>
                            <w:pStyle w:val="37"/>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f5R8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Ef5R8zAgAAYwQAAA4AAAAAAAAAAQAgAAAAHwEAAGRycy9lMm9Eb2MueG1sUEsF&#10;BgAAAAAGAAYAWQEAAMQFAAAAAA==&#10;">
              <v:fill on="f" focussize="0,0"/>
              <v:stroke on="f" weight="0.5pt"/>
              <v:imagedata o:title=""/>
              <o:lock v:ext="edit" aspectratio="f"/>
              <v:textbox inset="0mm,0mm,0mm,0mm" style="mso-fit-shape-to-text:t;">
                <w:txbxContent>
                  <w:p w14:paraId="4DD7D98A">
                    <w:pPr>
                      <w:pStyle w:val="37"/>
                      <w:keepNext w:val="0"/>
                      <w:keepLines w:val="0"/>
                      <w:pageBreakBefore w:val="0"/>
                      <w:widowControl/>
                      <w:kinsoku/>
                      <w:wordWrap/>
                      <w:overflowPunct/>
                      <w:topLinePunct w:val="0"/>
                      <w:autoSpaceDE/>
                      <w:autoSpaceDN/>
                      <w:bidi w:val="0"/>
                      <w:adjustRightInd/>
                      <w:snapToGrid w:val="0"/>
                      <w:spacing w:line="240" w:lineRule="auto"/>
                      <w:ind w:firstLine="0" w:firstLineChars="0"/>
                      <w:textAlignment w:val="auto"/>
                    </w:pPr>
                    <w:r>
                      <w:fldChar w:fldCharType="begin"/>
                    </w:r>
                    <w:r>
                      <w:instrText xml:space="preserve"> PAGE  \* MERGEFORMAT </w:instrText>
                    </w:r>
                    <w:r>
                      <w:fldChar w:fldCharType="separate"/>
                    </w:r>
                    <w:r>
                      <w:t>I</w:t>
                    </w:r>
                    <w:r>
                      <w:fldChar w:fldCharType="end"/>
                    </w:r>
                  </w:p>
                </w:txbxContent>
              </v:textbox>
            </v:shape>
          </w:pict>
        </mc:Fallback>
      </mc:AlternateContent>
    </w:r>
    <w:r>
      <w:rPr>
        <w:rFonts w:hint="eastAsia"/>
      </w:rPr>
      <w:t xml:space="preserve">江西赣安安全生产科学技术咨询服务中心                          </w:t>
    </w:r>
    <w:r>
      <w:rPr>
        <w:rFonts w:hint="eastAsia"/>
        <w:lang w:val="en-US" w:eastAsia="zh-CN"/>
      </w:rPr>
      <w:t xml:space="preserve"> </w:t>
    </w:r>
    <w:r>
      <w:rPr>
        <w:rFonts w:hint="eastAsia"/>
      </w:rPr>
      <w:t xml:space="preserve">                        </w:t>
    </w:r>
    <w:r>
      <w:rPr>
        <w:rFonts w:hint="eastAsia" w:ascii="Times New Roman" w:hAnsi="Times New Roman"/>
      </w:rPr>
      <w:t>APJ</w:t>
    </w:r>
    <w:r>
      <w:rPr>
        <w:rFonts w:hint="eastAsia"/>
      </w:rPr>
      <w:t>-（赣）-</w:t>
    </w:r>
    <w:r>
      <w:rPr>
        <w:rFonts w:hint="eastAsia" w:ascii="Times New Roman" w:hAnsi="Times New Roman"/>
      </w:rPr>
      <w:t>002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0E3EDC">
    <w:pPr>
      <w:pStyle w:val="37"/>
      <w:pBdr>
        <w:top w:val="single" w:color="auto" w:sz="4" w:space="1"/>
      </w:pBdr>
      <w:jc w:val="both"/>
      <w:rPr>
        <w:rFonts w:hint="eastAsia"/>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A7D54BC">
                          <w:pPr>
                            <w:pStyle w:val="37"/>
                          </w:pPr>
                          <w:r>
                            <w:fldChar w:fldCharType="begin"/>
                          </w:r>
                          <w:r>
                            <w:instrText xml:space="preserve"> PAGE  \* MERGEFORMAT </w:instrText>
                          </w:r>
                          <w:r>
                            <w:fldChar w:fldCharType="separate"/>
                          </w:r>
                          <w:r>
                            <w:t>15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EeVSDvTAQAApQMAAA4AAAAAAAAAAQAgAAAA&#10;IgEAAGRycy9lMm9Eb2MueG1sUEsFBgAAAAAGAAYAWQEAAGcFAAAAAA==&#10;">
              <v:fill on="f" focussize="0,0"/>
              <v:stroke on="f" weight="1.25pt"/>
              <v:imagedata o:title=""/>
              <o:lock v:ext="edit" aspectratio="f"/>
              <v:textbox inset="0mm,0mm,0mm,0mm" style="mso-fit-shape-to-text:t;">
                <w:txbxContent>
                  <w:p w14:paraId="6A7D54BC">
                    <w:pPr>
                      <w:pStyle w:val="37"/>
                    </w:pPr>
                    <w:r>
                      <w:fldChar w:fldCharType="begin"/>
                    </w:r>
                    <w:r>
                      <w:instrText xml:space="preserve"> PAGE  \* MERGEFORMAT </w:instrText>
                    </w:r>
                    <w:r>
                      <w:fldChar w:fldCharType="separate"/>
                    </w:r>
                    <w:r>
                      <w:t>15</w:t>
                    </w:r>
                    <w:r>
                      <w:fldChar w:fldCharType="end"/>
                    </w:r>
                  </w:p>
                </w:txbxContent>
              </v:textbox>
            </v:shape>
          </w:pict>
        </mc:Fallback>
      </mc:AlternateContent>
    </w:r>
    <w:r>
      <w:rPr>
        <w:rFonts w:hint="eastAsia"/>
        <w:kern w:val="0"/>
        <w:szCs w:val="21"/>
      </w:rPr>
      <w:t xml:space="preserve">江西赣安安全生产科学技术咨询服务中心                                                 </w:t>
    </w:r>
    <w:r>
      <w:rPr>
        <w:kern w:val="0"/>
        <w:szCs w:val="21"/>
      </w:rPr>
      <w:t>APJ-（赣）-002</w:t>
    </w: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86E4F9C"/>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GmCS9MAAAAFAQAADwAAAAAAAAABACAAAAAiAAAA&#10;ZHJzL2Rvd25yZXYueG1sUEsBAhQAFAAAAAgAh07iQKEj29vTAQAApQMAAA4AAAAAAAAAAQAgAAAA&#10;IgEAAGRycy9lMm9Eb2MueG1sUEsFBgAAAAAGAAYAWQEAAGcFAAAAAA==&#10;">
              <v:fill on="f" focussize="0,0"/>
              <v:stroke on="f" weight="1.25pt"/>
              <v:imagedata o:title=""/>
              <o:lock v:ext="edit" aspectratio="f"/>
              <v:textbox inset="0mm,0mm,0mm,0mm" style="mso-fit-shape-to-text:t;">
                <w:txbxContent>
                  <w:p w14:paraId="586E4F9C"/>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1711E">
    <w:pPr>
      <w:pStyle w:val="3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D0D7A">
    <w:pPr>
      <w:pStyle w:val="39"/>
      <w:pBdr>
        <w:bottom w:val="single" w:color="auto" w:sz="4" w:space="1"/>
      </w:pBdr>
      <w:ind w:left="0" w:leftChars="0" w:firstLine="0" w:firstLineChars="0"/>
      <w:jc w:val="both"/>
    </w:pPr>
    <w:r>
      <w:rPr>
        <w:rFonts w:hint="eastAsia" w:ascii="Times New Roman" w:hAnsi="Times New Roman" w:cs="Times New Roman"/>
        <w:lang w:eastAsia="zh-CN"/>
      </w:rPr>
      <w:t>中国石化销售股份有限公司江西宜春铜鼓县城加油站</w:t>
    </w:r>
    <w:r>
      <w:rPr>
        <w:rFonts w:hint="eastAsia" w:ascii="Times New Roman" w:hAnsi="Times New Roman" w:cs="Times New Roman"/>
        <w:lang w:val="en-US" w:eastAsia="zh-CN"/>
      </w:rPr>
      <w:t>单罐</w:t>
    </w:r>
    <w:r>
      <w:rPr>
        <w:rFonts w:hint="eastAsia" w:ascii="Times New Roman" w:hAnsi="Times New Roman" w:cs="Times New Roman"/>
        <w:lang w:eastAsia="zh-CN"/>
      </w:rPr>
      <w:t>单线改造项目</w:t>
    </w:r>
    <w:r>
      <w:rPr>
        <w:rFonts w:hint="eastAsia" w:ascii="Times New Roman" w:hAnsi="Times New Roman" w:cs="Times New Roman"/>
        <w:lang w:val="en-US" w:eastAsia="zh-CN"/>
      </w:rPr>
      <w:t>安全验收评价报告</w:t>
    </w:r>
    <w:r>
      <w:rPr>
        <w:rFonts w:hint="eastAsia" w:cs="Times New Roman"/>
        <w:lang w:val="en-US" w:eastAsia="zh-CN"/>
      </w:rPr>
      <w:t xml:space="preserve">      </w:t>
    </w:r>
    <w:r>
      <w:rPr>
        <w:rFonts w:ascii="Times New Roman" w:hAnsi="Times New Roman" w:cs="Times New Roman"/>
      </w:rPr>
      <w:t>GAAP[202</w:t>
    </w:r>
    <w:r>
      <w:rPr>
        <w:rFonts w:hint="eastAsia" w:ascii="Times New Roman" w:hAnsi="Times New Roman" w:cs="Times New Roman"/>
        <w:lang w:val="en-US" w:eastAsia="zh-CN"/>
      </w:rPr>
      <w:t>5</w:t>
    </w:r>
    <w:r>
      <w:rPr>
        <w:rFonts w:ascii="Times New Roman" w:hAnsi="Times New Roman" w:cs="Times New Roman"/>
      </w:rPr>
      <w:t>]</w:t>
    </w:r>
    <w:r>
      <w:rPr>
        <w:rFonts w:hint="eastAsia" w:ascii="Times New Roman" w:hAnsi="Times New Roman" w:cs="Times New Roman"/>
        <w:lang w:val="en-US" w:eastAsia="zh-CN"/>
      </w:rPr>
      <w:t>0344</w:t>
    </w:r>
    <w:r>
      <w:rPr>
        <w:rFonts w:ascii="Times New Roman" w:hAnsi="Times New Roman" w:cs="Times New Roman"/>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AE232">
    <w:pPr>
      <w:pStyle w:val="39"/>
      <w:ind w:left="0" w:leftChars="0" w:firstLine="0" w:firstLineChars="0"/>
      <w:jc w:val="both"/>
      <w:rPr>
        <w:rFonts w:hint="eastAsia"/>
        <w:lang w:val="en-US" w:eastAsia="zh-CN"/>
      </w:rPr>
    </w:pPr>
    <w:r>
      <w:rPr>
        <w:rFonts w:hint="eastAsia" w:ascii="Times New Roman" w:hAnsi="Times New Roman" w:cs="Times New Roman"/>
        <w:spacing w:val="-11"/>
        <w:sz w:val="18"/>
        <w:lang w:eastAsia="zh-CN"/>
      </w:rPr>
      <w:t>中国石化销售股份有限公司江西宜春铜鼓县城加油站</w:t>
    </w:r>
    <w:r>
      <w:rPr>
        <w:rFonts w:hint="eastAsia" w:ascii="Times New Roman" w:hAnsi="Times New Roman" w:cs="Times New Roman"/>
        <w:spacing w:val="-11"/>
        <w:sz w:val="18"/>
        <w:lang w:val="en-US" w:eastAsia="zh-CN"/>
      </w:rPr>
      <w:t>单罐</w:t>
    </w:r>
    <w:r>
      <w:rPr>
        <w:rFonts w:hint="eastAsia" w:ascii="Times New Roman" w:hAnsi="Times New Roman" w:cs="Times New Roman"/>
        <w:spacing w:val="-11"/>
        <w:sz w:val="18"/>
        <w:lang w:eastAsia="zh-CN"/>
      </w:rPr>
      <w:t>单线改造项目</w:t>
    </w:r>
    <w:r>
      <w:rPr>
        <w:rFonts w:hint="eastAsia" w:ascii="Times New Roman" w:hAnsi="Times New Roman" w:cs="Times New Roman"/>
        <w:spacing w:val="-11"/>
        <w:sz w:val="18"/>
        <w:lang w:val="en-US" w:eastAsia="zh-CN"/>
      </w:rPr>
      <w:t>安全验收评价报告</w:t>
    </w:r>
    <w:r>
      <w:rPr>
        <w:rFonts w:hint="eastAsia" w:cs="Times New Roman"/>
        <w:spacing w:val="-11"/>
        <w:sz w:val="18"/>
        <w:lang w:val="en-US" w:eastAsia="zh-CN"/>
      </w:rPr>
      <w:t xml:space="preserve">                     </w:t>
    </w:r>
    <w:r>
      <w:rPr>
        <w:rFonts w:ascii="Times New Roman" w:hAnsi="Times New Roman" w:cs="Times New Roman"/>
      </w:rPr>
      <w:t>GAAP[202</w:t>
    </w:r>
    <w:r>
      <w:rPr>
        <w:rFonts w:hint="eastAsia" w:ascii="Times New Roman" w:hAnsi="Times New Roman" w:cs="Times New Roman"/>
        <w:lang w:val="en-US" w:eastAsia="zh-CN"/>
      </w:rPr>
      <w:t>5</w:t>
    </w:r>
    <w:r>
      <w:rPr>
        <w:rFonts w:ascii="Times New Roman" w:hAnsi="Times New Roman" w:cs="Times New Roman"/>
      </w:rPr>
      <w:t>]</w:t>
    </w:r>
    <w:r>
      <w:rPr>
        <w:rFonts w:hint="eastAsia" w:ascii="Times New Roman" w:hAnsi="Times New Roman" w:cs="Times New Roman"/>
        <w:lang w:val="en-US" w:eastAsia="zh-CN"/>
      </w:rPr>
      <w:t>0344</w:t>
    </w:r>
    <w:r>
      <w:rPr>
        <w:rFonts w:ascii="Times New Roman" w:hAnsi="Times New Roman" w:cs="Times New Roman"/>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2AC23"/>
    <w:multiLevelType w:val="singleLevel"/>
    <w:tmpl w:val="94C2AC23"/>
    <w:lvl w:ilvl="0" w:tentative="0">
      <w:start w:val="1"/>
      <w:numFmt w:val="decimal"/>
      <w:suff w:val="nothing"/>
      <w:lvlText w:val="%1）"/>
      <w:lvlJc w:val="left"/>
    </w:lvl>
  </w:abstractNum>
  <w:abstractNum w:abstractNumId="1">
    <w:nsid w:val="B2278BE3"/>
    <w:multiLevelType w:val="singleLevel"/>
    <w:tmpl w:val="B2278BE3"/>
    <w:lvl w:ilvl="0" w:tentative="0">
      <w:start w:val="1"/>
      <w:numFmt w:val="bullet"/>
      <w:pStyle w:val="17"/>
      <w:lvlText w:val=""/>
      <w:lvlJc w:val="left"/>
      <w:pPr>
        <w:tabs>
          <w:tab w:val="left" w:pos="780"/>
        </w:tabs>
        <w:ind w:left="780" w:hanging="360"/>
      </w:pPr>
      <w:rPr>
        <w:rFonts w:hint="default" w:ascii="Wingdings" w:hAnsi="Wingdings"/>
      </w:rPr>
    </w:lvl>
  </w:abstractNum>
  <w:abstractNum w:abstractNumId="2">
    <w:nsid w:val="B38C4DA6"/>
    <w:multiLevelType w:val="singleLevel"/>
    <w:tmpl w:val="B38C4DA6"/>
    <w:lvl w:ilvl="0" w:tentative="0">
      <w:start w:val="1"/>
      <w:numFmt w:val="decimal"/>
      <w:suff w:val="nothing"/>
      <w:lvlText w:val="（%1）"/>
      <w:lvlJc w:val="left"/>
    </w:lvl>
  </w:abstractNum>
  <w:abstractNum w:abstractNumId="3">
    <w:nsid w:val="B5AA0896"/>
    <w:multiLevelType w:val="multilevel"/>
    <w:tmpl w:val="B5AA0896"/>
    <w:lvl w:ilvl="0" w:tentative="0">
      <w:start w:val="1"/>
      <w:numFmt w:val="decimal"/>
      <w:suff w:val="nothing"/>
      <w:lvlText w:val="%1）"/>
      <w:lvlJc w:val="center"/>
      <w:pPr>
        <w:ind w:left="1129" w:hanging="420"/>
      </w:pPr>
      <w:rPr>
        <w:rFonts w:hint="default" w:ascii="Times New Roman" w:hAnsi="Times New Roman" w:eastAsia="宋体"/>
        <w:b w:val="0"/>
        <w:i w:val="0"/>
        <w:caps w:val="0"/>
        <w:vanish w:val="0"/>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D59A8362"/>
    <w:multiLevelType w:val="singleLevel"/>
    <w:tmpl w:val="D59A8362"/>
    <w:lvl w:ilvl="0" w:tentative="0">
      <w:start w:val="1"/>
      <w:numFmt w:val="bullet"/>
      <w:pStyle w:val="32"/>
      <w:lvlText w:val=""/>
      <w:lvlJc w:val="left"/>
      <w:pPr>
        <w:tabs>
          <w:tab w:val="left" w:pos="2040"/>
        </w:tabs>
        <w:ind w:left="2040" w:hanging="360"/>
      </w:pPr>
      <w:rPr>
        <w:rFonts w:hint="default" w:ascii="Wingdings" w:hAnsi="Wingdings"/>
      </w:rPr>
    </w:lvl>
  </w:abstractNum>
  <w:abstractNum w:abstractNumId="5">
    <w:nsid w:val="E5EB5B2D"/>
    <w:multiLevelType w:val="singleLevel"/>
    <w:tmpl w:val="E5EB5B2D"/>
    <w:lvl w:ilvl="0" w:tentative="0">
      <w:start w:val="12"/>
      <w:numFmt w:val="chineseCounting"/>
      <w:suff w:val="space"/>
      <w:lvlText w:val="第%1章"/>
      <w:lvlJc w:val="left"/>
      <w:rPr>
        <w:rFonts w:hint="eastAsia"/>
      </w:rPr>
    </w:lvl>
  </w:abstractNum>
  <w:abstractNum w:abstractNumId="6">
    <w:nsid w:val="E8F4179F"/>
    <w:multiLevelType w:val="singleLevel"/>
    <w:tmpl w:val="E8F4179F"/>
    <w:lvl w:ilvl="0" w:tentative="0">
      <w:start w:val="1"/>
      <w:numFmt w:val="decimal"/>
      <w:suff w:val="nothing"/>
      <w:lvlText w:val="%1、"/>
      <w:lvlJc w:val="left"/>
    </w:lvl>
  </w:abstractNum>
  <w:abstractNum w:abstractNumId="7">
    <w:nsid w:val="F58AEBFA"/>
    <w:multiLevelType w:val="multilevel"/>
    <w:tmpl w:val="F58AEBFA"/>
    <w:lvl w:ilvl="0" w:tentative="0">
      <w:start w:val="1"/>
      <w:numFmt w:val="decimal"/>
      <w:suff w:val="nothing"/>
      <w:lvlText w:val="%1）"/>
      <w:lvlJc w:val="center"/>
      <w:pPr>
        <w:ind w:left="1413" w:hanging="420"/>
      </w:pPr>
      <w:rPr>
        <w:rFonts w:hint="default" w:ascii="Times New Roman" w:hAnsi="Times New Roman" w:eastAsia="宋体" w:cs="Times New Roman"/>
        <w:b w:val="0"/>
        <w:i w:val="0"/>
        <w:caps w:val="0"/>
        <w:sz w:val="28"/>
        <w:szCs w:val="28"/>
      </w:rPr>
    </w:lvl>
    <w:lvl w:ilvl="1" w:tentative="0">
      <w:start w:val="1"/>
      <w:numFmt w:val="decimal"/>
      <w:lvlText w:val="（%2）"/>
      <w:lvlJc w:val="left"/>
      <w:pPr>
        <w:ind w:left="1700" w:hanging="720"/>
      </w:pPr>
      <w:rPr>
        <w:rFonts w:hint="default" w:ascii="Times New Roman" w:hAnsi="Times New Roman" w:cs="Times New Roman"/>
      </w:rPr>
    </w:lvl>
    <w:lvl w:ilvl="2" w:tentative="0">
      <w:start w:val="1"/>
      <w:numFmt w:val="lowerRoman"/>
      <w:lvlText w:val="%3."/>
      <w:lvlJc w:val="right"/>
      <w:pPr>
        <w:ind w:left="1820" w:hanging="420"/>
      </w:pPr>
      <w:rPr>
        <w:rFonts w:hint="default" w:ascii="Times New Roman" w:hAnsi="Times New Roman" w:cs="Times New Roman"/>
      </w:rPr>
    </w:lvl>
    <w:lvl w:ilvl="3" w:tentative="0">
      <w:start w:val="1"/>
      <w:numFmt w:val="decimal"/>
      <w:lvlText w:val="%4."/>
      <w:lvlJc w:val="left"/>
      <w:pPr>
        <w:ind w:left="2240" w:hanging="420"/>
      </w:pPr>
      <w:rPr>
        <w:rFonts w:hint="default" w:ascii="Times New Roman" w:hAnsi="Times New Roman" w:cs="Times New Roman"/>
      </w:rPr>
    </w:lvl>
    <w:lvl w:ilvl="4" w:tentative="0">
      <w:start w:val="1"/>
      <w:numFmt w:val="lowerLetter"/>
      <w:lvlText w:val="%5)"/>
      <w:lvlJc w:val="left"/>
      <w:pPr>
        <w:ind w:left="2660" w:hanging="420"/>
      </w:pPr>
      <w:rPr>
        <w:rFonts w:hint="default" w:ascii="Times New Roman" w:hAnsi="Times New Roman" w:cs="Times New Roman"/>
      </w:rPr>
    </w:lvl>
    <w:lvl w:ilvl="5" w:tentative="0">
      <w:start w:val="1"/>
      <w:numFmt w:val="lowerRoman"/>
      <w:lvlText w:val="%6."/>
      <w:lvlJc w:val="right"/>
      <w:pPr>
        <w:ind w:left="3080" w:hanging="420"/>
      </w:pPr>
      <w:rPr>
        <w:rFonts w:hint="default" w:ascii="Times New Roman" w:hAnsi="Times New Roman" w:cs="Times New Roman"/>
      </w:rPr>
    </w:lvl>
    <w:lvl w:ilvl="6" w:tentative="0">
      <w:start w:val="1"/>
      <w:numFmt w:val="decimal"/>
      <w:lvlText w:val="%7."/>
      <w:lvlJc w:val="left"/>
      <w:pPr>
        <w:ind w:left="3500" w:hanging="420"/>
      </w:pPr>
      <w:rPr>
        <w:rFonts w:hint="default" w:ascii="Times New Roman" w:hAnsi="Times New Roman" w:cs="Times New Roman"/>
      </w:rPr>
    </w:lvl>
    <w:lvl w:ilvl="7" w:tentative="0">
      <w:start w:val="1"/>
      <w:numFmt w:val="lowerLetter"/>
      <w:lvlText w:val="%8)"/>
      <w:lvlJc w:val="left"/>
      <w:pPr>
        <w:ind w:left="3920" w:hanging="420"/>
      </w:pPr>
      <w:rPr>
        <w:rFonts w:hint="default" w:ascii="Times New Roman" w:hAnsi="Times New Roman" w:cs="Times New Roman"/>
      </w:rPr>
    </w:lvl>
    <w:lvl w:ilvl="8" w:tentative="0">
      <w:start w:val="1"/>
      <w:numFmt w:val="lowerRoman"/>
      <w:lvlText w:val="%9."/>
      <w:lvlJc w:val="right"/>
      <w:pPr>
        <w:ind w:left="4340" w:hanging="420"/>
      </w:pPr>
      <w:rPr>
        <w:rFonts w:hint="default" w:ascii="Times New Roman" w:hAnsi="Times New Roman" w:cs="Times New Roman"/>
      </w:rPr>
    </w:lvl>
  </w:abstractNum>
  <w:abstractNum w:abstractNumId="8">
    <w:nsid w:val="F5ADC1AE"/>
    <w:multiLevelType w:val="singleLevel"/>
    <w:tmpl w:val="F5ADC1AE"/>
    <w:lvl w:ilvl="0" w:tentative="0">
      <w:start w:val="1"/>
      <w:numFmt w:val="decimal"/>
      <w:suff w:val="nothing"/>
      <w:lvlText w:val="（%1）"/>
      <w:lvlJc w:val="left"/>
    </w:lvl>
  </w:abstractNum>
  <w:abstractNum w:abstractNumId="9">
    <w:nsid w:val="F60AB8BA"/>
    <w:multiLevelType w:val="singleLevel"/>
    <w:tmpl w:val="F60AB8BA"/>
    <w:lvl w:ilvl="0" w:tentative="0">
      <w:start w:val="1"/>
      <w:numFmt w:val="decimal"/>
      <w:suff w:val="nothing"/>
      <w:lvlText w:val="%1）"/>
      <w:lvlJc w:val="left"/>
      <w:pPr>
        <w:ind w:left="420" w:hanging="420"/>
      </w:pPr>
      <w:rPr>
        <w:rFonts w:hint="default"/>
      </w:rPr>
    </w:lvl>
  </w:abstractNum>
  <w:abstractNum w:abstractNumId="10">
    <w:nsid w:val="00000008"/>
    <w:multiLevelType w:val="multilevel"/>
    <w:tmpl w:val="00000008"/>
    <w:lvl w:ilvl="0" w:tentative="0">
      <w:start w:val="0"/>
      <w:numFmt w:val="decim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pStyle w:val="7"/>
      <w:lvlText w:val=""/>
      <w:lvlJc w:val="left"/>
    </w:lvl>
    <w:lvl w:ilvl="5" w:tentative="0">
      <w:start w:val="0"/>
      <w:numFmt w:val="decimal"/>
      <w:pStyle w:val="8"/>
      <w:lvlText w:val=""/>
      <w:lvlJc w:val="left"/>
    </w:lvl>
    <w:lvl w:ilvl="6" w:tentative="0">
      <w:start w:val="0"/>
      <w:numFmt w:val="decimal"/>
      <w:pStyle w:val="9"/>
      <w:lvlText w:val=""/>
      <w:lvlJc w:val="left"/>
    </w:lvl>
    <w:lvl w:ilvl="7" w:tentative="0">
      <w:start w:val="0"/>
      <w:numFmt w:val="decimal"/>
      <w:pStyle w:val="10"/>
      <w:lvlText w:val=""/>
      <w:lvlJc w:val="left"/>
    </w:lvl>
    <w:lvl w:ilvl="8" w:tentative="0">
      <w:start w:val="0"/>
      <w:numFmt w:val="decimal"/>
      <w:pStyle w:val="11"/>
      <w:lvlText w:val=""/>
      <w:lvlJc w:val="left"/>
    </w:lvl>
  </w:abstractNum>
  <w:abstractNum w:abstractNumId="11">
    <w:nsid w:val="0EDD6446"/>
    <w:multiLevelType w:val="multilevel"/>
    <w:tmpl w:val="0EDD6446"/>
    <w:lvl w:ilvl="0" w:tentative="0">
      <w:start w:val="1"/>
      <w:numFmt w:val="decimal"/>
      <w:suff w:val="nothing"/>
      <w:lvlText w:val="%1）"/>
      <w:lvlJc w:val="center"/>
      <w:pPr>
        <w:ind w:left="1413" w:hanging="420"/>
      </w:pPr>
      <w:rPr>
        <w:rFonts w:hint="default" w:ascii="Times New Roman" w:hAnsi="Times New Roman" w:eastAsia="宋体"/>
        <w:b w:val="0"/>
        <w:i w:val="0"/>
        <w:caps w:val="0"/>
        <w:vanish w:val="0"/>
        <w:sz w:val="28"/>
      </w:rPr>
    </w:lvl>
    <w:lvl w:ilvl="1" w:tentative="0">
      <w:start w:val="1"/>
      <w:numFmt w:val="decimal"/>
      <w:lvlText w:val="（%2）"/>
      <w:lvlJc w:val="left"/>
      <w:pPr>
        <w:ind w:left="1700" w:hanging="720"/>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2">
    <w:nsid w:val="11AA1D66"/>
    <w:multiLevelType w:val="singleLevel"/>
    <w:tmpl w:val="11AA1D66"/>
    <w:lvl w:ilvl="0" w:tentative="0">
      <w:start w:val="1"/>
      <w:numFmt w:val="decimal"/>
      <w:suff w:val="nothing"/>
      <w:lvlText w:val="%1）"/>
      <w:lvlJc w:val="left"/>
    </w:lvl>
  </w:abstractNum>
  <w:abstractNum w:abstractNumId="13">
    <w:nsid w:val="194BA459"/>
    <w:multiLevelType w:val="singleLevel"/>
    <w:tmpl w:val="194BA459"/>
    <w:lvl w:ilvl="0" w:tentative="0">
      <w:start w:val="8"/>
      <w:numFmt w:val="decimal"/>
      <w:suff w:val="nothing"/>
      <w:lvlText w:val="%1）"/>
      <w:lvlJc w:val="left"/>
    </w:lvl>
  </w:abstractNum>
  <w:abstractNum w:abstractNumId="14">
    <w:nsid w:val="237A4B35"/>
    <w:multiLevelType w:val="multilevel"/>
    <w:tmpl w:val="237A4B35"/>
    <w:lvl w:ilvl="0" w:tentative="0">
      <w:start w:val="1"/>
      <w:numFmt w:val="decimal"/>
      <w:suff w:val="nothing"/>
      <w:lvlText w:val="%1）"/>
      <w:lvlJc w:val="center"/>
      <w:pPr>
        <w:ind w:left="1129" w:hanging="420"/>
      </w:pPr>
      <w:rPr>
        <w:rFonts w:hint="default" w:ascii="Times New Roman" w:hAnsi="Times New Roman" w:eastAsia="宋体"/>
        <w:b w:val="0"/>
        <w:i w:val="0"/>
        <w:caps w:val="0"/>
        <w:vanish w:val="0"/>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242778D2"/>
    <w:multiLevelType w:val="singleLevel"/>
    <w:tmpl w:val="242778D2"/>
    <w:lvl w:ilvl="0" w:tentative="0">
      <w:start w:val="1"/>
      <w:numFmt w:val="decimal"/>
      <w:suff w:val="nothing"/>
      <w:lvlText w:val="%1、"/>
      <w:lvlJc w:val="left"/>
    </w:lvl>
  </w:abstractNum>
  <w:abstractNum w:abstractNumId="16">
    <w:nsid w:val="448C7241"/>
    <w:multiLevelType w:val="multilevel"/>
    <w:tmpl w:val="448C7241"/>
    <w:lvl w:ilvl="0" w:tentative="0">
      <w:start w:val="1"/>
      <w:numFmt w:val="decimal"/>
      <w:suff w:val="nothing"/>
      <w:lvlText w:val="%1）"/>
      <w:lvlJc w:val="center"/>
      <w:pPr>
        <w:ind w:left="1129" w:hanging="420"/>
      </w:pPr>
      <w:rPr>
        <w:rFonts w:hint="default" w:ascii="Times New Roman" w:hAnsi="Times New Roman" w:eastAsia="宋体"/>
        <w:b w:val="0"/>
        <w:i w:val="0"/>
        <w:caps w:val="0"/>
        <w:vanish w:val="0"/>
        <w:sz w:val="28"/>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7">
    <w:nsid w:val="58F03EE1"/>
    <w:multiLevelType w:val="multilevel"/>
    <w:tmpl w:val="58F03EE1"/>
    <w:lvl w:ilvl="0" w:tentative="0">
      <w:start w:val="1"/>
      <w:numFmt w:val="decimal"/>
      <w:lvlText w:val="%1."/>
      <w:lvlJc w:val="left"/>
      <w:pPr>
        <w:ind w:left="425" w:hanging="425"/>
      </w:pPr>
    </w:lvl>
    <w:lvl w:ilvl="1" w:tentative="0">
      <w:start w:val="1"/>
      <w:numFmt w:val="decimal"/>
      <w:pStyle w:val="84"/>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8">
    <w:nsid w:val="5A3F6765"/>
    <w:multiLevelType w:val="singleLevel"/>
    <w:tmpl w:val="5A3F6765"/>
    <w:lvl w:ilvl="0" w:tentative="0">
      <w:start w:val="1"/>
      <w:numFmt w:val="decimal"/>
      <w:suff w:val="nothing"/>
      <w:lvlText w:val="（%1）"/>
      <w:lvlJc w:val="left"/>
    </w:lvl>
  </w:abstractNum>
  <w:abstractNum w:abstractNumId="19">
    <w:nsid w:val="5A3F6777"/>
    <w:multiLevelType w:val="singleLevel"/>
    <w:tmpl w:val="5A3F6777"/>
    <w:lvl w:ilvl="0" w:tentative="0">
      <w:start w:val="1"/>
      <w:numFmt w:val="decimal"/>
      <w:suff w:val="nothing"/>
      <w:lvlText w:val="（%1）"/>
      <w:lvlJc w:val="left"/>
    </w:lvl>
  </w:abstractNum>
  <w:abstractNum w:abstractNumId="20">
    <w:nsid w:val="6299DADE"/>
    <w:multiLevelType w:val="singleLevel"/>
    <w:tmpl w:val="6299DADE"/>
    <w:lvl w:ilvl="0" w:tentative="0">
      <w:start w:val="1"/>
      <w:numFmt w:val="decimal"/>
      <w:suff w:val="nothing"/>
      <w:lvlText w:val="%1、"/>
      <w:lvlJc w:val="left"/>
    </w:lvl>
  </w:abstractNum>
  <w:abstractNum w:abstractNumId="21">
    <w:nsid w:val="67BB2049"/>
    <w:multiLevelType w:val="singleLevel"/>
    <w:tmpl w:val="67BB2049"/>
    <w:lvl w:ilvl="0" w:tentative="0">
      <w:start w:val="1"/>
      <w:numFmt w:val="decimal"/>
      <w:suff w:val="nothing"/>
      <w:lvlText w:val="%1）"/>
      <w:lvlJc w:val="left"/>
      <w:pPr>
        <w:tabs>
          <w:tab w:val="left" w:pos="0"/>
        </w:tabs>
        <w:ind w:left="0" w:firstLine="0"/>
      </w:pPr>
      <w:rPr>
        <w:rFonts w:hint="default" w:ascii="Times New Roman" w:hAnsi="Times New Roman" w:eastAsia="宋体" w:cs="Times New Roman"/>
        <w:sz w:val="28"/>
        <w:szCs w:val="28"/>
      </w:rPr>
    </w:lvl>
  </w:abstractNum>
  <w:num w:numId="1">
    <w:abstractNumId w:val="10"/>
  </w:num>
  <w:num w:numId="2">
    <w:abstractNumId w:val="1"/>
  </w:num>
  <w:num w:numId="3">
    <w:abstractNumId w:val="4"/>
  </w:num>
  <w:num w:numId="4">
    <w:abstractNumId w:val="17"/>
  </w:num>
  <w:num w:numId="5">
    <w:abstractNumId w:val="15"/>
  </w:num>
  <w:num w:numId="6">
    <w:abstractNumId w:val="20"/>
  </w:num>
  <w:num w:numId="7">
    <w:abstractNumId w:val="2"/>
  </w:num>
  <w:num w:numId="8">
    <w:abstractNumId w:val="6"/>
  </w:num>
  <w:num w:numId="9">
    <w:abstractNumId w:val="0"/>
  </w:num>
  <w:num w:numId="10">
    <w:abstractNumId w:val="8"/>
  </w:num>
  <w:num w:numId="11">
    <w:abstractNumId w:val="18"/>
  </w:num>
  <w:num w:numId="12">
    <w:abstractNumId w:val="19"/>
  </w:num>
  <w:num w:numId="13">
    <w:abstractNumId w:val="21"/>
  </w:num>
  <w:num w:numId="14">
    <w:abstractNumId w:val="9"/>
  </w:num>
  <w:num w:numId="15">
    <w:abstractNumId w:val="5"/>
  </w:num>
  <w:num w:numId="16">
    <w:abstractNumId w:val="13"/>
  </w:num>
  <w:num w:numId="17">
    <w:abstractNumId w:val="12"/>
  </w:num>
  <w:num w:numId="18">
    <w:abstractNumId w:val="16"/>
  </w:num>
  <w:num w:numId="19">
    <w:abstractNumId w:val="14"/>
  </w:num>
  <w:num w:numId="20">
    <w:abstractNumId w:val="3"/>
  </w:num>
  <w:num w:numId="21">
    <w:abstractNumId w:val="11"/>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TrueTypeFonts/>
  <w:saveSubsetFonts/>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28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ViYzg0M2RlODNhNGQwZDBlNzc4ZTFlNGY5OTgyYjIifQ=="/>
  </w:docVars>
  <w:rsids>
    <w:rsidRoot w:val="00172A27"/>
    <w:rsid w:val="00000077"/>
    <w:rsid w:val="0003686D"/>
    <w:rsid w:val="000478B5"/>
    <w:rsid w:val="00083598"/>
    <w:rsid w:val="000B3EFE"/>
    <w:rsid w:val="000C5556"/>
    <w:rsid w:val="000F53F6"/>
    <w:rsid w:val="00105D1A"/>
    <w:rsid w:val="00143CBB"/>
    <w:rsid w:val="00146144"/>
    <w:rsid w:val="00150EAD"/>
    <w:rsid w:val="00172A27"/>
    <w:rsid w:val="00187EB5"/>
    <w:rsid w:val="00187F13"/>
    <w:rsid w:val="00192D85"/>
    <w:rsid w:val="001C5B51"/>
    <w:rsid w:val="00214643"/>
    <w:rsid w:val="00221853"/>
    <w:rsid w:val="00247886"/>
    <w:rsid w:val="00260E71"/>
    <w:rsid w:val="002739B8"/>
    <w:rsid w:val="00287910"/>
    <w:rsid w:val="00293395"/>
    <w:rsid w:val="00296ADD"/>
    <w:rsid w:val="002A2CC2"/>
    <w:rsid w:val="002B730C"/>
    <w:rsid w:val="002C1618"/>
    <w:rsid w:val="002E01C1"/>
    <w:rsid w:val="002F3228"/>
    <w:rsid w:val="002F46BC"/>
    <w:rsid w:val="00303143"/>
    <w:rsid w:val="00303B88"/>
    <w:rsid w:val="003113DD"/>
    <w:rsid w:val="00314785"/>
    <w:rsid w:val="00333526"/>
    <w:rsid w:val="00342DA3"/>
    <w:rsid w:val="003804BF"/>
    <w:rsid w:val="003E4A88"/>
    <w:rsid w:val="0040043D"/>
    <w:rsid w:val="004107A0"/>
    <w:rsid w:val="00440E03"/>
    <w:rsid w:val="004479E5"/>
    <w:rsid w:val="00456581"/>
    <w:rsid w:val="00484A5B"/>
    <w:rsid w:val="004A0C17"/>
    <w:rsid w:val="004B51DB"/>
    <w:rsid w:val="004B7138"/>
    <w:rsid w:val="004F6963"/>
    <w:rsid w:val="0051641E"/>
    <w:rsid w:val="00517242"/>
    <w:rsid w:val="0053023D"/>
    <w:rsid w:val="00557FAE"/>
    <w:rsid w:val="00590619"/>
    <w:rsid w:val="005B3599"/>
    <w:rsid w:val="005C02E2"/>
    <w:rsid w:val="005C05FE"/>
    <w:rsid w:val="005C6B4C"/>
    <w:rsid w:val="005D3102"/>
    <w:rsid w:val="00651BC9"/>
    <w:rsid w:val="00657C5C"/>
    <w:rsid w:val="00680F51"/>
    <w:rsid w:val="00686C4D"/>
    <w:rsid w:val="00692B28"/>
    <w:rsid w:val="006A028B"/>
    <w:rsid w:val="006A7F08"/>
    <w:rsid w:val="006B4E22"/>
    <w:rsid w:val="006D0CE9"/>
    <w:rsid w:val="006F3129"/>
    <w:rsid w:val="006F445C"/>
    <w:rsid w:val="0070408E"/>
    <w:rsid w:val="00752612"/>
    <w:rsid w:val="00781CCC"/>
    <w:rsid w:val="00830EA6"/>
    <w:rsid w:val="00841BC2"/>
    <w:rsid w:val="008705E7"/>
    <w:rsid w:val="00894211"/>
    <w:rsid w:val="008969CD"/>
    <w:rsid w:val="008A7FFD"/>
    <w:rsid w:val="008D313A"/>
    <w:rsid w:val="008F25E3"/>
    <w:rsid w:val="009150E6"/>
    <w:rsid w:val="00917226"/>
    <w:rsid w:val="00951628"/>
    <w:rsid w:val="00967E60"/>
    <w:rsid w:val="0097541C"/>
    <w:rsid w:val="00996505"/>
    <w:rsid w:val="009A7A7C"/>
    <w:rsid w:val="009B0751"/>
    <w:rsid w:val="009E6A13"/>
    <w:rsid w:val="00A21D26"/>
    <w:rsid w:val="00A36DEA"/>
    <w:rsid w:val="00A37E26"/>
    <w:rsid w:val="00A451CF"/>
    <w:rsid w:val="00A468E6"/>
    <w:rsid w:val="00A64853"/>
    <w:rsid w:val="00A679AF"/>
    <w:rsid w:val="00AB2B96"/>
    <w:rsid w:val="00AC5A47"/>
    <w:rsid w:val="00AC600E"/>
    <w:rsid w:val="00AE5109"/>
    <w:rsid w:val="00AF08A4"/>
    <w:rsid w:val="00AF3DBB"/>
    <w:rsid w:val="00B001AD"/>
    <w:rsid w:val="00B70742"/>
    <w:rsid w:val="00B84A5F"/>
    <w:rsid w:val="00B9120D"/>
    <w:rsid w:val="00BA0B73"/>
    <w:rsid w:val="00BA4DE5"/>
    <w:rsid w:val="00BC0093"/>
    <w:rsid w:val="00BC7C3C"/>
    <w:rsid w:val="00BF1E49"/>
    <w:rsid w:val="00C12DE3"/>
    <w:rsid w:val="00C17701"/>
    <w:rsid w:val="00C30F96"/>
    <w:rsid w:val="00C376C7"/>
    <w:rsid w:val="00C55238"/>
    <w:rsid w:val="00CA7484"/>
    <w:rsid w:val="00CB1EB4"/>
    <w:rsid w:val="00CC11AF"/>
    <w:rsid w:val="00CC2E9C"/>
    <w:rsid w:val="00CD201D"/>
    <w:rsid w:val="00CD220C"/>
    <w:rsid w:val="00CE2FCE"/>
    <w:rsid w:val="00CE62C2"/>
    <w:rsid w:val="00CF5E2E"/>
    <w:rsid w:val="00D058B8"/>
    <w:rsid w:val="00D85BC5"/>
    <w:rsid w:val="00DD45FC"/>
    <w:rsid w:val="00DE2E3C"/>
    <w:rsid w:val="00E009BA"/>
    <w:rsid w:val="00E072CC"/>
    <w:rsid w:val="00E13907"/>
    <w:rsid w:val="00E1773D"/>
    <w:rsid w:val="00E6015C"/>
    <w:rsid w:val="00E73BD5"/>
    <w:rsid w:val="00E74CE4"/>
    <w:rsid w:val="00EB7179"/>
    <w:rsid w:val="00EC131F"/>
    <w:rsid w:val="00ED76F8"/>
    <w:rsid w:val="00F16401"/>
    <w:rsid w:val="00F2134C"/>
    <w:rsid w:val="00F47A6E"/>
    <w:rsid w:val="00F64E85"/>
    <w:rsid w:val="00F7033D"/>
    <w:rsid w:val="00F77191"/>
    <w:rsid w:val="00F815CD"/>
    <w:rsid w:val="00FA6992"/>
    <w:rsid w:val="00FB5731"/>
    <w:rsid w:val="00FC45BB"/>
    <w:rsid w:val="01066CBA"/>
    <w:rsid w:val="010A0BB9"/>
    <w:rsid w:val="011367B9"/>
    <w:rsid w:val="011E0236"/>
    <w:rsid w:val="012313A8"/>
    <w:rsid w:val="012F1EB5"/>
    <w:rsid w:val="01327435"/>
    <w:rsid w:val="01383201"/>
    <w:rsid w:val="014B2E84"/>
    <w:rsid w:val="01544482"/>
    <w:rsid w:val="015900D2"/>
    <w:rsid w:val="015C3640"/>
    <w:rsid w:val="015F2FBA"/>
    <w:rsid w:val="01632F7F"/>
    <w:rsid w:val="01666B74"/>
    <w:rsid w:val="017137CF"/>
    <w:rsid w:val="01714809"/>
    <w:rsid w:val="0175324E"/>
    <w:rsid w:val="017641DF"/>
    <w:rsid w:val="0176597C"/>
    <w:rsid w:val="017D62F1"/>
    <w:rsid w:val="018C1FAB"/>
    <w:rsid w:val="0199606C"/>
    <w:rsid w:val="019B3DE4"/>
    <w:rsid w:val="01A305EE"/>
    <w:rsid w:val="01A86D7C"/>
    <w:rsid w:val="01AB46A1"/>
    <w:rsid w:val="01AF13A4"/>
    <w:rsid w:val="01B0650D"/>
    <w:rsid w:val="01C76E95"/>
    <w:rsid w:val="01C85968"/>
    <w:rsid w:val="01CF32DE"/>
    <w:rsid w:val="01DB732C"/>
    <w:rsid w:val="01DD251F"/>
    <w:rsid w:val="01E74ACC"/>
    <w:rsid w:val="01ED3477"/>
    <w:rsid w:val="01F31742"/>
    <w:rsid w:val="01F36FCC"/>
    <w:rsid w:val="01FC75F2"/>
    <w:rsid w:val="02070CCA"/>
    <w:rsid w:val="020C62E0"/>
    <w:rsid w:val="0227263C"/>
    <w:rsid w:val="02294E75"/>
    <w:rsid w:val="023062D9"/>
    <w:rsid w:val="02316431"/>
    <w:rsid w:val="02363DB3"/>
    <w:rsid w:val="023B7002"/>
    <w:rsid w:val="023E0F46"/>
    <w:rsid w:val="024544B6"/>
    <w:rsid w:val="0249783D"/>
    <w:rsid w:val="025431CD"/>
    <w:rsid w:val="0256755B"/>
    <w:rsid w:val="025D5672"/>
    <w:rsid w:val="025F28B4"/>
    <w:rsid w:val="026E6F9B"/>
    <w:rsid w:val="028334CD"/>
    <w:rsid w:val="028364F8"/>
    <w:rsid w:val="028E2D9F"/>
    <w:rsid w:val="02973E9C"/>
    <w:rsid w:val="02977F0A"/>
    <w:rsid w:val="029A652D"/>
    <w:rsid w:val="02A73386"/>
    <w:rsid w:val="02AB3D4B"/>
    <w:rsid w:val="02B45EB8"/>
    <w:rsid w:val="02BA3E06"/>
    <w:rsid w:val="02C34202"/>
    <w:rsid w:val="02D36DFE"/>
    <w:rsid w:val="02D7069C"/>
    <w:rsid w:val="02D74B40"/>
    <w:rsid w:val="02DB205A"/>
    <w:rsid w:val="02F8230B"/>
    <w:rsid w:val="02FC45A7"/>
    <w:rsid w:val="03060F81"/>
    <w:rsid w:val="03100052"/>
    <w:rsid w:val="0324572E"/>
    <w:rsid w:val="03256636"/>
    <w:rsid w:val="032705ED"/>
    <w:rsid w:val="03290523"/>
    <w:rsid w:val="032D4354"/>
    <w:rsid w:val="03404493"/>
    <w:rsid w:val="034611BF"/>
    <w:rsid w:val="03464526"/>
    <w:rsid w:val="03522419"/>
    <w:rsid w:val="035236F9"/>
    <w:rsid w:val="0352683E"/>
    <w:rsid w:val="035453EA"/>
    <w:rsid w:val="03575F0B"/>
    <w:rsid w:val="0361440A"/>
    <w:rsid w:val="03636D8F"/>
    <w:rsid w:val="036D1000"/>
    <w:rsid w:val="036F2FCB"/>
    <w:rsid w:val="03782B4D"/>
    <w:rsid w:val="03794892"/>
    <w:rsid w:val="03834FBB"/>
    <w:rsid w:val="03873247"/>
    <w:rsid w:val="038A12E6"/>
    <w:rsid w:val="038C34B0"/>
    <w:rsid w:val="03921B3D"/>
    <w:rsid w:val="03B077E0"/>
    <w:rsid w:val="03B46C2F"/>
    <w:rsid w:val="03B82F64"/>
    <w:rsid w:val="03BF3D65"/>
    <w:rsid w:val="03D04E6B"/>
    <w:rsid w:val="03DF0AAF"/>
    <w:rsid w:val="03DF6CF0"/>
    <w:rsid w:val="03E01F10"/>
    <w:rsid w:val="03E66546"/>
    <w:rsid w:val="03ED0A08"/>
    <w:rsid w:val="03FB03BA"/>
    <w:rsid w:val="04043523"/>
    <w:rsid w:val="0405152D"/>
    <w:rsid w:val="040C11AA"/>
    <w:rsid w:val="040C25C7"/>
    <w:rsid w:val="040D6546"/>
    <w:rsid w:val="041C6DA4"/>
    <w:rsid w:val="041D0834"/>
    <w:rsid w:val="041D26ED"/>
    <w:rsid w:val="0425626D"/>
    <w:rsid w:val="04275653"/>
    <w:rsid w:val="042A1146"/>
    <w:rsid w:val="042B79FE"/>
    <w:rsid w:val="042E3FEB"/>
    <w:rsid w:val="042F7AFA"/>
    <w:rsid w:val="04417611"/>
    <w:rsid w:val="04457BFF"/>
    <w:rsid w:val="044B7594"/>
    <w:rsid w:val="044F212C"/>
    <w:rsid w:val="044F2D89"/>
    <w:rsid w:val="04502B8C"/>
    <w:rsid w:val="045264C0"/>
    <w:rsid w:val="045768E7"/>
    <w:rsid w:val="045B52FD"/>
    <w:rsid w:val="046A2880"/>
    <w:rsid w:val="047043BC"/>
    <w:rsid w:val="04723283"/>
    <w:rsid w:val="04772A0B"/>
    <w:rsid w:val="04811285"/>
    <w:rsid w:val="048416C5"/>
    <w:rsid w:val="048D7F23"/>
    <w:rsid w:val="048E715A"/>
    <w:rsid w:val="04921C4C"/>
    <w:rsid w:val="049A5E25"/>
    <w:rsid w:val="04AC7907"/>
    <w:rsid w:val="04AD2664"/>
    <w:rsid w:val="04AE367F"/>
    <w:rsid w:val="04B5211F"/>
    <w:rsid w:val="04C335CE"/>
    <w:rsid w:val="04C66C1A"/>
    <w:rsid w:val="04D51B9B"/>
    <w:rsid w:val="04E1503B"/>
    <w:rsid w:val="04E7256B"/>
    <w:rsid w:val="04E82C1D"/>
    <w:rsid w:val="04F02045"/>
    <w:rsid w:val="04F217BD"/>
    <w:rsid w:val="05073649"/>
    <w:rsid w:val="05111DAD"/>
    <w:rsid w:val="052918ED"/>
    <w:rsid w:val="052A0ED5"/>
    <w:rsid w:val="0534625D"/>
    <w:rsid w:val="0534704A"/>
    <w:rsid w:val="05375046"/>
    <w:rsid w:val="053A071B"/>
    <w:rsid w:val="053B3FFD"/>
    <w:rsid w:val="053E2F29"/>
    <w:rsid w:val="05406911"/>
    <w:rsid w:val="05412745"/>
    <w:rsid w:val="054D3A0B"/>
    <w:rsid w:val="054F00BB"/>
    <w:rsid w:val="05664F5A"/>
    <w:rsid w:val="05793B74"/>
    <w:rsid w:val="057B7A43"/>
    <w:rsid w:val="057C5A5A"/>
    <w:rsid w:val="058441DA"/>
    <w:rsid w:val="058F1792"/>
    <w:rsid w:val="059168EB"/>
    <w:rsid w:val="059A2F03"/>
    <w:rsid w:val="059F004E"/>
    <w:rsid w:val="05A02CAB"/>
    <w:rsid w:val="05A2422D"/>
    <w:rsid w:val="05AA653C"/>
    <w:rsid w:val="05AB4FAF"/>
    <w:rsid w:val="05AD13DF"/>
    <w:rsid w:val="05AF22C7"/>
    <w:rsid w:val="05B25CDD"/>
    <w:rsid w:val="05B4026E"/>
    <w:rsid w:val="05C018BB"/>
    <w:rsid w:val="05C45739"/>
    <w:rsid w:val="05C73211"/>
    <w:rsid w:val="05D07C36"/>
    <w:rsid w:val="05D62D5E"/>
    <w:rsid w:val="05E03D0C"/>
    <w:rsid w:val="05E337FC"/>
    <w:rsid w:val="05ED6429"/>
    <w:rsid w:val="05F5523B"/>
    <w:rsid w:val="05FB7A9C"/>
    <w:rsid w:val="060452BE"/>
    <w:rsid w:val="06053880"/>
    <w:rsid w:val="060E19ED"/>
    <w:rsid w:val="061836C1"/>
    <w:rsid w:val="061E6EA9"/>
    <w:rsid w:val="062077BC"/>
    <w:rsid w:val="062C3147"/>
    <w:rsid w:val="062C5D07"/>
    <w:rsid w:val="062C5D5F"/>
    <w:rsid w:val="063252B1"/>
    <w:rsid w:val="06380C2D"/>
    <w:rsid w:val="063A6F42"/>
    <w:rsid w:val="063E2416"/>
    <w:rsid w:val="0642564C"/>
    <w:rsid w:val="064631A4"/>
    <w:rsid w:val="064E4658"/>
    <w:rsid w:val="065610A6"/>
    <w:rsid w:val="065D710A"/>
    <w:rsid w:val="06640499"/>
    <w:rsid w:val="06652463"/>
    <w:rsid w:val="06732A7F"/>
    <w:rsid w:val="067601CC"/>
    <w:rsid w:val="067728B3"/>
    <w:rsid w:val="06783F44"/>
    <w:rsid w:val="067D408F"/>
    <w:rsid w:val="068733B4"/>
    <w:rsid w:val="06873B06"/>
    <w:rsid w:val="068A1F8B"/>
    <w:rsid w:val="068F0AA2"/>
    <w:rsid w:val="069868B0"/>
    <w:rsid w:val="069B5587"/>
    <w:rsid w:val="06B33FC0"/>
    <w:rsid w:val="06C21663"/>
    <w:rsid w:val="06C36C5A"/>
    <w:rsid w:val="06C43629"/>
    <w:rsid w:val="06CA66FF"/>
    <w:rsid w:val="06D05B2E"/>
    <w:rsid w:val="06DE46EF"/>
    <w:rsid w:val="06EB2968"/>
    <w:rsid w:val="06F14121"/>
    <w:rsid w:val="06FD491A"/>
    <w:rsid w:val="07027E91"/>
    <w:rsid w:val="07034156"/>
    <w:rsid w:val="07037998"/>
    <w:rsid w:val="07060E4A"/>
    <w:rsid w:val="070F0EB1"/>
    <w:rsid w:val="07140111"/>
    <w:rsid w:val="0715420D"/>
    <w:rsid w:val="07280C92"/>
    <w:rsid w:val="07297641"/>
    <w:rsid w:val="072B7208"/>
    <w:rsid w:val="07302DE4"/>
    <w:rsid w:val="07351B9D"/>
    <w:rsid w:val="07372051"/>
    <w:rsid w:val="073D6986"/>
    <w:rsid w:val="073F21F9"/>
    <w:rsid w:val="073F2CB4"/>
    <w:rsid w:val="073F63A0"/>
    <w:rsid w:val="07521F93"/>
    <w:rsid w:val="0754574C"/>
    <w:rsid w:val="075A2FB2"/>
    <w:rsid w:val="075C5614"/>
    <w:rsid w:val="07636EE9"/>
    <w:rsid w:val="07667A78"/>
    <w:rsid w:val="07667BB2"/>
    <w:rsid w:val="07705C7E"/>
    <w:rsid w:val="077726CC"/>
    <w:rsid w:val="077A7FD0"/>
    <w:rsid w:val="07824CBE"/>
    <w:rsid w:val="078539BD"/>
    <w:rsid w:val="078A6DB1"/>
    <w:rsid w:val="078C1FF4"/>
    <w:rsid w:val="07924461"/>
    <w:rsid w:val="07972AF0"/>
    <w:rsid w:val="079B67A9"/>
    <w:rsid w:val="079C5288"/>
    <w:rsid w:val="07A572CE"/>
    <w:rsid w:val="07A82CAB"/>
    <w:rsid w:val="07B67052"/>
    <w:rsid w:val="07B80B00"/>
    <w:rsid w:val="07BA6ECB"/>
    <w:rsid w:val="07BD74BF"/>
    <w:rsid w:val="07C4704D"/>
    <w:rsid w:val="07C60433"/>
    <w:rsid w:val="07C71BCD"/>
    <w:rsid w:val="07CD55D4"/>
    <w:rsid w:val="07E16671"/>
    <w:rsid w:val="07E5385B"/>
    <w:rsid w:val="07EC44A2"/>
    <w:rsid w:val="07EF3A5D"/>
    <w:rsid w:val="0800154C"/>
    <w:rsid w:val="08014A03"/>
    <w:rsid w:val="08020ACC"/>
    <w:rsid w:val="080A5B96"/>
    <w:rsid w:val="080B6D12"/>
    <w:rsid w:val="080F08D8"/>
    <w:rsid w:val="081303C8"/>
    <w:rsid w:val="08320F8A"/>
    <w:rsid w:val="08327D56"/>
    <w:rsid w:val="08545039"/>
    <w:rsid w:val="08566507"/>
    <w:rsid w:val="085D7903"/>
    <w:rsid w:val="086066F6"/>
    <w:rsid w:val="0862409A"/>
    <w:rsid w:val="08626030"/>
    <w:rsid w:val="08803584"/>
    <w:rsid w:val="08831E41"/>
    <w:rsid w:val="08850B9A"/>
    <w:rsid w:val="08897F63"/>
    <w:rsid w:val="08906AFD"/>
    <w:rsid w:val="08972634"/>
    <w:rsid w:val="08997186"/>
    <w:rsid w:val="089E62BF"/>
    <w:rsid w:val="08A277EC"/>
    <w:rsid w:val="08BB41A2"/>
    <w:rsid w:val="08CF34D0"/>
    <w:rsid w:val="08D127FC"/>
    <w:rsid w:val="08D443C5"/>
    <w:rsid w:val="08EF4F3B"/>
    <w:rsid w:val="08F33D56"/>
    <w:rsid w:val="08F51E77"/>
    <w:rsid w:val="08FE2DFD"/>
    <w:rsid w:val="08FF54EA"/>
    <w:rsid w:val="090646F4"/>
    <w:rsid w:val="090F5056"/>
    <w:rsid w:val="09102B5A"/>
    <w:rsid w:val="09136A17"/>
    <w:rsid w:val="091E1980"/>
    <w:rsid w:val="091E4198"/>
    <w:rsid w:val="09242161"/>
    <w:rsid w:val="092D180C"/>
    <w:rsid w:val="09302909"/>
    <w:rsid w:val="0939402F"/>
    <w:rsid w:val="094222FF"/>
    <w:rsid w:val="094244D7"/>
    <w:rsid w:val="0949606C"/>
    <w:rsid w:val="094E5430"/>
    <w:rsid w:val="09502F56"/>
    <w:rsid w:val="09510A7C"/>
    <w:rsid w:val="095D226E"/>
    <w:rsid w:val="09630EDC"/>
    <w:rsid w:val="096A26D7"/>
    <w:rsid w:val="09703572"/>
    <w:rsid w:val="097172F6"/>
    <w:rsid w:val="09781C93"/>
    <w:rsid w:val="097A7FD3"/>
    <w:rsid w:val="097B4C56"/>
    <w:rsid w:val="097B71D6"/>
    <w:rsid w:val="097C605F"/>
    <w:rsid w:val="09846EDD"/>
    <w:rsid w:val="098552F6"/>
    <w:rsid w:val="098A4790"/>
    <w:rsid w:val="098D603B"/>
    <w:rsid w:val="098F6CE4"/>
    <w:rsid w:val="099225D9"/>
    <w:rsid w:val="09934FED"/>
    <w:rsid w:val="0999012A"/>
    <w:rsid w:val="099A743B"/>
    <w:rsid w:val="09A84FBB"/>
    <w:rsid w:val="09A908B8"/>
    <w:rsid w:val="09AC0579"/>
    <w:rsid w:val="09AF5422"/>
    <w:rsid w:val="09B57FD2"/>
    <w:rsid w:val="09C37875"/>
    <w:rsid w:val="09CE032B"/>
    <w:rsid w:val="09E10832"/>
    <w:rsid w:val="09E368B0"/>
    <w:rsid w:val="09E55AE9"/>
    <w:rsid w:val="09E813E1"/>
    <w:rsid w:val="09E85448"/>
    <w:rsid w:val="09E95464"/>
    <w:rsid w:val="09F43927"/>
    <w:rsid w:val="09F861E9"/>
    <w:rsid w:val="09FE0C04"/>
    <w:rsid w:val="09FE0DFC"/>
    <w:rsid w:val="0A0C3321"/>
    <w:rsid w:val="0A195A3E"/>
    <w:rsid w:val="0A1B6574"/>
    <w:rsid w:val="0A232E39"/>
    <w:rsid w:val="0A2925DC"/>
    <w:rsid w:val="0A2F4B78"/>
    <w:rsid w:val="0A38660C"/>
    <w:rsid w:val="0A3C731D"/>
    <w:rsid w:val="0A407C60"/>
    <w:rsid w:val="0A410AF1"/>
    <w:rsid w:val="0A466107"/>
    <w:rsid w:val="0A4D1784"/>
    <w:rsid w:val="0A517CE9"/>
    <w:rsid w:val="0A5A0AE8"/>
    <w:rsid w:val="0A5A335A"/>
    <w:rsid w:val="0A5E5125"/>
    <w:rsid w:val="0A5F67C4"/>
    <w:rsid w:val="0A6767AA"/>
    <w:rsid w:val="0A6A51AD"/>
    <w:rsid w:val="0A775D4F"/>
    <w:rsid w:val="0A782BB8"/>
    <w:rsid w:val="0A7C03D8"/>
    <w:rsid w:val="0A7C3C8A"/>
    <w:rsid w:val="0A7F5A8F"/>
    <w:rsid w:val="0A834E91"/>
    <w:rsid w:val="0A887C8A"/>
    <w:rsid w:val="0A8B0CDD"/>
    <w:rsid w:val="0A9E5F43"/>
    <w:rsid w:val="0AA52E15"/>
    <w:rsid w:val="0AAB2072"/>
    <w:rsid w:val="0AAC0643"/>
    <w:rsid w:val="0ABE70EF"/>
    <w:rsid w:val="0AC0410C"/>
    <w:rsid w:val="0AC4073E"/>
    <w:rsid w:val="0ACB31DC"/>
    <w:rsid w:val="0ACB4F8A"/>
    <w:rsid w:val="0ACE782C"/>
    <w:rsid w:val="0ACF434F"/>
    <w:rsid w:val="0AD070D4"/>
    <w:rsid w:val="0AD10018"/>
    <w:rsid w:val="0AD53870"/>
    <w:rsid w:val="0AD57F91"/>
    <w:rsid w:val="0AE778EA"/>
    <w:rsid w:val="0AF854F0"/>
    <w:rsid w:val="0AFA2DB3"/>
    <w:rsid w:val="0AFE0EF0"/>
    <w:rsid w:val="0B06606D"/>
    <w:rsid w:val="0B094EDC"/>
    <w:rsid w:val="0B097861"/>
    <w:rsid w:val="0B155E43"/>
    <w:rsid w:val="0B1B0BDA"/>
    <w:rsid w:val="0B206C60"/>
    <w:rsid w:val="0B2455E5"/>
    <w:rsid w:val="0B24695D"/>
    <w:rsid w:val="0B2621C1"/>
    <w:rsid w:val="0B2E21AC"/>
    <w:rsid w:val="0B3B3792"/>
    <w:rsid w:val="0B3C4E35"/>
    <w:rsid w:val="0B492353"/>
    <w:rsid w:val="0B494009"/>
    <w:rsid w:val="0B495EAF"/>
    <w:rsid w:val="0B4E35B5"/>
    <w:rsid w:val="0B5871F6"/>
    <w:rsid w:val="0B5E5F25"/>
    <w:rsid w:val="0B6D4B9E"/>
    <w:rsid w:val="0B7112D8"/>
    <w:rsid w:val="0B76144C"/>
    <w:rsid w:val="0B822DAC"/>
    <w:rsid w:val="0B882203"/>
    <w:rsid w:val="0B9676CC"/>
    <w:rsid w:val="0B983941"/>
    <w:rsid w:val="0B995CE6"/>
    <w:rsid w:val="0B9E385B"/>
    <w:rsid w:val="0BA71079"/>
    <w:rsid w:val="0BAD28E2"/>
    <w:rsid w:val="0BB023D2"/>
    <w:rsid w:val="0BB40AF3"/>
    <w:rsid w:val="0BB420AC"/>
    <w:rsid w:val="0BB73761"/>
    <w:rsid w:val="0BC0004F"/>
    <w:rsid w:val="0BC639A4"/>
    <w:rsid w:val="0BD12E0A"/>
    <w:rsid w:val="0BE675CE"/>
    <w:rsid w:val="0BE779AA"/>
    <w:rsid w:val="0BE81B6C"/>
    <w:rsid w:val="0BEE2D71"/>
    <w:rsid w:val="0BEE6790"/>
    <w:rsid w:val="0BFF003E"/>
    <w:rsid w:val="0C011C73"/>
    <w:rsid w:val="0C04119A"/>
    <w:rsid w:val="0C05356A"/>
    <w:rsid w:val="0C063ECF"/>
    <w:rsid w:val="0C0C3CFC"/>
    <w:rsid w:val="0C0F323D"/>
    <w:rsid w:val="0C1633A8"/>
    <w:rsid w:val="0C214E0D"/>
    <w:rsid w:val="0C281F69"/>
    <w:rsid w:val="0C3241CD"/>
    <w:rsid w:val="0C344DB1"/>
    <w:rsid w:val="0C395F24"/>
    <w:rsid w:val="0C3B544C"/>
    <w:rsid w:val="0C3C6354"/>
    <w:rsid w:val="0C3E353A"/>
    <w:rsid w:val="0C3E7C5C"/>
    <w:rsid w:val="0C411FA1"/>
    <w:rsid w:val="0C4214B5"/>
    <w:rsid w:val="0C437727"/>
    <w:rsid w:val="0C4477F0"/>
    <w:rsid w:val="0C4A0C19"/>
    <w:rsid w:val="0C4F74F5"/>
    <w:rsid w:val="0C5E524B"/>
    <w:rsid w:val="0C711B61"/>
    <w:rsid w:val="0C7B0F96"/>
    <w:rsid w:val="0C8573BB"/>
    <w:rsid w:val="0C857E08"/>
    <w:rsid w:val="0C863C7A"/>
    <w:rsid w:val="0C8677B2"/>
    <w:rsid w:val="0C9225CD"/>
    <w:rsid w:val="0C9C30AC"/>
    <w:rsid w:val="0CAA28F8"/>
    <w:rsid w:val="0CAC07CC"/>
    <w:rsid w:val="0CAF268A"/>
    <w:rsid w:val="0CB457AD"/>
    <w:rsid w:val="0CB937DC"/>
    <w:rsid w:val="0CBA0115"/>
    <w:rsid w:val="0CC63178"/>
    <w:rsid w:val="0CD10852"/>
    <w:rsid w:val="0CD57503"/>
    <w:rsid w:val="0CDE3214"/>
    <w:rsid w:val="0CE1623A"/>
    <w:rsid w:val="0CE57ECD"/>
    <w:rsid w:val="0CF10F5B"/>
    <w:rsid w:val="0CF24878"/>
    <w:rsid w:val="0CF72F5A"/>
    <w:rsid w:val="0D0160E4"/>
    <w:rsid w:val="0D1166AA"/>
    <w:rsid w:val="0D2B7634"/>
    <w:rsid w:val="0D321AFD"/>
    <w:rsid w:val="0D325AAA"/>
    <w:rsid w:val="0D34124A"/>
    <w:rsid w:val="0D36577E"/>
    <w:rsid w:val="0D407D87"/>
    <w:rsid w:val="0D5862D5"/>
    <w:rsid w:val="0D5C186B"/>
    <w:rsid w:val="0D5C6B8F"/>
    <w:rsid w:val="0D5D3E94"/>
    <w:rsid w:val="0D5E635E"/>
    <w:rsid w:val="0D5F5E5E"/>
    <w:rsid w:val="0D623AF9"/>
    <w:rsid w:val="0D63594E"/>
    <w:rsid w:val="0D6405BB"/>
    <w:rsid w:val="0D6A0B5C"/>
    <w:rsid w:val="0D6B1D2C"/>
    <w:rsid w:val="0D725B91"/>
    <w:rsid w:val="0D780392"/>
    <w:rsid w:val="0D803D72"/>
    <w:rsid w:val="0D8140EC"/>
    <w:rsid w:val="0D8238FA"/>
    <w:rsid w:val="0D8A22A8"/>
    <w:rsid w:val="0D9138F6"/>
    <w:rsid w:val="0D921D8F"/>
    <w:rsid w:val="0D96718D"/>
    <w:rsid w:val="0DAB2CED"/>
    <w:rsid w:val="0DC84CDD"/>
    <w:rsid w:val="0DC96641"/>
    <w:rsid w:val="0DCE08EE"/>
    <w:rsid w:val="0DCE156E"/>
    <w:rsid w:val="0DD23DCC"/>
    <w:rsid w:val="0DD47985"/>
    <w:rsid w:val="0DE243F0"/>
    <w:rsid w:val="0DEB4F84"/>
    <w:rsid w:val="0DF87FFD"/>
    <w:rsid w:val="0DFE7425"/>
    <w:rsid w:val="0E002C7A"/>
    <w:rsid w:val="0E0207E0"/>
    <w:rsid w:val="0E0E2173"/>
    <w:rsid w:val="0E106EBB"/>
    <w:rsid w:val="0E1409F6"/>
    <w:rsid w:val="0E14685B"/>
    <w:rsid w:val="0E1828E9"/>
    <w:rsid w:val="0E19425F"/>
    <w:rsid w:val="0E1D2DD7"/>
    <w:rsid w:val="0E1D535F"/>
    <w:rsid w:val="0E4F17D8"/>
    <w:rsid w:val="0E4F7BD5"/>
    <w:rsid w:val="0E506718"/>
    <w:rsid w:val="0E617207"/>
    <w:rsid w:val="0E6A306C"/>
    <w:rsid w:val="0E6E5BCE"/>
    <w:rsid w:val="0E7019A5"/>
    <w:rsid w:val="0E813BB2"/>
    <w:rsid w:val="0E8351DC"/>
    <w:rsid w:val="0E8A276A"/>
    <w:rsid w:val="0E8A65AF"/>
    <w:rsid w:val="0E946F95"/>
    <w:rsid w:val="0E96690D"/>
    <w:rsid w:val="0E9D17C6"/>
    <w:rsid w:val="0EA63619"/>
    <w:rsid w:val="0EAD10CE"/>
    <w:rsid w:val="0EBC4BEA"/>
    <w:rsid w:val="0EBD5A5F"/>
    <w:rsid w:val="0EBE0962"/>
    <w:rsid w:val="0EC00A0F"/>
    <w:rsid w:val="0ED01B64"/>
    <w:rsid w:val="0ED26FCF"/>
    <w:rsid w:val="0ED40A56"/>
    <w:rsid w:val="0EE04D7C"/>
    <w:rsid w:val="0EE100C7"/>
    <w:rsid w:val="0EE4486D"/>
    <w:rsid w:val="0EF033EE"/>
    <w:rsid w:val="0EF3521A"/>
    <w:rsid w:val="0EF810A0"/>
    <w:rsid w:val="0EF85F01"/>
    <w:rsid w:val="0EF93C72"/>
    <w:rsid w:val="0EFA445F"/>
    <w:rsid w:val="0EFD148A"/>
    <w:rsid w:val="0F0672D6"/>
    <w:rsid w:val="0F097052"/>
    <w:rsid w:val="0F0C76EB"/>
    <w:rsid w:val="0F0F0F6C"/>
    <w:rsid w:val="0F184E2A"/>
    <w:rsid w:val="0F1862C4"/>
    <w:rsid w:val="0F1A224E"/>
    <w:rsid w:val="0F215663"/>
    <w:rsid w:val="0F22641A"/>
    <w:rsid w:val="0F334EAC"/>
    <w:rsid w:val="0F386CB5"/>
    <w:rsid w:val="0F395003"/>
    <w:rsid w:val="0F3D154C"/>
    <w:rsid w:val="0F434B70"/>
    <w:rsid w:val="0F4670CD"/>
    <w:rsid w:val="0F47303E"/>
    <w:rsid w:val="0F4A6481"/>
    <w:rsid w:val="0F4D0AAA"/>
    <w:rsid w:val="0F4E0880"/>
    <w:rsid w:val="0F517A28"/>
    <w:rsid w:val="0F543075"/>
    <w:rsid w:val="0F567209"/>
    <w:rsid w:val="0F5F41EA"/>
    <w:rsid w:val="0F600F9C"/>
    <w:rsid w:val="0F682C58"/>
    <w:rsid w:val="0F713AC7"/>
    <w:rsid w:val="0F7405D1"/>
    <w:rsid w:val="0F747A81"/>
    <w:rsid w:val="0F7554C5"/>
    <w:rsid w:val="0F7C6C79"/>
    <w:rsid w:val="0F7F450C"/>
    <w:rsid w:val="0F801A92"/>
    <w:rsid w:val="0F815210"/>
    <w:rsid w:val="0F827BE2"/>
    <w:rsid w:val="0F8751F8"/>
    <w:rsid w:val="0F892DFE"/>
    <w:rsid w:val="0F8C21A5"/>
    <w:rsid w:val="0F912780"/>
    <w:rsid w:val="0F932C7E"/>
    <w:rsid w:val="0F99662D"/>
    <w:rsid w:val="0F9D77CB"/>
    <w:rsid w:val="0FA649BF"/>
    <w:rsid w:val="0FB83F02"/>
    <w:rsid w:val="0FBD224C"/>
    <w:rsid w:val="0FC308F5"/>
    <w:rsid w:val="0FC37FA4"/>
    <w:rsid w:val="0FC832AD"/>
    <w:rsid w:val="0FCC028A"/>
    <w:rsid w:val="0FCC0618"/>
    <w:rsid w:val="0FD31746"/>
    <w:rsid w:val="0FDF089B"/>
    <w:rsid w:val="0FE33D0E"/>
    <w:rsid w:val="0FF90734"/>
    <w:rsid w:val="0FFA6BEF"/>
    <w:rsid w:val="0FFF01E3"/>
    <w:rsid w:val="1001144E"/>
    <w:rsid w:val="10033259"/>
    <w:rsid w:val="100A15D9"/>
    <w:rsid w:val="100E76C7"/>
    <w:rsid w:val="101A2510"/>
    <w:rsid w:val="101F3682"/>
    <w:rsid w:val="10265EFC"/>
    <w:rsid w:val="10327C7C"/>
    <w:rsid w:val="10355040"/>
    <w:rsid w:val="10366ABB"/>
    <w:rsid w:val="10417810"/>
    <w:rsid w:val="10497F27"/>
    <w:rsid w:val="1056326F"/>
    <w:rsid w:val="10597887"/>
    <w:rsid w:val="105F0BAC"/>
    <w:rsid w:val="10650C4A"/>
    <w:rsid w:val="106A3277"/>
    <w:rsid w:val="1078721B"/>
    <w:rsid w:val="10807085"/>
    <w:rsid w:val="10820F03"/>
    <w:rsid w:val="108C58BE"/>
    <w:rsid w:val="10974181"/>
    <w:rsid w:val="10A1053B"/>
    <w:rsid w:val="10B22749"/>
    <w:rsid w:val="10B34AEC"/>
    <w:rsid w:val="10B93AD7"/>
    <w:rsid w:val="10BF1058"/>
    <w:rsid w:val="10C036E3"/>
    <w:rsid w:val="10C6734C"/>
    <w:rsid w:val="10CF2DE7"/>
    <w:rsid w:val="10D610F9"/>
    <w:rsid w:val="10E2302E"/>
    <w:rsid w:val="10E35850"/>
    <w:rsid w:val="10E478D4"/>
    <w:rsid w:val="10E50E34"/>
    <w:rsid w:val="10E56645"/>
    <w:rsid w:val="10E70644"/>
    <w:rsid w:val="10EA11B0"/>
    <w:rsid w:val="10F62635"/>
    <w:rsid w:val="10FE6813"/>
    <w:rsid w:val="1106608B"/>
    <w:rsid w:val="110977BC"/>
    <w:rsid w:val="11166518"/>
    <w:rsid w:val="111E11D9"/>
    <w:rsid w:val="112F6B83"/>
    <w:rsid w:val="11360EB2"/>
    <w:rsid w:val="113666E8"/>
    <w:rsid w:val="11424680"/>
    <w:rsid w:val="114A3163"/>
    <w:rsid w:val="11514C4E"/>
    <w:rsid w:val="11565681"/>
    <w:rsid w:val="11604CDC"/>
    <w:rsid w:val="11617B3B"/>
    <w:rsid w:val="116942AA"/>
    <w:rsid w:val="11767CB8"/>
    <w:rsid w:val="11785740"/>
    <w:rsid w:val="117D68B3"/>
    <w:rsid w:val="11823EC9"/>
    <w:rsid w:val="118F65E6"/>
    <w:rsid w:val="11916802"/>
    <w:rsid w:val="1193257A"/>
    <w:rsid w:val="11967974"/>
    <w:rsid w:val="1197757F"/>
    <w:rsid w:val="119A56B6"/>
    <w:rsid w:val="11A227BD"/>
    <w:rsid w:val="11A25385"/>
    <w:rsid w:val="11AD76A1"/>
    <w:rsid w:val="11B60016"/>
    <w:rsid w:val="11B6371D"/>
    <w:rsid w:val="11D20D75"/>
    <w:rsid w:val="11D61801"/>
    <w:rsid w:val="11D8097E"/>
    <w:rsid w:val="11DF30C9"/>
    <w:rsid w:val="11E92073"/>
    <w:rsid w:val="11EB16F3"/>
    <w:rsid w:val="11F14688"/>
    <w:rsid w:val="11F703D5"/>
    <w:rsid w:val="11F84585"/>
    <w:rsid w:val="120668A8"/>
    <w:rsid w:val="120862FD"/>
    <w:rsid w:val="120C739A"/>
    <w:rsid w:val="121322D9"/>
    <w:rsid w:val="121A67F7"/>
    <w:rsid w:val="121E4393"/>
    <w:rsid w:val="121F0E99"/>
    <w:rsid w:val="12210112"/>
    <w:rsid w:val="122209CB"/>
    <w:rsid w:val="12394ECF"/>
    <w:rsid w:val="1240492F"/>
    <w:rsid w:val="124133F3"/>
    <w:rsid w:val="1246323C"/>
    <w:rsid w:val="124A3908"/>
    <w:rsid w:val="12505ACB"/>
    <w:rsid w:val="12505D75"/>
    <w:rsid w:val="1257039C"/>
    <w:rsid w:val="125B44EF"/>
    <w:rsid w:val="126348D0"/>
    <w:rsid w:val="126B7053"/>
    <w:rsid w:val="126F1940"/>
    <w:rsid w:val="127001C5"/>
    <w:rsid w:val="127348D6"/>
    <w:rsid w:val="12787009"/>
    <w:rsid w:val="127C300E"/>
    <w:rsid w:val="128819B3"/>
    <w:rsid w:val="12900868"/>
    <w:rsid w:val="12950BAC"/>
    <w:rsid w:val="12992791"/>
    <w:rsid w:val="129E2F84"/>
    <w:rsid w:val="12A2172F"/>
    <w:rsid w:val="12A5144A"/>
    <w:rsid w:val="12AA0092"/>
    <w:rsid w:val="12B82444"/>
    <w:rsid w:val="12BF7E0C"/>
    <w:rsid w:val="12C26767"/>
    <w:rsid w:val="12C549B5"/>
    <w:rsid w:val="12C82731"/>
    <w:rsid w:val="12D352B0"/>
    <w:rsid w:val="12E36BE9"/>
    <w:rsid w:val="12F0061A"/>
    <w:rsid w:val="12F067F1"/>
    <w:rsid w:val="12F25D3A"/>
    <w:rsid w:val="12F318D3"/>
    <w:rsid w:val="12F86B39"/>
    <w:rsid w:val="12F901BB"/>
    <w:rsid w:val="12F9273B"/>
    <w:rsid w:val="12FC1E6F"/>
    <w:rsid w:val="130152C1"/>
    <w:rsid w:val="13033079"/>
    <w:rsid w:val="1308507B"/>
    <w:rsid w:val="13144FF5"/>
    <w:rsid w:val="1317215B"/>
    <w:rsid w:val="131A6550"/>
    <w:rsid w:val="131A7160"/>
    <w:rsid w:val="131B140D"/>
    <w:rsid w:val="131D109A"/>
    <w:rsid w:val="13242D5A"/>
    <w:rsid w:val="132E03FE"/>
    <w:rsid w:val="132E188F"/>
    <w:rsid w:val="1331204B"/>
    <w:rsid w:val="13357CDB"/>
    <w:rsid w:val="133728C5"/>
    <w:rsid w:val="133A0449"/>
    <w:rsid w:val="133A52EE"/>
    <w:rsid w:val="133E02C4"/>
    <w:rsid w:val="134358DA"/>
    <w:rsid w:val="13441FB9"/>
    <w:rsid w:val="134440AA"/>
    <w:rsid w:val="134451E4"/>
    <w:rsid w:val="13460CC1"/>
    <w:rsid w:val="134809D3"/>
    <w:rsid w:val="13490397"/>
    <w:rsid w:val="134B4573"/>
    <w:rsid w:val="134C478E"/>
    <w:rsid w:val="13586C5C"/>
    <w:rsid w:val="13622204"/>
    <w:rsid w:val="1371198B"/>
    <w:rsid w:val="137D46C4"/>
    <w:rsid w:val="137E11BC"/>
    <w:rsid w:val="1387788E"/>
    <w:rsid w:val="138A175B"/>
    <w:rsid w:val="138C7281"/>
    <w:rsid w:val="139525D9"/>
    <w:rsid w:val="13C0517C"/>
    <w:rsid w:val="13C407C9"/>
    <w:rsid w:val="13C91BCE"/>
    <w:rsid w:val="13CD39BC"/>
    <w:rsid w:val="13CE5AEB"/>
    <w:rsid w:val="13D605F7"/>
    <w:rsid w:val="13D77B08"/>
    <w:rsid w:val="13DB12A4"/>
    <w:rsid w:val="13E05B57"/>
    <w:rsid w:val="13F37ACE"/>
    <w:rsid w:val="13FC4407"/>
    <w:rsid w:val="14007318"/>
    <w:rsid w:val="14072DAB"/>
    <w:rsid w:val="1410098D"/>
    <w:rsid w:val="1413658B"/>
    <w:rsid w:val="141A663B"/>
    <w:rsid w:val="141D0D5B"/>
    <w:rsid w:val="14290D6A"/>
    <w:rsid w:val="142B34D1"/>
    <w:rsid w:val="14357918"/>
    <w:rsid w:val="144266B5"/>
    <w:rsid w:val="14487D9A"/>
    <w:rsid w:val="14503388"/>
    <w:rsid w:val="14515DD5"/>
    <w:rsid w:val="14541614"/>
    <w:rsid w:val="14591394"/>
    <w:rsid w:val="1459498F"/>
    <w:rsid w:val="145D5D8B"/>
    <w:rsid w:val="146436C5"/>
    <w:rsid w:val="147B6354"/>
    <w:rsid w:val="148B3905"/>
    <w:rsid w:val="148F5283"/>
    <w:rsid w:val="14991BD2"/>
    <w:rsid w:val="14A01236"/>
    <w:rsid w:val="14A807EA"/>
    <w:rsid w:val="14B7407A"/>
    <w:rsid w:val="14BB5371"/>
    <w:rsid w:val="14BC5944"/>
    <w:rsid w:val="14BD7B5D"/>
    <w:rsid w:val="14C74B0B"/>
    <w:rsid w:val="14C937B1"/>
    <w:rsid w:val="14CB207F"/>
    <w:rsid w:val="14CF23A1"/>
    <w:rsid w:val="14D013EF"/>
    <w:rsid w:val="14D653C6"/>
    <w:rsid w:val="14D714F4"/>
    <w:rsid w:val="14DA240B"/>
    <w:rsid w:val="14E05AD6"/>
    <w:rsid w:val="14E874E3"/>
    <w:rsid w:val="14F21FAC"/>
    <w:rsid w:val="14F52C04"/>
    <w:rsid w:val="150D43F1"/>
    <w:rsid w:val="150F60D0"/>
    <w:rsid w:val="15136555"/>
    <w:rsid w:val="15201C65"/>
    <w:rsid w:val="152F5BB5"/>
    <w:rsid w:val="15340995"/>
    <w:rsid w:val="15340BCF"/>
    <w:rsid w:val="15365ECE"/>
    <w:rsid w:val="153C4EF4"/>
    <w:rsid w:val="15400323"/>
    <w:rsid w:val="154B2AA9"/>
    <w:rsid w:val="154D5058"/>
    <w:rsid w:val="155362A8"/>
    <w:rsid w:val="155420D8"/>
    <w:rsid w:val="15596A7E"/>
    <w:rsid w:val="1568787A"/>
    <w:rsid w:val="15691128"/>
    <w:rsid w:val="1579481F"/>
    <w:rsid w:val="157D164F"/>
    <w:rsid w:val="15830516"/>
    <w:rsid w:val="158A3C94"/>
    <w:rsid w:val="158A4958"/>
    <w:rsid w:val="158C13EC"/>
    <w:rsid w:val="15903A71"/>
    <w:rsid w:val="15BD1974"/>
    <w:rsid w:val="15BD7BC5"/>
    <w:rsid w:val="15C56A7A"/>
    <w:rsid w:val="15C61979"/>
    <w:rsid w:val="15DC3256"/>
    <w:rsid w:val="15DF62B5"/>
    <w:rsid w:val="15FD05F1"/>
    <w:rsid w:val="15FE5756"/>
    <w:rsid w:val="16096349"/>
    <w:rsid w:val="160B05E4"/>
    <w:rsid w:val="16117F87"/>
    <w:rsid w:val="162C4375"/>
    <w:rsid w:val="162C6AF9"/>
    <w:rsid w:val="16335D0A"/>
    <w:rsid w:val="16445BF1"/>
    <w:rsid w:val="16504596"/>
    <w:rsid w:val="1652515B"/>
    <w:rsid w:val="165C0F48"/>
    <w:rsid w:val="166309E6"/>
    <w:rsid w:val="16753FFC"/>
    <w:rsid w:val="1677136A"/>
    <w:rsid w:val="16807EC0"/>
    <w:rsid w:val="168443B4"/>
    <w:rsid w:val="168565C7"/>
    <w:rsid w:val="16890C5D"/>
    <w:rsid w:val="168B09E3"/>
    <w:rsid w:val="168D5CD3"/>
    <w:rsid w:val="16900E4D"/>
    <w:rsid w:val="169161DD"/>
    <w:rsid w:val="169C48C5"/>
    <w:rsid w:val="169D7066"/>
    <w:rsid w:val="169E2595"/>
    <w:rsid w:val="16AF2B2A"/>
    <w:rsid w:val="16B02E5A"/>
    <w:rsid w:val="16BA2594"/>
    <w:rsid w:val="16BB275A"/>
    <w:rsid w:val="16BE6D9A"/>
    <w:rsid w:val="16C66DFE"/>
    <w:rsid w:val="16C70532"/>
    <w:rsid w:val="16CC4500"/>
    <w:rsid w:val="16D05D7A"/>
    <w:rsid w:val="16D0776D"/>
    <w:rsid w:val="16D84F3E"/>
    <w:rsid w:val="16D943BF"/>
    <w:rsid w:val="16DD3148"/>
    <w:rsid w:val="16EC381C"/>
    <w:rsid w:val="16F313F6"/>
    <w:rsid w:val="16F37B9A"/>
    <w:rsid w:val="16F53F7F"/>
    <w:rsid w:val="16F8319A"/>
    <w:rsid w:val="17004ADD"/>
    <w:rsid w:val="17084609"/>
    <w:rsid w:val="170A0E30"/>
    <w:rsid w:val="170F2B5B"/>
    <w:rsid w:val="1710772E"/>
    <w:rsid w:val="17127A9D"/>
    <w:rsid w:val="171A491F"/>
    <w:rsid w:val="172254B0"/>
    <w:rsid w:val="17270778"/>
    <w:rsid w:val="17324099"/>
    <w:rsid w:val="17336C78"/>
    <w:rsid w:val="173E4A94"/>
    <w:rsid w:val="1740285C"/>
    <w:rsid w:val="17472D50"/>
    <w:rsid w:val="17581ADD"/>
    <w:rsid w:val="17601F88"/>
    <w:rsid w:val="17624E7C"/>
    <w:rsid w:val="176C50C5"/>
    <w:rsid w:val="176D3777"/>
    <w:rsid w:val="1779125B"/>
    <w:rsid w:val="177C4406"/>
    <w:rsid w:val="177C5595"/>
    <w:rsid w:val="178564C1"/>
    <w:rsid w:val="178E2AB7"/>
    <w:rsid w:val="178F50AA"/>
    <w:rsid w:val="17920BDE"/>
    <w:rsid w:val="179240C6"/>
    <w:rsid w:val="179D7C20"/>
    <w:rsid w:val="179F709C"/>
    <w:rsid w:val="17A728DB"/>
    <w:rsid w:val="17AA58A6"/>
    <w:rsid w:val="17B172B6"/>
    <w:rsid w:val="17B51764"/>
    <w:rsid w:val="17B80644"/>
    <w:rsid w:val="17B96BD0"/>
    <w:rsid w:val="17CA1AEF"/>
    <w:rsid w:val="17CC38C7"/>
    <w:rsid w:val="17DF168D"/>
    <w:rsid w:val="17E37DD2"/>
    <w:rsid w:val="17E56F60"/>
    <w:rsid w:val="17EE5EF8"/>
    <w:rsid w:val="17F05B47"/>
    <w:rsid w:val="17F11DA8"/>
    <w:rsid w:val="17F87291"/>
    <w:rsid w:val="17F9051D"/>
    <w:rsid w:val="17FD01F9"/>
    <w:rsid w:val="17FD24FB"/>
    <w:rsid w:val="17FE6784"/>
    <w:rsid w:val="18030BCC"/>
    <w:rsid w:val="1804037A"/>
    <w:rsid w:val="18056863"/>
    <w:rsid w:val="180568A3"/>
    <w:rsid w:val="18131D1F"/>
    <w:rsid w:val="18183DB4"/>
    <w:rsid w:val="181A306C"/>
    <w:rsid w:val="181B6D76"/>
    <w:rsid w:val="18304F4B"/>
    <w:rsid w:val="183121A5"/>
    <w:rsid w:val="183143DE"/>
    <w:rsid w:val="18367283"/>
    <w:rsid w:val="183D55E3"/>
    <w:rsid w:val="18463EA2"/>
    <w:rsid w:val="185304C0"/>
    <w:rsid w:val="1857755C"/>
    <w:rsid w:val="186454AE"/>
    <w:rsid w:val="18671F82"/>
    <w:rsid w:val="186B5B61"/>
    <w:rsid w:val="18794818"/>
    <w:rsid w:val="187A6AEE"/>
    <w:rsid w:val="18805303"/>
    <w:rsid w:val="18826D92"/>
    <w:rsid w:val="18832B99"/>
    <w:rsid w:val="188B720A"/>
    <w:rsid w:val="189240FA"/>
    <w:rsid w:val="18954E2A"/>
    <w:rsid w:val="189952D7"/>
    <w:rsid w:val="18A22F95"/>
    <w:rsid w:val="18A74D01"/>
    <w:rsid w:val="18B02262"/>
    <w:rsid w:val="18B0756E"/>
    <w:rsid w:val="18B76B4E"/>
    <w:rsid w:val="18BB0207"/>
    <w:rsid w:val="18C3795C"/>
    <w:rsid w:val="18CB084B"/>
    <w:rsid w:val="18D36EF8"/>
    <w:rsid w:val="18DF272D"/>
    <w:rsid w:val="18EB4A4A"/>
    <w:rsid w:val="18FA548F"/>
    <w:rsid w:val="19000F5F"/>
    <w:rsid w:val="1903550F"/>
    <w:rsid w:val="190F52D3"/>
    <w:rsid w:val="19120228"/>
    <w:rsid w:val="19203100"/>
    <w:rsid w:val="19231F3C"/>
    <w:rsid w:val="19296D20"/>
    <w:rsid w:val="19301C1A"/>
    <w:rsid w:val="19324427"/>
    <w:rsid w:val="193D01D2"/>
    <w:rsid w:val="194A0A34"/>
    <w:rsid w:val="19544F55"/>
    <w:rsid w:val="195C14A3"/>
    <w:rsid w:val="19610D79"/>
    <w:rsid w:val="19614D0C"/>
    <w:rsid w:val="19675FB0"/>
    <w:rsid w:val="196B4ED4"/>
    <w:rsid w:val="19782E75"/>
    <w:rsid w:val="19805192"/>
    <w:rsid w:val="198A69F4"/>
    <w:rsid w:val="19960AF1"/>
    <w:rsid w:val="199663FA"/>
    <w:rsid w:val="199A7640"/>
    <w:rsid w:val="199E2487"/>
    <w:rsid w:val="19A40BD7"/>
    <w:rsid w:val="19A53BE2"/>
    <w:rsid w:val="19A604FA"/>
    <w:rsid w:val="19AD5E1D"/>
    <w:rsid w:val="19B359D4"/>
    <w:rsid w:val="19C262C3"/>
    <w:rsid w:val="19D35C0A"/>
    <w:rsid w:val="19EA2F53"/>
    <w:rsid w:val="19ED03E0"/>
    <w:rsid w:val="19F72412"/>
    <w:rsid w:val="19FE35AE"/>
    <w:rsid w:val="1A001746"/>
    <w:rsid w:val="1A051B3B"/>
    <w:rsid w:val="1A05703A"/>
    <w:rsid w:val="1A073B05"/>
    <w:rsid w:val="1A1B7BD2"/>
    <w:rsid w:val="1A1F4EBB"/>
    <w:rsid w:val="1A22274A"/>
    <w:rsid w:val="1A2368CC"/>
    <w:rsid w:val="1A277D03"/>
    <w:rsid w:val="1A2A5A01"/>
    <w:rsid w:val="1A3D5415"/>
    <w:rsid w:val="1A413E34"/>
    <w:rsid w:val="1A422583"/>
    <w:rsid w:val="1A423C1C"/>
    <w:rsid w:val="1A480FF6"/>
    <w:rsid w:val="1A512FD2"/>
    <w:rsid w:val="1A530EE9"/>
    <w:rsid w:val="1A637BE8"/>
    <w:rsid w:val="1A6B1889"/>
    <w:rsid w:val="1A6C3DE6"/>
    <w:rsid w:val="1A6F1E95"/>
    <w:rsid w:val="1A710C6F"/>
    <w:rsid w:val="1A7F18ED"/>
    <w:rsid w:val="1A865F4E"/>
    <w:rsid w:val="1A876817"/>
    <w:rsid w:val="1A8E5FBB"/>
    <w:rsid w:val="1A97752B"/>
    <w:rsid w:val="1AA134B3"/>
    <w:rsid w:val="1AA64ABC"/>
    <w:rsid w:val="1AA73255"/>
    <w:rsid w:val="1AA82FA2"/>
    <w:rsid w:val="1AB353EF"/>
    <w:rsid w:val="1ABA7B1A"/>
    <w:rsid w:val="1ABC0EEB"/>
    <w:rsid w:val="1AC837EB"/>
    <w:rsid w:val="1ACC07A4"/>
    <w:rsid w:val="1ACC5FAC"/>
    <w:rsid w:val="1ADF2D04"/>
    <w:rsid w:val="1AE019FE"/>
    <w:rsid w:val="1AEA79F1"/>
    <w:rsid w:val="1AF25A76"/>
    <w:rsid w:val="1AF75DA2"/>
    <w:rsid w:val="1B006E7D"/>
    <w:rsid w:val="1B0167A6"/>
    <w:rsid w:val="1B150F37"/>
    <w:rsid w:val="1B191794"/>
    <w:rsid w:val="1B1C2A2B"/>
    <w:rsid w:val="1B2230CD"/>
    <w:rsid w:val="1B2877A6"/>
    <w:rsid w:val="1B3C4A90"/>
    <w:rsid w:val="1B3D2479"/>
    <w:rsid w:val="1B472EC4"/>
    <w:rsid w:val="1B4D5548"/>
    <w:rsid w:val="1B506DE6"/>
    <w:rsid w:val="1B5E16E2"/>
    <w:rsid w:val="1B6D3958"/>
    <w:rsid w:val="1B6F3710"/>
    <w:rsid w:val="1B7105C0"/>
    <w:rsid w:val="1B71767A"/>
    <w:rsid w:val="1B730995"/>
    <w:rsid w:val="1B7906F8"/>
    <w:rsid w:val="1B8013CB"/>
    <w:rsid w:val="1B8B72F1"/>
    <w:rsid w:val="1B9B4F2E"/>
    <w:rsid w:val="1B9C68CE"/>
    <w:rsid w:val="1BA136B9"/>
    <w:rsid w:val="1BA26CAB"/>
    <w:rsid w:val="1BA27D3B"/>
    <w:rsid w:val="1BA84E74"/>
    <w:rsid w:val="1BB33A87"/>
    <w:rsid w:val="1BB552F4"/>
    <w:rsid w:val="1BBA708C"/>
    <w:rsid w:val="1BCE5A68"/>
    <w:rsid w:val="1BD75B63"/>
    <w:rsid w:val="1BDA4F59"/>
    <w:rsid w:val="1BE614F8"/>
    <w:rsid w:val="1BE81C8B"/>
    <w:rsid w:val="1BEB0BDB"/>
    <w:rsid w:val="1BEC2FB3"/>
    <w:rsid w:val="1BF14125"/>
    <w:rsid w:val="1C0443AF"/>
    <w:rsid w:val="1C097D7A"/>
    <w:rsid w:val="1C127CD4"/>
    <w:rsid w:val="1C1472FD"/>
    <w:rsid w:val="1C1C1B6C"/>
    <w:rsid w:val="1C1C494E"/>
    <w:rsid w:val="1C1C70D8"/>
    <w:rsid w:val="1C217769"/>
    <w:rsid w:val="1C365B63"/>
    <w:rsid w:val="1C3D736A"/>
    <w:rsid w:val="1C3E33FF"/>
    <w:rsid w:val="1C474FF9"/>
    <w:rsid w:val="1C5D2BA6"/>
    <w:rsid w:val="1C641343"/>
    <w:rsid w:val="1C65024F"/>
    <w:rsid w:val="1C672A34"/>
    <w:rsid w:val="1C687923"/>
    <w:rsid w:val="1C697BD1"/>
    <w:rsid w:val="1C6C5D03"/>
    <w:rsid w:val="1C701BC2"/>
    <w:rsid w:val="1C744D56"/>
    <w:rsid w:val="1C792DBA"/>
    <w:rsid w:val="1C7D5357"/>
    <w:rsid w:val="1C8036FB"/>
    <w:rsid w:val="1C81796F"/>
    <w:rsid w:val="1C821E98"/>
    <w:rsid w:val="1C9761DE"/>
    <w:rsid w:val="1C9B22E3"/>
    <w:rsid w:val="1CA079C9"/>
    <w:rsid w:val="1CB36283"/>
    <w:rsid w:val="1CB66029"/>
    <w:rsid w:val="1CBC037A"/>
    <w:rsid w:val="1CC328EE"/>
    <w:rsid w:val="1CC6269B"/>
    <w:rsid w:val="1CC655B2"/>
    <w:rsid w:val="1CCA6605"/>
    <w:rsid w:val="1CD36343"/>
    <w:rsid w:val="1CDC68DC"/>
    <w:rsid w:val="1CEB4C0B"/>
    <w:rsid w:val="1CF0262F"/>
    <w:rsid w:val="1CF34A37"/>
    <w:rsid w:val="1CF94298"/>
    <w:rsid w:val="1D020F40"/>
    <w:rsid w:val="1D026D56"/>
    <w:rsid w:val="1D044256"/>
    <w:rsid w:val="1D0B6549"/>
    <w:rsid w:val="1D0C0D79"/>
    <w:rsid w:val="1D1722B1"/>
    <w:rsid w:val="1D1B1880"/>
    <w:rsid w:val="1D1E53EE"/>
    <w:rsid w:val="1D2058E0"/>
    <w:rsid w:val="1D25756B"/>
    <w:rsid w:val="1D2824ED"/>
    <w:rsid w:val="1D2A1B8B"/>
    <w:rsid w:val="1D2D73DF"/>
    <w:rsid w:val="1D320E99"/>
    <w:rsid w:val="1D3F7112"/>
    <w:rsid w:val="1D412F40"/>
    <w:rsid w:val="1D4D4F16"/>
    <w:rsid w:val="1D534076"/>
    <w:rsid w:val="1D5B4B2C"/>
    <w:rsid w:val="1D5C15A0"/>
    <w:rsid w:val="1D5F4788"/>
    <w:rsid w:val="1D667A0A"/>
    <w:rsid w:val="1D69418F"/>
    <w:rsid w:val="1D7F1C04"/>
    <w:rsid w:val="1DAA0909"/>
    <w:rsid w:val="1DAC05F3"/>
    <w:rsid w:val="1DAE1297"/>
    <w:rsid w:val="1DAF339E"/>
    <w:rsid w:val="1DC97423"/>
    <w:rsid w:val="1DCA4F76"/>
    <w:rsid w:val="1DD00A1A"/>
    <w:rsid w:val="1DD631B7"/>
    <w:rsid w:val="1DD74FC1"/>
    <w:rsid w:val="1DDE4A03"/>
    <w:rsid w:val="1DDF0BD0"/>
    <w:rsid w:val="1DE24006"/>
    <w:rsid w:val="1DE55F0B"/>
    <w:rsid w:val="1DE85F1E"/>
    <w:rsid w:val="1DE9225D"/>
    <w:rsid w:val="1DF82397"/>
    <w:rsid w:val="1DFC5C66"/>
    <w:rsid w:val="1E0234F1"/>
    <w:rsid w:val="1E025DAF"/>
    <w:rsid w:val="1E03744D"/>
    <w:rsid w:val="1E0B5246"/>
    <w:rsid w:val="1E102B97"/>
    <w:rsid w:val="1E2330E3"/>
    <w:rsid w:val="1E236A34"/>
    <w:rsid w:val="1E2D7A8C"/>
    <w:rsid w:val="1E3054B7"/>
    <w:rsid w:val="1E326668"/>
    <w:rsid w:val="1E35620A"/>
    <w:rsid w:val="1E371E5B"/>
    <w:rsid w:val="1E3A5CB4"/>
    <w:rsid w:val="1E425258"/>
    <w:rsid w:val="1E44146F"/>
    <w:rsid w:val="1E4F5A7B"/>
    <w:rsid w:val="1E5166BE"/>
    <w:rsid w:val="1E54564E"/>
    <w:rsid w:val="1E590CF6"/>
    <w:rsid w:val="1E601232"/>
    <w:rsid w:val="1E7554E1"/>
    <w:rsid w:val="1E815609"/>
    <w:rsid w:val="1E8F3D94"/>
    <w:rsid w:val="1E9B2A6E"/>
    <w:rsid w:val="1E9D27EA"/>
    <w:rsid w:val="1EA07E70"/>
    <w:rsid w:val="1EA1045F"/>
    <w:rsid w:val="1EA27958"/>
    <w:rsid w:val="1EA60D3F"/>
    <w:rsid w:val="1EBB7FE8"/>
    <w:rsid w:val="1EC01989"/>
    <w:rsid w:val="1EC10726"/>
    <w:rsid w:val="1ECB78D8"/>
    <w:rsid w:val="1ECF0F37"/>
    <w:rsid w:val="1ED7796C"/>
    <w:rsid w:val="1EEE7042"/>
    <w:rsid w:val="1EF16C93"/>
    <w:rsid w:val="1EF41305"/>
    <w:rsid w:val="1EF42813"/>
    <w:rsid w:val="1EF6436A"/>
    <w:rsid w:val="1EF86400"/>
    <w:rsid w:val="1EFA59E6"/>
    <w:rsid w:val="1EFB4C55"/>
    <w:rsid w:val="1EFD5D80"/>
    <w:rsid w:val="1F0616BD"/>
    <w:rsid w:val="1F0922E4"/>
    <w:rsid w:val="1F106BA2"/>
    <w:rsid w:val="1F165A2F"/>
    <w:rsid w:val="1F1B2B3C"/>
    <w:rsid w:val="1F26599F"/>
    <w:rsid w:val="1F313457"/>
    <w:rsid w:val="1F3D39BA"/>
    <w:rsid w:val="1F3D3B25"/>
    <w:rsid w:val="1F4424E7"/>
    <w:rsid w:val="1F4B4494"/>
    <w:rsid w:val="1F4F7BFF"/>
    <w:rsid w:val="1F652CE9"/>
    <w:rsid w:val="1F681362"/>
    <w:rsid w:val="1F6C5D90"/>
    <w:rsid w:val="1F7045F9"/>
    <w:rsid w:val="1F745598"/>
    <w:rsid w:val="1F746C5C"/>
    <w:rsid w:val="1F7C464D"/>
    <w:rsid w:val="1F814DAB"/>
    <w:rsid w:val="1F843502"/>
    <w:rsid w:val="1F873E5C"/>
    <w:rsid w:val="1F890B18"/>
    <w:rsid w:val="1F8F0AAC"/>
    <w:rsid w:val="1F971487"/>
    <w:rsid w:val="1F991752"/>
    <w:rsid w:val="1FA248D9"/>
    <w:rsid w:val="1FAB2A4D"/>
    <w:rsid w:val="1FAE24D4"/>
    <w:rsid w:val="1FBE09D8"/>
    <w:rsid w:val="1FC55532"/>
    <w:rsid w:val="1FC833B6"/>
    <w:rsid w:val="1FD32E5C"/>
    <w:rsid w:val="1FE51830"/>
    <w:rsid w:val="1FE741BD"/>
    <w:rsid w:val="1FEC17D3"/>
    <w:rsid w:val="1FED65D4"/>
    <w:rsid w:val="1FEF6E13"/>
    <w:rsid w:val="1FF437C4"/>
    <w:rsid w:val="1FFF2B91"/>
    <w:rsid w:val="20010610"/>
    <w:rsid w:val="200527C2"/>
    <w:rsid w:val="200E3EFA"/>
    <w:rsid w:val="201900EE"/>
    <w:rsid w:val="20193B55"/>
    <w:rsid w:val="202274F1"/>
    <w:rsid w:val="20332118"/>
    <w:rsid w:val="203F11A4"/>
    <w:rsid w:val="20452C91"/>
    <w:rsid w:val="20474C5B"/>
    <w:rsid w:val="204849BC"/>
    <w:rsid w:val="20592BE1"/>
    <w:rsid w:val="206D7141"/>
    <w:rsid w:val="206F695F"/>
    <w:rsid w:val="20772F77"/>
    <w:rsid w:val="207B2B57"/>
    <w:rsid w:val="20885230"/>
    <w:rsid w:val="208F215E"/>
    <w:rsid w:val="20927085"/>
    <w:rsid w:val="209E05F3"/>
    <w:rsid w:val="20AF5A2A"/>
    <w:rsid w:val="20B3196B"/>
    <w:rsid w:val="20BB2F53"/>
    <w:rsid w:val="20C067BC"/>
    <w:rsid w:val="20C625BE"/>
    <w:rsid w:val="20D03D5B"/>
    <w:rsid w:val="20D3029D"/>
    <w:rsid w:val="20D31F65"/>
    <w:rsid w:val="20E501C2"/>
    <w:rsid w:val="20E73760"/>
    <w:rsid w:val="20E976FD"/>
    <w:rsid w:val="20FF7BEC"/>
    <w:rsid w:val="21015CD3"/>
    <w:rsid w:val="210B5D5A"/>
    <w:rsid w:val="210F6EF9"/>
    <w:rsid w:val="21163EB2"/>
    <w:rsid w:val="21173A2D"/>
    <w:rsid w:val="21182154"/>
    <w:rsid w:val="212A05E5"/>
    <w:rsid w:val="212C0FC8"/>
    <w:rsid w:val="213172AB"/>
    <w:rsid w:val="21366A7E"/>
    <w:rsid w:val="21370F3A"/>
    <w:rsid w:val="213847E2"/>
    <w:rsid w:val="213977FF"/>
    <w:rsid w:val="213D4028"/>
    <w:rsid w:val="2140665A"/>
    <w:rsid w:val="21444987"/>
    <w:rsid w:val="21452923"/>
    <w:rsid w:val="214C74B1"/>
    <w:rsid w:val="214D36B2"/>
    <w:rsid w:val="21682C5D"/>
    <w:rsid w:val="21685D4F"/>
    <w:rsid w:val="217A696B"/>
    <w:rsid w:val="218070FC"/>
    <w:rsid w:val="219B2840"/>
    <w:rsid w:val="21A65110"/>
    <w:rsid w:val="21A941E2"/>
    <w:rsid w:val="21AC7690"/>
    <w:rsid w:val="21AE4292"/>
    <w:rsid w:val="21B50DB5"/>
    <w:rsid w:val="21B921F9"/>
    <w:rsid w:val="21D1642A"/>
    <w:rsid w:val="21D24294"/>
    <w:rsid w:val="21D2794E"/>
    <w:rsid w:val="21DA137D"/>
    <w:rsid w:val="21ED74E8"/>
    <w:rsid w:val="21EF07CE"/>
    <w:rsid w:val="21F04457"/>
    <w:rsid w:val="21F459FD"/>
    <w:rsid w:val="221121BE"/>
    <w:rsid w:val="221913ED"/>
    <w:rsid w:val="22233125"/>
    <w:rsid w:val="22267AC4"/>
    <w:rsid w:val="22293012"/>
    <w:rsid w:val="222F3946"/>
    <w:rsid w:val="22322A36"/>
    <w:rsid w:val="22325497"/>
    <w:rsid w:val="22393C9A"/>
    <w:rsid w:val="223A2D60"/>
    <w:rsid w:val="223E2915"/>
    <w:rsid w:val="22492A65"/>
    <w:rsid w:val="224A3E72"/>
    <w:rsid w:val="224A7DE4"/>
    <w:rsid w:val="224B0307"/>
    <w:rsid w:val="224B6D26"/>
    <w:rsid w:val="224D2219"/>
    <w:rsid w:val="22552F34"/>
    <w:rsid w:val="22617DB9"/>
    <w:rsid w:val="226B2757"/>
    <w:rsid w:val="226F1B0F"/>
    <w:rsid w:val="2270292E"/>
    <w:rsid w:val="227831D5"/>
    <w:rsid w:val="227B35D8"/>
    <w:rsid w:val="227B6E3E"/>
    <w:rsid w:val="228032FB"/>
    <w:rsid w:val="2281374A"/>
    <w:rsid w:val="22816483"/>
    <w:rsid w:val="22831212"/>
    <w:rsid w:val="228B382F"/>
    <w:rsid w:val="2299040D"/>
    <w:rsid w:val="22993768"/>
    <w:rsid w:val="22AE306D"/>
    <w:rsid w:val="22B30586"/>
    <w:rsid w:val="22BC1235"/>
    <w:rsid w:val="22C75BE0"/>
    <w:rsid w:val="22C808B3"/>
    <w:rsid w:val="22CC581F"/>
    <w:rsid w:val="22CE51C0"/>
    <w:rsid w:val="22CF2CE6"/>
    <w:rsid w:val="22D35C2B"/>
    <w:rsid w:val="22D658F6"/>
    <w:rsid w:val="22E27417"/>
    <w:rsid w:val="22E569AE"/>
    <w:rsid w:val="22E74BEE"/>
    <w:rsid w:val="22E91FFA"/>
    <w:rsid w:val="22EE77CB"/>
    <w:rsid w:val="22F56BF1"/>
    <w:rsid w:val="22FD4B11"/>
    <w:rsid w:val="2309269C"/>
    <w:rsid w:val="230A0EC6"/>
    <w:rsid w:val="230C7097"/>
    <w:rsid w:val="230D63D3"/>
    <w:rsid w:val="231141B2"/>
    <w:rsid w:val="231C0838"/>
    <w:rsid w:val="231E6DD6"/>
    <w:rsid w:val="2322375E"/>
    <w:rsid w:val="232276D5"/>
    <w:rsid w:val="23300F16"/>
    <w:rsid w:val="23354B34"/>
    <w:rsid w:val="23423F7B"/>
    <w:rsid w:val="23471B50"/>
    <w:rsid w:val="23504531"/>
    <w:rsid w:val="2351194D"/>
    <w:rsid w:val="23533E91"/>
    <w:rsid w:val="235B294B"/>
    <w:rsid w:val="23667886"/>
    <w:rsid w:val="23681028"/>
    <w:rsid w:val="236835DD"/>
    <w:rsid w:val="236D6140"/>
    <w:rsid w:val="237941DE"/>
    <w:rsid w:val="237D017B"/>
    <w:rsid w:val="23874860"/>
    <w:rsid w:val="23897ED6"/>
    <w:rsid w:val="23903DC5"/>
    <w:rsid w:val="23971A56"/>
    <w:rsid w:val="239D0DA5"/>
    <w:rsid w:val="23A4207F"/>
    <w:rsid w:val="23B46605"/>
    <w:rsid w:val="23B95E70"/>
    <w:rsid w:val="23C93BD9"/>
    <w:rsid w:val="23CE2F9E"/>
    <w:rsid w:val="23DA2535"/>
    <w:rsid w:val="23DD6F9A"/>
    <w:rsid w:val="23E4512C"/>
    <w:rsid w:val="23F40C6C"/>
    <w:rsid w:val="23F73CA1"/>
    <w:rsid w:val="23F86007"/>
    <w:rsid w:val="23F94EEA"/>
    <w:rsid w:val="23FB06AD"/>
    <w:rsid w:val="240370EB"/>
    <w:rsid w:val="240518D6"/>
    <w:rsid w:val="24080908"/>
    <w:rsid w:val="24080C3D"/>
    <w:rsid w:val="240C739D"/>
    <w:rsid w:val="240E5F29"/>
    <w:rsid w:val="24103C22"/>
    <w:rsid w:val="24104D32"/>
    <w:rsid w:val="241708E8"/>
    <w:rsid w:val="2423223C"/>
    <w:rsid w:val="24234E02"/>
    <w:rsid w:val="2426102C"/>
    <w:rsid w:val="24273D52"/>
    <w:rsid w:val="24372406"/>
    <w:rsid w:val="243B113C"/>
    <w:rsid w:val="24457704"/>
    <w:rsid w:val="244871F4"/>
    <w:rsid w:val="244E383B"/>
    <w:rsid w:val="24507E57"/>
    <w:rsid w:val="245143CC"/>
    <w:rsid w:val="24556DAB"/>
    <w:rsid w:val="24572F93"/>
    <w:rsid w:val="247B6671"/>
    <w:rsid w:val="2484677F"/>
    <w:rsid w:val="2488000A"/>
    <w:rsid w:val="249811D3"/>
    <w:rsid w:val="249E0BC2"/>
    <w:rsid w:val="249F1388"/>
    <w:rsid w:val="24A161FE"/>
    <w:rsid w:val="24B10A4C"/>
    <w:rsid w:val="24B44889"/>
    <w:rsid w:val="24B82E1D"/>
    <w:rsid w:val="24B938FA"/>
    <w:rsid w:val="24B959FC"/>
    <w:rsid w:val="24BC729A"/>
    <w:rsid w:val="24C63D88"/>
    <w:rsid w:val="24C70B2B"/>
    <w:rsid w:val="24CF3AB8"/>
    <w:rsid w:val="24DE4BA0"/>
    <w:rsid w:val="24E077C8"/>
    <w:rsid w:val="24E5648B"/>
    <w:rsid w:val="24F94415"/>
    <w:rsid w:val="24FC34BD"/>
    <w:rsid w:val="25246342"/>
    <w:rsid w:val="2527505B"/>
    <w:rsid w:val="252D7218"/>
    <w:rsid w:val="2531527E"/>
    <w:rsid w:val="253C2FCE"/>
    <w:rsid w:val="25446635"/>
    <w:rsid w:val="25457290"/>
    <w:rsid w:val="25463E99"/>
    <w:rsid w:val="254B2D7B"/>
    <w:rsid w:val="25510998"/>
    <w:rsid w:val="255E4015"/>
    <w:rsid w:val="25674BCA"/>
    <w:rsid w:val="25693628"/>
    <w:rsid w:val="256E6821"/>
    <w:rsid w:val="256E7EF5"/>
    <w:rsid w:val="25717100"/>
    <w:rsid w:val="257827AD"/>
    <w:rsid w:val="257E79C7"/>
    <w:rsid w:val="258A1977"/>
    <w:rsid w:val="259E20C8"/>
    <w:rsid w:val="25AD6894"/>
    <w:rsid w:val="25B032A3"/>
    <w:rsid w:val="25B15DEA"/>
    <w:rsid w:val="25B5702C"/>
    <w:rsid w:val="25BF5294"/>
    <w:rsid w:val="25E83F35"/>
    <w:rsid w:val="25EA40D8"/>
    <w:rsid w:val="25F14F97"/>
    <w:rsid w:val="25F25669"/>
    <w:rsid w:val="25F5448E"/>
    <w:rsid w:val="26020EBD"/>
    <w:rsid w:val="26085EA8"/>
    <w:rsid w:val="26127ABA"/>
    <w:rsid w:val="26151152"/>
    <w:rsid w:val="26164BC3"/>
    <w:rsid w:val="261769C3"/>
    <w:rsid w:val="261847F8"/>
    <w:rsid w:val="26192BF6"/>
    <w:rsid w:val="262A4CCF"/>
    <w:rsid w:val="26302AEB"/>
    <w:rsid w:val="26322018"/>
    <w:rsid w:val="263C4B36"/>
    <w:rsid w:val="263E2991"/>
    <w:rsid w:val="264869FC"/>
    <w:rsid w:val="264A7029"/>
    <w:rsid w:val="264B49CB"/>
    <w:rsid w:val="264C261F"/>
    <w:rsid w:val="265579A6"/>
    <w:rsid w:val="26660A80"/>
    <w:rsid w:val="266C1907"/>
    <w:rsid w:val="266F2816"/>
    <w:rsid w:val="267B7D0C"/>
    <w:rsid w:val="267D0CDC"/>
    <w:rsid w:val="26851904"/>
    <w:rsid w:val="2685203A"/>
    <w:rsid w:val="26865312"/>
    <w:rsid w:val="26960A8F"/>
    <w:rsid w:val="269A08F6"/>
    <w:rsid w:val="269D0906"/>
    <w:rsid w:val="26A54DA5"/>
    <w:rsid w:val="26AB6F6E"/>
    <w:rsid w:val="26AF355A"/>
    <w:rsid w:val="26AF70B6"/>
    <w:rsid w:val="26B16CCA"/>
    <w:rsid w:val="26B4725E"/>
    <w:rsid w:val="26BD7394"/>
    <w:rsid w:val="26BE334A"/>
    <w:rsid w:val="26CE475E"/>
    <w:rsid w:val="26D3212E"/>
    <w:rsid w:val="26D43E20"/>
    <w:rsid w:val="26D47DFE"/>
    <w:rsid w:val="26D61796"/>
    <w:rsid w:val="26D854FC"/>
    <w:rsid w:val="26F23447"/>
    <w:rsid w:val="26F62EF1"/>
    <w:rsid w:val="27007912"/>
    <w:rsid w:val="27065F98"/>
    <w:rsid w:val="27072EEB"/>
    <w:rsid w:val="270C275B"/>
    <w:rsid w:val="270D0281"/>
    <w:rsid w:val="271051AF"/>
    <w:rsid w:val="27137062"/>
    <w:rsid w:val="271445F1"/>
    <w:rsid w:val="27147654"/>
    <w:rsid w:val="27167136"/>
    <w:rsid w:val="272321CB"/>
    <w:rsid w:val="27245A19"/>
    <w:rsid w:val="27270944"/>
    <w:rsid w:val="272A498F"/>
    <w:rsid w:val="272E127C"/>
    <w:rsid w:val="27337CE7"/>
    <w:rsid w:val="27402EB0"/>
    <w:rsid w:val="27473793"/>
    <w:rsid w:val="27487146"/>
    <w:rsid w:val="274A456D"/>
    <w:rsid w:val="275D5474"/>
    <w:rsid w:val="27616C96"/>
    <w:rsid w:val="27650A03"/>
    <w:rsid w:val="27653C19"/>
    <w:rsid w:val="27694BFB"/>
    <w:rsid w:val="27716A62"/>
    <w:rsid w:val="277364A4"/>
    <w:rsid w:val="27826579"/>
    <w:rsid w:val="278A123C"/>
    <w:rsid w:val="279651FE"/>
    <w:rsid w:val="279D7857"/>
    <w:rsid w:val="27AB392B"/>
    <w:rsid w:val="27AC314D"/>
    <w:rsid w:val="27AE4BD0"/>
    <w:rsid w:val="27C272BD"/>
    <w:rsid w:val="27CE5C62"/>
    <w:rsid w:val="27D52160"/>
    <w:rsid w:val="27D52B4D"/>
    <w:rsid w:val="27E169D0"/>
    <w:rsid w:val="27E41EF6"/>
    <w:rsid w:val="27E62EDB"/>
    <w:rsid w:val="27EA7108"/>
    <w:rsid w:val="27EB7149"/>
    <w:rsid w:val="27EC2A57"/>
    <w:rsid w:val="27EE00B2"/>
    <w:rsid w:val="27FD1F46"/>
    <w:rsid w:val="27FE3141"/>
    <w:rsid w:val="28006749"/>
    <w:rsid w:val="28094823"/>
    <w:rsid w:val="28146392"/>
    <w:rsid w:val="281A7007"/>
    <w:rsid w:val="281F201A"/>
    <w:rsid w:val="28232107"/>
    <w:rsid w:val="28240DEC"/>
    <w:rsid w:val="282615FA"/>
    <w:rsid w:val="28285F55"/>
    <w:rsid w:val="282E6701"/>
    <w:rsid w:val="283830DC"/>
    <w:rsid w:val="283B1C5C"/>
    <w:rsid w:val="283C1372"/>
    <w:rsid w:val="284946F8"/>
    <w:rsid w:val="284D71EB"/>
    <w:rsid w:val="28515440"/>
    <w:rsid w:val="285162F7"/>
    <w:rsid w:val="28521113"/>
    <w:rsid w:val="28546167"/>
    <w:rsid w:val="285A74F6"/>
    <w:rsid w:val="285B6027"/>
    <w:rsid w:val="285C3708"/>
    <w:rsid w:val="285D63EA"/>
    <w:rsid w:val="285F5577"/>
    <w:rsid w:val="2863753D"/>
    <w:rsid w:val="2864407A"/>
    <w:rsid w:val="2869231B"/>
    <w:rsid w:val="28801A02"/>
    <w:rsid w:val="288051AE"/>
    <w:rsid w:val="2882747B"/>
    <w:rsid w:val="2887590C"/>
    <w:rsid w:val="28895D2A"/>
    <w:rsid w:val="28932F73"/>
    <w:rsid w:val="289B377E"/>
    <w:rsid w:val="289E2696"/>
    <w:rsid w:val="28A85068"/>
    <w:rsid w:val="28A91374"/>
    <w:rsid w:val="28AD13AF"/>
    <w:rsid w:val="28BE5BA8"/>
    <w:rsid w:val="28BF3AB9"/>
    <w:rsid w:val="28C01A4F"/>
    <w:rsid w:val="28D20CF1"/>
    <w:rsid w:val="28D252DE"/>
    <w:rsid w:val="28D532FD"/>
    <w:rsid w:val="28DE3608"/>
    <w:rsid w:val="28DF1133"/>
    <w:rsid w:val="28DF442B"/>
    <w:rsid w:val="28E05C4D"/>
    <w:rsid w:val="28E62B38"/>
    <w:rsid w:val="28E746CB"/>
    <w:rsid w:val="28F23E21"/>
    <w:rsid w:val="28F83260"/>
    <w:rsid w:val="290D27BA"/>
    <w:rsid w:val="291122AA"/>
    <w:rsid w:val="291476CB"/>
    <w:rsid w:val="291713B6"/>
    <w:rsid w:val="29257692"/>
    <w:rsid w:val="292A511A"/>
    <w:rsid w:val="292B3CB4"/>
    <w:rsid w:val="292E2959"/>
    <w:rsid w:val="293A5848"/>
    <w:rsid w:val="293E5013"/>
    <w:rsid w:val="29476208"/>
    <w:rsid w:val="294D73C5"/>
    <w:rsid w:val="294E18B8"/>
    <w:rsid w:val="296028EA"/>
    <w:rsid w:val="29637C7E"/>
    <w:rsid w:val="2964138E"/>
    <w:rsid w:val="29671ECA"/>
    <w:rsid w:val="296A61DF"/>
    <w:rsid w:val="296B0147"/>
    <w:rsid w:val="29732CBD"/>
    <w:rsid w:val="297A3BDE"/>
    <w:rsid w:val="298365D8"/>
    <w:rsid w:val="298C5FB5"/>
    <w:rsid w:val="29995DFC"/>
    <w:rsid w:val="29997556"/>
    <w:rsid w:val="299B31A4"/>
    <w:rsid w:val="299D769A"/>
    <w:rsid w:val="29A9603F"/>
    <w:rsid w:val="29BA72D4"/>
    <w:rsid w:val="29C14AF6"/>
    <w:rsid w:val="29C3221B"/>
    <w:rsid w:val="29C56CCF"/>
    <w:rsid w:val="29D532D8"/>
    <w:rsid w:val="29D67050"/>
    <w:rsid w:val="29DD4003"/>
    <w:rsid w:val="29DF0E0C"/>
    <w:rsid w:val="29EA6047"/>
    <w:rsid w:val="29ED2918"/>
    <w:rsid w:val="29EF1B54"/>
    <w:rsid w:val="29F23E8A"/>
    <w:rsid w:val="29FB11A5"/>
    <w:rsid w:val="2A066E26"/>
    <w:rsid w:val="2A0A64AC"/>
    <w:rsid w:val="2A1E2567"/>
    <w:rsid w:val="2A1F4553"/>
    <w:rsid w:val="2A3C7A72"/>
    <w:rsid w:val="2A4E3245"/>
    <w:rsid w:val="2A4E3A29"/>
    <w:rsid w:val="2A4E4E38"/>
    <w:rsid w:val="2A583579"/>
    <w:rsid w:val="2A59047D"/>
    <w:rsid w:val="2A5D147D"/>
    <w:rsid w:val="2A672B4A"/>
    <w:rsid w:val="2A822758"/>
    <w:rsid w:val="2A88034A"/>
    <w:rsid w:val="2A97650C"/>
    <w:rsid w:val="2A9941D9"/>
    <w:rsid w:val="2AA46EFE"/>
    <w:rsid w:val="2AA7245F"/>
    <w:rsid w:val="2AB326B5"/>
    <w:rsid w:val="2AC75919"/>
    <w:rsid w:val="2AC821F8"/>
    <w:rsid w:val="2AC941E7"/>
    <w:rsid w:val="2ACB46DB"/>
    <w:rsid w:val="2ADB4038"/>
    <w:rsid w:val="2AFB189F"/>
    <w:rsid w:val="2AFF6F29"/>
    <w:rsid w:val="2B006133"/>
    <w:rsid w:val="2B041642"/>
    <w:rsid w:val="2B0574D3"/>
    <w:rsid w:val="2B070DA4"/>
    <w:rsid w:val="2B133D68"/>
    <w:rsid w:val="2B1A0E89"/>
    <w:rsid w:val="2B1E0797"/>
    <w:rsid w:val="2B1E6801"/>
    <w:rsid w:val="2B2160A9"/>
    <w:rsid w:val="2B230073"/>
    <w:rsid w:val="2B2670A9"/>
    <w:rsid w:val="2B2F6A18"/>
    <w:rsid w:val="2B371F54"/>
    <w:rsid w:val="2B395901"/>
    <w:rsid w:val="2B3E6C5B"/>
    <w:rsid w:val="2B4040E8"/>
    <w:rsid w:val="2B464975"/>
    <w:rsid w:val="2B466BDE"/>
    <w:rsid w:val="2B485D2C"/>
    <w:rsid w:val="2B4A399B"/>
    <w:rsid w:val="2B53235B"/>
    <w:rsid w:val="2B541789"/>
    <w:rsid w:val="2B7C2C61"/>
    <w:rsid w:val="2B7C6B03"/>
    <w:rsid w:val="2B885AF6"/>
    <w:rsid w:val="2B886128"/>
    <w:rsid w:val="2B8A5ACE"/>
    <w:rsid w:val="2B8E637F"/>
    <w:rsid w:val="2B9300A4"/>
    <w:rsid w:val="2B97299F"/>
    <w:rsid w:val="2B98280F"/>
    <w:rsid w:val="2B991AD8"/>
    <w:rsid w:val="2B9D30B7"/>
    <w:rsid w:val="2B9D3EE1"/>
    <w:rsid w:val="2BA03472"/>
    <w:rsid w:val="2BA2790E"/>
    <w:rsid w:val="2BA701E4"/>
    <w:rsid w:val="2BAD4998"/>
    <w:rsid w:val="2BAE2033"/>
    <w:rsid w:val="2BBD4024"/>
    <w:rsid w:val="2BBE6B70"/>
    <w:rsid w:val="2BCA04EF"/>
    <w:rsid w:val="2BCA262F"/>
    <w:rsid w:val="2BD002C0"/>
    <w:rsid w:val="2BDD6474"/>
    <w:rsid w:val="2BE23AB2"/>
    <w:rsid w:val="2BE92256"/>
    <w:rsid w:val="2BEF61A7"/>
    <w:rsid w:val="2BF50A15"/>
    <w:rsid w:val="2BFC1057"/>
    <w:rsid w:val="2C0227BF"/>
    <w:rsid w:val="2C046E85"/>
    <w:rsid w:val="2C0954BB"/>
    <w:rsid w:val="2C0B2222"/>
    <w:rsid w:val="2C0C2516"/>
    <w:rsid w:val="2C0F7A47"/>
    <w:rsid w:val="2C222168"/>
    <w:rsid w:val="2C2318E2"/>
    <w:rsid w:val="2C293467"/>
    <w:rsid w:val="2C2C334C"/>
    <w:rsid w:val="2C2E1796"/>
    <w:rsid w:val="2C393DC1"/>
    <w:rsid w:val="2C3F0508"/>
    <w:rsid w:val="2C3F0DF8"/>
    <w:rsid w:val="2C4856DB"/>
    <w:rsid w:val="2C4C40DF"/>
    <w:rsid w:val="2C534988"/>
    <w:rsid w:val="2C596854"/>
    <w:rsid w:val="2C5F4A5E"/>
    <w:rsid w:val="2C664721"/>
    <w:rsid w:val="2C6975CB"/>
    <w:rsid w:val="2C7433D9"/>
    <w:rsid w:val="2C7A0167"/>
    <w:rsid w:val="2C857525"/>
    <w:rsid w:val="2C862845"/>
    <w:rsid w:val="2C866B0B"/>
    <w:rsid w:val="2C9710BC"/>
    <w:rsid w:val="2C99063E"/>
    <w:rsid w:val="2C9A623A"/>
    <w:rsid w:val="2C9B7048"/>
    <w:rsid w:val="2C9D515E"/>
    <w:rsid w:val="2CA7626C"/>
    <w:rsid w:val="2CB76312"/>
    <w:rsid w:val="2CC76319"/>
    <w:rsid w:val="2CCD64E8"/>
    <w:rsid w:val="2CDC78D3"/>
    <w:rsid w:val="2CE4025A"/>
    <w:rsid w:val="2CF01806"/>
    <w:rsid w:val="2CFC1C57"/>
    <w:rsid w:val="2CFD5E59"/>
    <w:rsid w:val="2D095047"/>
    <w:rsid w:val="2D097EA7"/>
    <w:rsid w:val="2D12214D"/>
    <w:rsid w:val="2D162A2C"/>
    <w:rsid w:val="2D177054"/>
    <w:rsid w:val="2D2872DC"/>
    <w:rsid w:val="2D2B53E8"/>
    <w:rsid w:val="2D342A02"/>
    <w:rsid w:val="2D3622E0"/>
    <w:rsid w:val="2D381875"/>
    <w:rsid w:val="2D385936"/>
    <w:rsid w:val="2D3B59C9"/>
    <w:rsid w:val="2D475DBB"/>
    <w:rsid w:val="2D4969E4"/>
    <w:rsid w:val="2D572256"/>
    <w:rsid w:val="2D5942AB"/>
    <w:rsid w:val="2D5E5392"/>
    <w:rsid w:val="2D5F6558"/>
    <w:rsid w:val="2D606289"/>
    <w:rsid w:val="2D631361"/>
    <w:rsid w:val="2D6D1A79"/>
    <w:rsid w:val="2D7144F6"/>
    <w:rsid w:val="2D726824"/>
    <w:rsid w:val="2D727074"/>
    <w:rsid w:val="2D7B3F96"/>
    <w:rsid w:val="2D7D667B"/>
    <w:rsid w:val="2D7E3C87"/>
    <w:rsid w:val="2D9275E4"/>
    <w:rsid w:val="2D960FD0"/>
    <w:rsid w:val="2D9C5EBB"/>
    <w:rsid w:val="2DA03BFD"/>
    <w:rsid w:val="2DA27975"/>
    <w:rsid w:val="2DAA2934"/>
    <w:rsid w:val="2DAD7D5D"/>
    <w:rsid w:val="2DB1434B"/>
    <w:rsid w:val="2DB30B2D"/>
    <w:rsid w:val="2DB41CD0"/>
    <w:rsid w:val="2DBE4083"/>
    <w:rsid w:val="2DCE076A"/>
    <w:rsid w:val="2DD50EF2"/>
    <w:rsid w:val="2DD56F1C"/>
    <w:rsid w:val="2DD62493"/>
    <w:rsid w:val="2DDF4725"/>
    <w:rsid w:val="2DE141FF"/>
    <w:rsid w:val="2DE25FC3"/>
    <w:rsid w:val="2DEA6EEF"/>
    <w:rsid w:val="2DF753B8"/>
    <w:rsid w:val="2DF75881"/>
    <w:rsid w:val="2DF8766F"/>
    <w:rsid w:val="2E192556"/>
    <w:rsid w:val="2E1B0E87"/>
    <w:rsid w:val="2E1D524D"/>
    <w:rsid w:val="2E205DF9"/>
    <w:rsid w:val="2E227C9B"/>
    <w:rsid w:val="2E29108B"/>
    <w:rsid w:val="2E2B2215"/>
    <w:rsid w:val="2E2D07CA"/>
    <w:rsid w:val="2E2D2125"/>
    <w:rsid w:val="2E356016"/>
    <w:rsid w:val="2E360C46"/>
    <w:rsid w:val="2E3971C3"/>
    <w:rsid w:val="2E3A1620"/>
    <w:rsid w:val="2E3C0114"/>
    <w:rsid w:val="2E406D4C"/>
    <w:rsid w:val="2E407534"/>
    <w:rsid w:val="2E445BBA"/>
    <w:rsid w:val="2E514EF7"/>
    <w:rsid w:val="2E515C57"/>
    <w:rsid w:val="2E5D564A"/>
    <w:rsid w:val="2E5E4EB4"/>
    <w:rsid w:val="2E6032C6"/>
    <w:rsid w:val="2E741872"/>
    <w:rsid w:val="2E770AD4"/>
    <w:rsid w:val="2E774F14"/>
    <w:rsid w:val="2E800A56"/>
    <w:rsid w:val="2E8A3F7F"/>
    <w:rsid w:val="2E960617"/>
    <w:rsid w:val="2E9A5472"/>
    <w:rsid w:val="2EA74C7B"/>
    <w:rsid w:val="2EB5143F"/>
    <w:rsid w:val="2EB652CD"/>
    <w:rsid w:val="2EB86648"/>
    <w:rsid w:val="2EBF0D0B"/>
    <w:rsid w:val="2ED212DF"/>
    <w:rsid w:val="2ED9627C"/>
    <w:rsid w:val="2EDA6C9B"/>
    <w:rsid w:val="2EE66344"/>
    <w:rsid w:val="2EE72D23"/>
    <w:rsid w:val="2EEC4200"/>
    <w:rsid w:val="2EF131DF"/>
    <w:rsid w:val="2EF96BA3"/>
    <w:rsid w:val="2EFA49CA"/>
    <w:rsid w:val="2F033D3A"/>
    <w:rsid w:val="2F0918EF"/>
    <w:rsid w:val="2F0E4548"/>
    <w:rsid w:val="2F171C9D"/>
    <w:rsid w:val="2F2546BC"/>
    <w:rsid w:val="2F2B74F6"/>
    <w:rsid w:val="2F2D63B9"/>
    <w:rsid w:val="2F2E62DF"/>
    <w:rsid w:val="2F307B91"/>
    <w:rsid w:val="2F340A92"/>
    <w:rsid w:val="2F347963"/>
    <w:rsid w:val="2F381567"/>
    <w:rsid w:val="2F430CE4"/>
    <w:rsid w:val="2F4B0CF7"/>
    <w:rsid w:val="2F4D5262"/>
    <w:rsid w:val="2F4F02E0"/>
    <w:rsid w:val="2F603644"/>
    <w:rsid w:val="2F681BAF"/>
    <w:rsid w:val="2F6824F8"/>
    <w:rsid w:val="2F686CB9"/>
    <w:rsid w:val="2F69783B"/>
    <w:rsid w:val="2F6C374C"/>
    <w:rsid w:val="2F6F3887"/>
    <w:rsid w:val="2F7119CE"/>
    <w:rsid w:val="2F814AAA"/>
    <w:rsid w:val="2F8456F0"/>
    <w:rsid w:val="2F8530AA"/>
    <w:rsid w:val="2F886F8D"/>
    <w:rsid w:val="2F93368A"/>
    <w:rsid w:val="2F963509"/>
    <w:rsid w:val="2FA54B16"/>
    <w:rsid w:val="2FA74B85"/>
    <w:rsid w:val="2FA83F6C"/>
    <w:rsid w:val="2FAC053D"/>
    <w:rsid w:val="2FB10523"/>
    <w:rsid w:val="2FB76FDC"/>
    <w:rsid w:val="2FC31C06"/>
    <w:rsid w:val="2FC5794B"/>
    <w:rsid w:val="2FCA162A"/>
    <w:rsid w:val="2FCD3101"/>
    <w:rsid w:val="2FD91648"/>
    <w:rsid w:val="2FDB0F1C"/>
    <w:rsid w:val="2FDD33D5"/>
    <w:rsid w:val="2FE83906"/>
    <w:rsid w:val="2FEF49C8"/>
    <w:rsid w:val="2FF0411A"/>
    <w:rsid w:val="2FF50D43"/>
    <w:rsid w:val="2FF62085"/>
    <w:rsid w:val="2FF723D7"/>
    <w:rsid w:val="2FF86BC7"/>
    <w:rsid w:val="2FF87D20"/>
    <w:rsid w:val="2FF921CA"/>
    <w:rsid w:val="2FFF4760"/>
    <w:rsid w:val="30003CCF"/>
    <w:rsid w:val="30071D11"/>
    <w:rsid w:val="30073BA1"/>
    <w:rsid w:val="30251B4E"/>
    <w:rsid w:val="302C73AD"/>
    <w:rsid w:val="30313418"/>
    <w:rsid w:val="30332B06"/>
    <w:rsid w:val="30365289"/>
    <w:rsid w:val="303C14D4"/>
    <w:rsid w:val="30403475"/>
    <w:rsid w:val="3051460D"/>
    <w:rsid w:val="3055520D"/>
    <w:rsid w:val="305C2BB0"/>
    <w:rsid w:val="30666986"/>
    <w:rsid w:val="3067746C"/>
    <w:rsid w:val="307373A7"/>
    <w:rsid w:val="307B079D"/>
    <w:rsid w:val="3084381D"/>
    <w:rsid w:val="30855B7E"/>
    <w:rsid w:val="30871872"/>
    <w:rsid w:val="308D5490"/>
    <w:rsid w:val="30901D07"/>
    <w:rsid w:val="30933236"/>
    <w:rsid w:val="309348AC"/>
    <w:rsid w:val="309B64D2"/>
    <w:rsid w:val="30A60E58"/>
    <w:rsid w:val="30AA21F6"/>
    <w:rsid w:val="30AC28CA"/>
    <w:rsid w:val="30AC4667"/>
    <w:rsid w:val="30AE1C97"/>
    <w:rsid w:val="30B05F05"/>
    <w:rsid w:val="30B1381D"/>
    <w:rsid w:val="30B344EE"/>
    <w:rsid w:val="30B3458D"/>
    <w:rsid w:val="30B45DD2"/>
    <w:rsid w:val="30BC0D4E"/>
    <w:rsid w:val="30C93833"/>
    <w:rsid w:val="30D20571"/>
    <w:rsid w:val="30D342E9"/>
    <w:rsid w:val="30D8022C"/>
    <w:rsid w:val="30E444FD"/>
    <w:rsid w:val="30EB518F"/>
    <w:rsid w:val="30F01C9E"/>
    <w:rsid w:val="30F02F95"/>
    <w:rsid w:val="30F57DBC"/>
    <w:rsid w:val="30FA7AC8"/>
    <w:rsid w:val="3102072B"/>
    <w:rsid w:val="3103697D"/>
    <w:rsid w:val="3112116C"/>
    <w:rsid w:val="311832DC"/>
    <w:rsid w:val="311B1427"/>
    <w:rsid w:val="31215055"/>
    <w:rsid w:val="31267258"/>
    <w:rsid w:val="31374878"/>
    <w:rsid w:val="313D29B3"/>
    <w:rsid w:val="314B0065"/>
    <w:rsid w:val="315216B2"/>
    <w:rsid w:val="31577924"/>
    <w:rsid w:val="31583564"/>
    <w:rsid w:val="315B08C3"/>
    <w:rsid w:val="315B53F2"/>
    <w:rsid w:val="315D2902"/>
    <w:rsid w:val="315D2D63"/>
    <w:rsid w:val="315E3BB3"/>
    <w:rsid w:val="315E567F"/>
    <w:rsid w:val="315E7999"/>
    <w:rsid w:val="316705AE"/>
    <w:rsid w:val="318956D7"/>
    <w:rsid w:val="31897A1D"/>
    <w:rsid w:val="319677F1"/>
    <w:rsid w:val="3199108F"/>
    <w:rsid w:val="319B3F06"/>
    <w:rsid w:val="319E2316"/>
    <w:rsid w:val="31AB491E"/>
    <w:rsid w:val="31AD2691"/>
    <w:rsid w:val="31AD4FCE"/>
    <w:rsid w:val="31B428CD"/>
    <w:rsid w:val="31BD3EBE"/>
    <w:rsid w:val="31C003CA"/>
    <w:rsid w:val="31C862E6"/>
    <w:rsid w:val="31C9476D"/>
    <w:rsid w:val="31C97385"/>
    <w:rsid w:val="31CD4A84"/>
    <w:rsid w:val="31CD6788"/>
    <w:rsid w:val="31D137B6"/>
    <w:rsid w:val="31D44F80"/>
    <w:rsid w:val="31D45E2F"/>
    <w:rsid w:val="31DA7BA3"/>
    <w:rsid w:val="31E16592"/>
    <w:rsid w:val="31E33BC6"/>
    <w:rsid w:val="31E70D5C"/>
    <w:rsid w:val="31F44517"/>
    <w:rsid w:val="31F7556C"/>
    <w:rsid w:val="320209E2"/>
    <w:rsid w:val="32056724"/>
    <w:rsid w:val="320F75A3"/>
    <w:rsid w:val="321759BB"/>
    <w:rsid w:val="321B5F48"/>
    <w:rsid w:val="32285F6F"/>
    <w:rsid w:val="322B5901"/>
    <w:rsid w:val="322F37A1"/>
    <w:rsid w:val="32354C8C"/>
    <w:rsid w:val="323B55B4"/>
    <w:rsid w:val="32462E45"/>
    <w:rsid w:val="32462EA8"/>
    <w:rsid w:val="32497112"/>
    <w:rsid w:val="324E6B54"/>
    <w:rsid w:val="32655031"/>
    <w:rsid w:val="326B510C"/>
    <w:rsid w:val="326B70BC"/>
    <w:rsid w:val="326C0551"/>
    <w:rsid w:val="32744DCF"/>
    <w:rsid w:val="3277032D"/>
    <w:rsid w:val="327C0F63"/>
    <w:rsid w:val="32850DED"/>
    <w:rsid w:val="3290021F"/>
    <w:rsid w:val="329007E7"/>
    <w:rsid w:val="3293571F"/>
    <w:rsid w:val="32937786"/>
    <w:rsid w:val="329539B4"/>
    <w:rsid w:val="32963129"/>
    <w:rsid w:val="329A2132"/>
    <w:rsid w:val="329C4690"/>
    <w:rsid w:val="329D276F"/>
    <w:rsid w:val="329E10E8"/>
    <w:rsid w:val="32A73338"/>
    <w:rsid w:val="32AA2E28"/>
    <w:rsid w:val="32B369D2"/>
    <w:rsid w:val="32BD2B5B"/>
    <w:rsid w:val="32C20D2E"/>
    <w:rsid w:val="32C3230A"/>
    <w:rsid w:val="32C57C62"/>
    <w:rsid w:val="32D72543"/>
    <w:rsid w:val="32D75BF8"/>
    <w:rsid w:val="32EE540A"/>
    <w:rsid w:val="32F50547"/>
    <w:rsid w:val="32FD564D"/>
    <w:rsid w:val="32FF5D70"/>
    <w:rsid w:val="33042538"/>
    <w:rsid w:val="3305465A"/>
    <w:rsid w:val="330F080D"/>
    <w:rsid w:val="331335E7"/>
    <w:rsid w:val="3316302A"/>
    <w:rsid w:val="33180C87"/>
    <w:rsid w:val="332A12A6"/>
    <w:rsid w:val="333D07A7"/>
    <w:rsid w:val="333D5A4A"/>
    <w:rsid w:val="3341198B"/>
    <w:rsid w:val="335222DF"/>
    <w:rsid w:val="33552D94"/>
    <w:rsid w:val="335E60EC"/>
    <w:rsid w:val="336A2CE3"/>
    <w:rsid w:val="336B4E54"/>
    <w:rsid w:val="336D071C"/>
    <w:rsid w:val="336D27D3"/>
    <w:rsid w:val="337C2A16"/>
    <w:rsid w:val="337D24C5"/>
    <w:rsid w:val="338C56CE"/>
    <w:rsid w:val="33910BC7"/>
    <w:rsid w:val="33921FCA"/>
    <w:rsid w:val="339E473B"/>
    <w:rsid w:val="33A1089D"/>
    <w:rsid w:val="33AE3994"/>
    <w:rsid w:val="33C25E53"/>
    <w:rsid w:val="33D740F0"/>
    <w:rsid w:val="33DA225A"/>
    <w:rsid w:val="33E31CFF"/>
    <w:rsid w:val="33E94FD5"/>
    <w:rsid w:val="33ED121E"/>
    <w:rsid w:val="33F547DF"/>
    <w:rsid w:val="33F95861"/>
    <w:rsid w:val="33FB1B8D"/>
    <w:rsid w:val="34007363"/>
    <w:rsid w:val="341B5F05"/>
    <w:rsid w:val="341F5CAA"/>
    <w:rsid w:val="3421711A"/>
    <w:rsid w:val="34222A8F"/>
    <w:rsid w:val="342476F0"/>
    <w:rsid w:val="342B483B"/>
    <w:rsid w:val="34490438"/>
    <w:rsid w:val="344A2B14"/>
    <w:rsid w:val="34527864"/>
    <w:rsid w:val="34581822"/>
    <w:rsid w:val="345F4792"/>
    <w:rsid w:val="346239BA"/>
    <w:rsid w:val="34625D9E"/>
    <w:rsid w:val="34645984"/>
    <w:rsid w:val="346911EC"/>
    <w:rsid w:val="34735BC7"/>
    <w:rsid w:val="34747D11"/>
    <w:rsid w:val="3484581C"/>
    <w:rsid w:val="348F51F1"/>
    <w:rsid w:val="34951365"/>
    <w:rsid w:val="34967692"/>
    <w:rsid w:val="349F37F0"/>
    <w:rsid w:val="34A21FE7"/>
    <w:rsid w:val="34A25DE9"/>
    <w:rsid w:val="34BE58AC"/>
    <w:rsid w:val="34C80C31"/>
    <w:rsid w:val="34D92559"/>
    <w:rsid w:val="34DA1EC8"/>
    <w:rsid w:val="34E66F0D"/>
    <w:rsid w:val="34EC5201"/>
    <w:rsid w:val="34F10739"/>
    <w:rsid w:val="34F14D3E"/>
    <w:rsid w:val="34FF1FCD"/>
    <w:rsid w:val="35004F81"/>
    <w:rsid w:val="3509652C"/>
    <w:rsid w:val="350C2AEE"/>
    <w:rsid w:val="351009AA"/>
    <w:rsid w:val="351244D7"/>
    <w:rsid w:val="351C750D"/>
    <w:rsid w:val="35236CE8"/>
    <w:rsid w:val="352A733C"/>
    <w:rsid w:val="35386E11"/>
    <w:rsid w:val="353F5B58"/>
    <w:rsid w:val="35414117"/>
    <w:rsid w:val="35424F6A"/>
    <w:rsid w:val="35492DCC"/>
    <w:rsid w:val="35492E5C"/>
    <w:rsid w:val="35501683"/>
    <w:rsid w:val="35521C81"/>
    <w:rsid w:val="35545D33"/>
    <w:rsid w:val="35631C2F"/>
    <w:rsid w:val="356A337F"/>
    <w:rsid w:val="35704521"/>
    <w:rsid w:val="3579380D"/>
    <w:rsid w:val="3580179B"/>
    <w:rsid w:val="3594385C"/>
    <w:rsid w:val="35963E00"/>
    <w:rsid w:val="35A047D2"/>
    <w:rsid w:val="35A26038"/>
    <w:rsid w:val="35AD6EB7"/>
    <w:rsid w:val="35C42B26"/>
    <w:rsid w:val="35CC47E4"/>
    <w:rsid w:val="35CD739C"/>
    <w:rsid w:val="35D04554"/>
    <w:rsid w:val="35D72186"/>
    <w:rsid w:val="35D91940"/>
    <w:rsid w:val="35DF6904"/>
    <w:rsid w:val="35E65EA1"/>
    <w:rsid w:val="35EC2C38"/>
    <w:rsid w:val="35EE373A"/>
    <w:rsid w:val="35F5085E"/>
    <w:rsid w:val="35F76384"/>
    <w:rsid w:val="35F81695"/>
    <w:rsid w:val="35F85492"/>
    <w:rsid w:val="35FA5E74"/>
    <w:rsid w:val="35FD4E6E"/>
    <w:rsid w:val="3602431F"/>
    <w:rsid w:val="360A4309"/>
    <w:rsid w:val="361070DA"/>
    <w:rsid w:val="361B3825"/>
    <w:rsid w:val="361B75E6"/>
    <w:rsid w:val="362353CB"/>
    <w:rsid w:val="362647E9"/>
    <w:rsid w:val="363231F4"/>
    <w:rsid w:val="363948D7"/>
    <w:rsid w:val="364200E8"/>
    <w:rsid w:val="36513431"/>
    <w:rsid w:val="3652180C"/>
    <w:rsid w:val="366B28CE"/>
    <w:rsid w:val="36754C9F"/>
    <w:rsid w:val="36767359"/>
    <w:rsid w:val="3682294B"/>
    <w:rsid w:val="36831D2F"/>
    <w:rsid w:val="36887BC6"/>
    <w:rsid w:val="36932551"/>
    <w:rsid w:val="369B4131"/>
    <w:rsid w:val="369E0EF6"/>
    <w:rsid w:val="36A04E6A"/>
    <w:rsid w:val="36A55DE0"/>
    <w:rsid w:val="36B45C75"/>
    <w:rsid w:val="36B64735"/>
    <w:rsid w:val="36B668F7"/>
    <w:rsid w:val="36B90A03"/>
    <w:rsid w:val="36BB1AA7"/>
    <w:rsid w:val="36BE6EA2"/>
    <w:rsid w:val="36C21935"/>
    <w:rsid w:val="36C66E7F"/>
    <w:rsid w:val="36C82392"/>
    <w:rsid w:val="36C95800"/>
    <w:rsid w:val="36CD4BA6"/>
    <w:rsid w:val="36CE7695"/>
    <w:rsid w:val="36D641EB"/>
    <w:rsid w:val="36DE0B03"/>
    <w:rsid w:val="36E13812"/>
    <w:rsid w:val="36E22311"/>
    <w:rsid w:val="36EF7B43"/>
    <w:rsid w:val="36F06956"/>
    <w:rsid w:val="36F9612C"/>
    <w:rsid w:val="36FF7BE6"/>
    <w:rsid w:val="370F2188"/>
    <w:rsid w:val="371558F2"/>
    <w:rsid w:val="37166B10"/>
    <w:rsid w:val="37182C40"/>
    <w:rsid w:val="37190FA2"/>
    <w:rsid w:val="371B578F"/>
    <w:rsid w:val="371D3197"/>
    <w:rsid w:val="371F3DE4"/>
    <w:rsid w:val="37247515"/>
    <w:rsid w:val="37250DEE"/>
    <w:rsid w:val="3725780B"/>
    <w:rsid w:val="37347124"/>
    <w:rsid w:val="373553B6"/>
    <w:rsid w:val="37366B4B"/>
    <w:rsid w:val="373A4316"/>
    <w:rsid w:val="373D24BC"/>
    <w:rsid w:val="373F66A7"/>
    <w:rsid w:val="37425E38"/>
    <w:rsid w:val="37472206"/>
    <w:rsid w:val="374A09DA"/>
    <w:rsid w:val="37543218"/>
    <w:rsid w:val="37667923"/>
    <w:rsid w:val="37676577"/>
    <w:rsid w:val="376B702A"/>
    <w:rsid w:val="376E6213"/>
    <w:rsid w:val="3794468B"/>
    <w:rsid w:val="3799698F"/>
    <w:rsid w:val="37A816E2"/>
    <w:rsid w:val="37B34AF6"/>
    <w:rsid w:val="37B85E1E"/>
    <w:rsid w:val="37BB0D76"/>
    <w:rsid w:val="37BF7ACB"/>
    <w:rsid w:val="37C06FBB"/>
    <w:rsid w:val="37C175C4"/>
    <w:rsid w:val="37C87C2A"/>
    <w:rsid w:val="37C93933"/>
    <w:rsid w:val="37CC1F8F"/>
    <w:rsid w:val="37D35D76"/>
    <w:rsid w:val="37ED431B"/>
    <w:rsid w:val="37EF51D9"/>
    <w:rsid w:val="37EF6873"/>
    <w:rsid w:val="38017A41"/>
    <w:rsid w:val="380C5BEE"/>
    <w:rsid w:val="380D1E8F"/>
    <w:rsid w:val="38125217"/>
    <w:rsid w:val="381C3FE9"/>
    <w:rsid w:val="382B1499"/>
    <w:rsid w:val="382F0057"/>
    <w:rsid w:val="383C112A"/>
    <w:rsid w:val="383E029A"/>
    <w:rsid w:val="384024D5"/>
    <w:rsid w:val="384C6AEC"/>
    <w:rsid w:val="384D4981"/>
    <w:rsid w:val="384F57FA"/>
    <w:rsid w:val="38554BDD"/>
    <w:rsid w:val="385B7B3C"/>
    <w:rsid w:val="385D1001"/>
    <w:rsid w:val="386046B4"/>
    <w:rsid w:val="38630EDC"/>
    <w:rsid w:val="38637D01"/>
    <w:rsid w:val="38661B0D"/>
    <w:rsid w:val="38664899"/>
    <w:rsid w:val="38776C02"/>
    <w:rsid w:val="387D342B"/>
    <w:rsid w:val="387D7E98"/>
    <w:rsid w:val="38832151"/>
    <w:rsid w:val="3887218E"/>
    <w:rsid w:val="388C0653"/>
    <w:rsid w:val="38910D12"/>
    <w:rsid w:val="3891486E"/>
    <w:rsid w:val="38925295"/>
    <w:rsid w:val="38987002"/>
    <w:rsid w:val="38A52C6C"/>
    <w:rsid w:val="38A959E7"/>
    <w:rsid w:val="38AA2631"/>
    <w:rsid w:val="38B36989"/>
    <w:rsid w:val="38C51EFE"/>
    <w:rsid w:val="38CB39BB"/>
    <w:rsid w:val="38E3246F"/>
    <w:rsid w:val="38E74FB9"/>
    <w:rsid w:val="38ED6F36"/>
    <w:rsid w:val="38EE6A7C"/>
    <w:rsid w:val="38EF1B49"/>
    <w:rsid w:val="38F15931"/>
    <w:rsid w:val="38F372D7"/>
    <w:rsid w:val="38FD5914"/>
    <w:rsid w:val="390E5EBF"/>
    <w:rsid w:val="390F5DD3"/>
    <w:rsid w:val="391334D5"/>
    <w:rsid w:val="3914038F"/>
    <w:rsid w:val="391C09CE"/>
    <w:rsid w:val="3921687D"/>
    <w:rsid w:val="39226614"/>
    <w:rsid w:val="39241B86"/>
    <w:rsid w:val="392A081F"/>
    <w:rsid w:val="39336574"/>
    <w:rsid w:val="3938118D"/>
    <w:rsid w:val="39382BA4"/>
    <w:rsid w:val="3943349D"/>
    <w:rsid w:val="394E12FF"/>
    <w:rsid w:val="395064D7"/>
    <w:rsid w:val="39515D4E"/>
    <w:rsid w:val="39602C4A"/>
    <w:rsid w:val="39630541"/>
    <w:rsid w:val="396977A4"/>
    <w:rsid w:val="396C0E37"/>
    <w:rsid w:val="39735C48"/>
    <w:rsid w:val="3976677F"/>
    <w:rsid w:val="39773EBE"/>
    <w:rsid w:val="397877DC"/>
    <w:rsid w:val="397C0E7B"/>
    <w:rsid w:val="397F4B31"/>
    <w:rsid w:val="398A26C1"/>
    <w:rsid w:val="39963757"/>
    <w:rsid w:val="399A49F6"/>
    <w:rsid w:val="399A6860"/>
    <w:rsid w:val="399F745E"/>
    <w:rsid w:val="39A64349"/>
    <w:rsid w:val="39BA1E29"/>
    <w:rsid w:val="39BC1DBE"/>
    <w:rsid w:val="39BD0204"/>
    <w:rsid w:val="39C40AB4"/>
    <w:rsid w:val="39C95F06"/>
    <w:rsid w:val="39CA4AFD"/>
    <w:rsid w:val="39CD3FCC"/>
    <w:rsid w:val="39D43DF0"/>
    <w:rsid w:val="39D70512"/>
    <w:rsid w:val="39E35A89"/>
    <w:rsid w:val="39E375DB"/>
    <w:rsid w:val="39E82BB3"/>
    <w:rsid w:val="39E9692C"/>
    <w:rsid w:val="39EF07CC"/>
    <w:rsid w:val="39F71049"/>
    <w:rsid w:val="39F74BA5"/>
    <w:rsid w:val="39FC665F"/>
    <w:rsid w:val="3A037C82"/>
    <w:rsid w:val="3A0B0650"/>
    <w:rsid w:val="3A15327D"/>
    <w:rsid w:val="3A1A17AA"/>
    <w:rsid w:val="3A265325"/>
    <w:rsid w:val="3A2755EF"/>
    <w:rsid w:val="3A2E15F7"/>
    <w:rsid w:val="3A35391F"/>
    <w:rsid w:val="3A3556CD"/>
    <w:rsid w:val="3A460515"/>
    <w:rsid w:val="3A4619C5"/>
    <w:rsid w:val="3A5C70FE"/>
    <w:rsid w:val="3A5D72F5"/>
    <w:rsid w:val="3A5F3C1F"/>
    <w:rsid w:val="3A687C9F"/>
    <w:rsid w:val="3A7046F7"/>
    <w:rsid w:val="3A7F5E8E"/>
    <w:rsid w:val="3A811A0F"/>
    <w:rsid w:val="3A832815"/>
    <w:rsid w:val="3A8521B0"/>
    <w:rsid w:val="3A9647A8"/>
    <w:rsid w:val="3A9879A2"/>
    <w:rsid w:val="3A991DCA"/>
    <w:rsid w:val="3A9A4445"/>
    <w:rsid w:val="3A9D3BDB"/>
    <w:rsid w:val="3AA76B35"/>
    <w:rsid w:val="3AB027ED"/>
    <w:rsid w:val="3ABB02C8"/>
    <w:rsid w:val="3AC70A1B"/>
    <w:rsid w:val="3AC70DBD"/>
    <w:rsid w:val="3AD06FAF"/>
    <w:rsid w:val="3ADE066E"/>
    <w:rsid w:val="3AEB3E32"/>
    <w:rsid w:val="3AEC46E6"/>
    <w:rsid w:val="3AEE244B"/>
    <w:rsid w:val="3AF15539"/>
    <w:rsid w:val="3AFF0227"/>
    <w:rsid w:val="3B01078F"/>
    <w:rsid w:val="3B0F23C2"/>
    <w:rsid w:val="3B11613A"/>
    <w:rsid w:val="3B151169"/>
    <w:rsid w:val="3B273268"/>
    <w:rsid w:val="3B295DD6"/>
    <w:rsid w:val="3B2A18E2"/>
    <w:rsid w:val="3B375BD2"/>
    <w:rsid w:val="3B4C243C"/>
    <w:rsid w:val="3B556027"/>
    <w:rsid w:val="3B581673"/>
    <w:rsid w:val="3B583D69"/>
    <w:rsid w:val="3B5A188F"/>
    <w:rsid w:val="3B5C446E"/>
    <w:rsid w:val="3B5F28DC"/>
    <w:rsid w:val="3B6A3BA9"/>
    <w:rsid w:val="3B6F3D6B"/>
    <w:rsid w:val="3B726432"/>
    <w:rsid w:val="3B750477"/>
    <w:rsid w:val="3B7662EB"/>
    <w:rsid w:val="3B8913C9"/>
    <w:rsid w:val="3BA1126C"/>
    <w:rsid w:val="3BB5291C"/>
    <w:rsid w:val="3BB64FAE"/>
    <w:rsid w:val="3BC05DE1"/>
    <w:rsid w:val="3BC56280"/>
    <w:rsid w:val="3BD24AE7"/>
    <w:rsid w:val="3BD80A06"/>
    <w:rsid w:val="3BD839FE"/>
    <w:rsid w:val="3BDB05F6"/>
    <w:rsid w:val="3BE104B3"/>
    <w:rsid w:val="3BE264CD"/>
    <w:rsid w:val="3BE63123"/>
    <w:rsid w:val="3BE850ED"/>
    <w:rsid w:val="3BF03FA1"/>
    <w:rsid w:val="3BF825D3"/>
    <w:rsid w:val="3C102C13"/>
    <w:rsid w:val="3C135BAA"/>
    <w:rsid w:val="3C1D56C9"/>
    <w:rsid w:val="3C230130"/>
    <w:rsid w:val="3C237F86"/>
    <w:rsid w:val="3C246B12"/>
    <w:rsid w:val="3C2B4FD9"/>
    <w:rsid w:val="3C2E0626"/>
    <w:rsid w:val="3C3976F6"/>
    <w:rsid w:val="3C3A6FCB"/>
    <w:rsid w:val="3C3F5333"/>
    <w:rsid w:val="3C436737"/>
    <w:rsid w:val="3C4703F0"/>
    <w:rsid w:val="3C4B2A92"/>
    <w:rsid w:val="3C563C73"/>
    <w:rsid w:val="3C5E34DC"/>
    <w:rsid w:val="3C615C91"/>
    <w:rsid w:val="3C637FFD"/>
    <w:rsid w:val="3C670D50"/>
    <w:rsid w:val="3C721FE4"/>
    <w:rsid w:val="3C7B7D0F"/>
    <w:rsid w:val="3C8B5A78"/>
    <w:rsid w:val="3C8B78C3"/>
    <w:rsid w:val="3C8C450B"/>
    <w:rsid w:val="3C8C692A"/>
    <w:rsid w:val="3C8F0C24"/>
    <w:rsid w:val="3C915ADC"/>
    <w:rsid w:val="3C9B7709"/>
    <w:rsid w:val="3C9E56BA"/>
    <w:rsid w:val="3CA2271E"/>
    <w:rsid w:val="3CA677CE"/>
    <w:rsid w:val="3CB4465A"/>
    <w:rsid w:val="3CB7061B"/>
    <w:rsid w:val="3CC01947"/>
    <w:rsid w:val="3CC802AD"/>
    <w:rsid w:val="3CCE7BD4"/>
    <w:rsid w:val="3CCF3BB7"/>
    <w:rsid w:val="3CD02CFF"/>
    <w:rsid w:val="3CD659B4"/>
    <w:rsid w:val="3CDD661F"/>
    <w:rsid w:val="3CE5162C"/>
    <w:rsid w:val="3CF45D5A"/>
    <w:rsid w:val="3CF875A5"/>
    <w:rsid w:val="3CFC7A8C"/>
    <w:rsid w:val="3D0F3586"/>
    <w:rsid w:val="3D144F40"/>
    <w:rsid w:val="3D157D3C"/>
    <w:rsid w:val="3D3234DB"/>
    <w:rsid w:val="3D403936"/>
    <w:rsid w:val="3D6B4041"/>
    <w:rsid w:val="3D710C3B"/>
    <w:rsid w:val="3D745B08"/>
    <w:rsid w:val="3D7A454D"/>
    <w:rsid w:val="3D7B5AED"/>
    <w:rsid w:val="3D7C0BC1"/>
    <w:rsid w:val="3D807034"/>
    <w:rsid w:val="3D8B21D4"/>
    <w:rsid w:val="3D8B403B"/>
    <w:rsid w:val="3D8E6336"/>
    <w:rsid w:val="3D92784C"/>
    <w:rsid w:val="3D9716A3"/>
    <w:rsid w:val="3DA00FCE"/>
    <w:rsid w:val="3DAB5177"/>
    <w:rsid w:val="3DB25C24"/>
    <w:rsid w:val="3DB73FDF"/>
    <w:rsid w:val="3DBF5CEE"/>
    <w:rsid w:val="3DD204A1"/>
    <w:rsid w:val="3DD21670"/>
    <w:rsid w:val="3DE11DF4"/>
    <w:rsid w:val="3DFA3365"/>
    <w:rsid w:val="3DFE0BF8"/>
    <w:rsid w:val="3E043AC0"/>
    <w:rsid w:val="3E0F1060"/>
    <w:rsid w:val="3E1A55EE"/>
    <w:rsid w:val="3E217DA1"/>
    <w:rsid w:val="3E306064"/>
    <w:rsid w:val="3E32264F"/>
    <w:rsid w:val="3E4327A3"/>
    <w:rsid w:val="3E4D0AD8"/>
    <w:rsid w:val="3E59783A"/>
    <w:rsid w:val="3E5C147A"/>
    <w:rsid w:val="3E6564F9"/>
    <w:rsid w:val="3E6C4583"/>
    <w:rsid w:val="3E7A2248"/>
    <w:rsid w:val="3E7F1585"/>
    <w:rsid w:val="3E845E37"/>
    <w:rsid w:val="3E9240C1"/>
    <w:rsid w:val="3E965D8A"/>
    <w:rsid w:val="3EA34D2B"/>
    <w:rsid w:val="3EA41CA1"/>
    <w:rsid w:val="3EA82911"/>
    <w:rsid w:val="3EB1765E"/>
    <w:rsid w:val="3EB5502E"/>
    <w:rsid w:val="3EB56DDC"/>
    <w:rsid w:val="3EBC3804"/>
    <w:rsid w:val="3EBC7FFE"/>
    <w:rsid w:val="3EC96625"/>
    <w:rsid w:val="3ECA26C7"/>
    <w:rsid w:val="3ECB3074"/>
    <w:rsid w:val="3ECE48D4"/>
    <w:rsid w:val="3ED01380"/>
    <w:rsid w:val="3ED33EEC"/>
    <w:rsid w:val="3ED8395B"/>
    <w:rsid w:val="3EE17DEC"/>
    <w:rsid w:val="3EE76CE9"/>
    <w:rsid w:val="3EF26282"/>
    <w:rsid w:val="3F0264C5"/>
    <w:rsid w:val="3F0F473E"/>
    <w:rsid w:val="3F104A1C"/>
    <w:rsid w:val="3F1C58AA"/>
    <w:rsid w:val="3F1E1CA5"/>
    <w:rsid w:val="3F2477EB"/>
    <w:rsid w:val="3F280042"/>
    <w:rsid w:val="3F285800"/>
    <w:rsid w:val="3F2B1EE1"/>
    <w:rsid w:val="3F2F1936"/>
    <w:rsid w:val="3F363EE4"/>
    <w:rsid w:val="3F370BFB"/>
    <w:rsid w:val="3F483491"/>
    <w:rsid w:val="3F4A056D"/>
    <w:rsid w:val="3F536D21"/>
    <w:rsid w:val="3F582E08"/>
    <w:rsid w:val="3F5B061C"/>
    <w:rsid w:val="3F60143E"/>
    <w:rsid w:val="3F631B80"/>
    <w:rsid w:val="3F656E22"/>
    <w:rsid w:val="3F730DBF"/>
    <w:rsid w:val="3F813DBC"/>
    <w:rsid w:val="3F817728"/>
    <w:rsid w:val="3F8670AA"/>
    <w:rsid w:val="3F915055"/>
    <w:rsid w:val="3F9441E7"/>
    <w:rsid w:val="3F9655E1"/>
    <w:rsid w:val="3F982986"/>
    <w:rsid w:val="3FA25EEA"/>
    <w:rsid w:val="3FAF5EBA"/>
    <w:rsid w:val="3FC26A23"/>
    <w:rsid w:val="3FC65420"/>
    <w:rsid w:val="3FCE23EB"/>
    <w:rsid w:val="3FD8773E"/>
    <w:rsid w:val="3FDE51E0"/>
    <w:rsid w:val="3FF95A47"/>
    <w:rsid w:val="4004001B"/>
    <w:rsid w:val="40053D91"/>
    <w:rsid w:val="40095632"/>
    <w:rsid w:val="400F1A51"/>
    <w:rsid w:val="40167C64"/>
    <w:rsid w:val="401A7F86"/>
    <w:rsid w:val="401C4A36"/>
    <w:rsid w:val="401D19BB"/>
    <w:rsid w:val="40285483"/>
    <w:rsid w:val="40306240"/>
    <w:rsid w:val="40317C46"/>
    <w:rsid w:val="4038444D"/>
    <w:rsid w:val="403B4879"/>
    <w:rsid w:val="403C7E54"/>
    <w:rsid w:val="403D244D"/>
    <w:rsid w:val="40425825"/>
    <w:rsid w:val="404B1B77"/>
    <w:rsid w:val="404D3386"/>
    <w:rsid w:val="40555D59"/>
    <w:rsid w:val="40556986"/>
    <w:rsid w:val="406B654B"/>
    <w:rsid w:val="407463DD"/>
    <w:rsid w:val="40750C76"/>
    <w:rsid w:val="40783B08"/>
    <w:rsid w:val="407B1419"/>
    <w:rsid w:val="407E73CA"/>
    <w:rsid w:val="4080023D"/>
    <w:rsid w:val="409475F1"/>
    <w:rsid w:val="409C5749"/>
    <w:rsid w:val="40AB2127"/>
    <w:rsid w:val="40B557B9"/>
    <w:rsid w:val="40B73F65"/>
    <w:rsid w:val="40D10AF4"/>
    <w:rsid w:val="40D37A19"/>
    <w:rsid w:val="40D55665"/>
    <w:rsid w:val="40E340D5"/>
    <w:rsid w:val="40E72E11"/>
    <w:rsid w:val="40E74EF7"/>
    <w:rsid w:val="40ED4868"/>
    <w:rsid w:val="40EF740E"/>
    <w:rsid w:val="40FA6A54"/>
    <w:rsid w:val="40FA722B"/>
    <w:rsid w:val="41172AAC"/>
    <w:rsid w:val="411B03F2"/>
    <w:rsid w:val="4126497D"/>
    <w:rsid w:val="4126654C"/>
    <w:rsid w:val="41287D39"/>
    <w:rsid w:val="412D3226"/>
    <w:rsid w:val="412F61C1"/>
    <w:rsid w:val="41306BEE"/>
    <w:rsid w:val="413C1BC0"/>
    <w:rsid w:val="413E130B"/>
    <w:rsid w:val="4140293B"/>
    <w:rsid w:val="414121F3"/>
    <w:rsid w:val="41436921"/>
    <w:rsid w:val="414409BB"/>
    <w:rsid w:val="414416B4"/>
    <w:rsid w:val="4159570E"/>
    <w:rsid w:val="415D75CF"/>
    <w:rsid w:val="415F19CA"/>
    <w:rsid w:val="41661B63"/>
    <w:rsid w:val="41680B0E"/>
    <w:rsid w:val="416C49DC"/>
    <w:rsid w:val="416F283B"/>
    <w:rsid w:val="41766CF7"/>
    <w:rsid w:val="4177213A"/>
    <w:rsid w:val="41772670"/>
    <w:rsid w:val="41880D6A"/>
    <w:rsid w:val="41895DBD"/>
    <w:rsid w:val="418A2093"/>
    <w:rsid w:val="418C3636"/>
    <w:rsid w:val="419158DF"/>
    <w:rsid w:val="419772F3"/>
    <w:rsid w:val="419D7E22"/>
    <w:rsid w:val="419F64F8"/>
    <w:rsid w:val="41A00B11"/>
    <w:rsid w:val="41A57E65"/>
    <w:rsid w:val="41B3675F"/>
    <w:rsid w:val="41B65345"/>
    <w:rsid w:val="41C03FF5"/>
    <w:rsid w:val="41C20FE4"/>
    <w:rsid w:val="41C54144"/>
    <w:rsid w:val="41D028AB"/>
    <w:rsid w:val="41D2640E"/>
    <w:rsid w:val="41D8350E"/>
    <w:rsid w:val="41DB7F51"/>
    <w:rsid w:val="41E1012C"/>
    <w:rsid w:val="41E55C2A"/>
    <w:rsid w:val="41E60AB2"/>
    <w:rsid w:val="41E84D16"/>
    <w:rsid w:val="41EA2B46"/>
    <w:rsid w:val="41ED1AA3"/>
    <w:rsid w:val="41F22DC9"/>
    <w:rsid w:val="41FA3F16"/>
    <w:rsid w:val="41FF7DCB"/>
    <w:rsid w:val="420347F1"/>
    <w:rsid w:val="4205725C"/>
    <w:rsid w:val="420662CD"/>
    <w:rsid w:val="4209072C"/>
    <w:rsid w:val="420D6AB2"/>
    <w:rsid w:val="420D7C4B"/>
    <w:rsid w:val="421041F2"/>
    <w:rsid w:val="42114C71"/>
    <w:rsid w:val="421A0D47"/>
    <w:rsid w:val="422C3859"/>
    <w:rsid w:val="423428F6"/>
    <w:rsid w:val="42373345"/>
    <w:rsid w:val="42400CDB"/>
    <w:rsid w:val="42410BCD"/>
    <w:rsid w:val="424424AD"/>
    <w:rsid w:val="4246384E"/>
    <w:rsid w:val="424E4B25"/>
    <w:rsid w:val="425132C0"/>
    <w:rsid w:val="4265572A"/>
    <w:rsid w:val="426800B3"/>
    <w:rsid w:val="427133C9"/>
    <w:rsid w:val="42752A18"/>
    <w:rsid w:val="42835796"/>
    <w:rsid w:val="428B6A4B"/>
    <w:rsid w:val="429C09DF"/>
    <w:rsid w:val="429D7E5B"/>
    <w:rsid w:val="42A11B51"/>
    <w:rsid w:val="42A32246"/>
    <w:rsid w:val="42A94285"/>
    <w:rsid w:val="42AE1321"/>
    <w:rsid w:val="42B74CC0"/>
    <w:rsid w:val="42BB20D3"/>
    <w:rsid w:val="42BC5EE6"/>
    <w:rsid w:val="42C13892"/>
    <w:rsid w:val="42CE66BF"/>
    <w:rsid w:val="42CF2B62"/>
    <w:rsid w:val="42D34F54"/>
    <w:rsid w:val="42D71A17"/>
    <w:rsid w:val="42DC0DDB"/>
    <w:rsid w:val="42EB66B2"/>
    <w:rsid w:val="42F21CD2"/>
    <w:rsid w:val="42F400CD"/>
    <w:rsid w:val="42F407F6"/>
    <w:rsid w:val="42F54BA7"/>
    <w:rsid w:val="43065E58"/>
    <w:rsid w:val="43094BFD"/>
    <w:rsid w:val="430B229D"/>
    <w:rsid w:val="431526DC"/>
    <w:rsid w:val="4318359A"/>
    <w:rsid w:val="431876F2"/>
    <w:rsid w:val="43282273"/>
    <w:rsid w:val="432C3272"/>
    <w:rsid w:val="4333548A"/>
    <w:rsid w:val="43343A7B"/>
    <w:rsid w:val="43374264"/>
    <w:rsid w:val="433C7ACC"/>
    <w:rsid w:val="43413334"/>
    <w:rsid w:val="43475E50"/>
    <w:rsid w:val="43601A0D"/>
    <w:rsid w:val="43664B49"/>
    <w:rsid w:val="437101BB"/>
    <w:rsid w:val="437F6379"/>
    <w:rsid w:val="43820D2A"/>
    <w:rsid w:val="43875B6B"/>
    <w:rsid w:val="43A40BD2"/>
    <w:rsid w:val="43A523E5"/>
    <w:rsid w:val="43A6303F"/>
    <w:rsid w:val="43A64DE7"/>
    <w:rsid w:val="43BB5815"/>
    <w:rsid w:val="43C24475"/>
    <w:rsid w:val="43C308B9"/>
    <w:rsid w:val="43C5710F"/>
    <w:rsid w:val="43C65506"/>
    <w:rsid w:val="43D2088D"/>
    <w:rsid w:val="43D841B6"/>
    <w:rsid w:val="43DB7E4A"/>
    <w:rsid w:val="43DF7B32"/>
    <w:rsid w:val="43E904CB"/>
    <w:rsid w:val="43E94C8F"/>
    <w:rsid w:val="43EA577A"/>
    <w:rsid w:val="43F948F7"/>
    <w:rsid w:val="44031312"/>
    <w:rsid w:val="441308C1"/>
    <w:rsid w:val="441405B6"/>
    <w:rsid w:val="441924F8"/>
    <w:rsid w:val="441F7EFA"/>
    <w:rsid w:val="44217FFB"/>
    <w:rsid w:val="44242A3A"/>
    <w:rsid w:val="442645F7"/>
    <w:rsid w:val="442C1B29"/>
    <w:rsid w:val="443C1ACE"/>
    <w:rsid w:val="443C3F45"/>
    <w:rsid w:val="443E6A07"/>
    <w:rsid w:val="4440539A"/>
    <w:rsid w:val="44421226"/>
    <w:rsid w:val="445B30BE"/>
    <w:rsid w:val="4467501D"/>
    <w:rsid w:val="44805E39"/>
    <w:rsid w:val="44904B06"/>
    <w:rsid w:val="44A57DDF"/>
    <w:rsid w:val="44AF7030"/>
    <w:rsid w:val="44C112DA"/>
    <w:rsid w:val="44C65E25"/>
    <w:rsid w:val="44C7326E"/>
    <w:rsid w:val="44C969DB"/>
    <w:rsid w:val="44C9750A"/>
    <w:rsid w:val="44DA6F2F"/>
    <w:rsid w:val="44DC6D1B"/>
    <w:rsid w:val="44DD0A2E"/>
    <w:rsid w:val="44DE304C"/>
    <w:rsid w:val="44DF08D0"/>
    <w:rsid w:val="44E1092B"/>
    <w:rsid w:val="44E67E08"/>
    <w:rsid w:val="44E87F0C"/>
    <w:rsid w:val="44EB0E1A"/>
    <w:rsid w:val="44EB79FC"/>
    <w:rsid w:val="44F97D0B"/>
    <w:rsid w:val="44FA182B"/>
    <w:rsid w:val="45034D45"/>
    <w:rsid w:val="450C282E"/>
    <w:rsid w:val="45180C92"/>
    <w:rsid w:val="4518401A"/>
    <w:rsid w:val="451C1963"/>
    <w:rsid w:val="451E392D"/>
    <w:rsid w:val="451F6C67"/>
    <w:rsid w:val="45230F44"/>
    <w:rsid w:val="453303F8"/>
    <w:rsid w:val="453C681A"/>
    <w:rsid w:val="45483242"/>
    <w:rsid w:val="454A2974"/>
    <w:rsid w:val="454D5898"/>
    <w:rsid w:val="455B6BDE"/>
    <w:rsid w:val="455C4456"/>
    <w:rsid w:val="455E01CE"/>
    <w:rsid w:val="457865D5"/>
    <w:rsid w:val="457C4AF8"/>
    <w:rsid w:val="45823E11"/>
    <w:rsid w:val="4585368D"/>
    <w:rsid w:val="458A4B1F"/>
    <w:rsid w:val="4594372F"/>
    <w:rsid w:val="459660FD"/>
    <w:rsid w:val="4596751F"/>
    <w:rsid w:val="4599131A"/>
    <w:rsid w:val="459B6D2C"/>
    <w:rsid w:val="459C4979"/>
    <w:rsid w:val="45A41808"/>
    <w:rsid w:val="45B222C8"/>
    <w:rsid w:val="45B5276D"/>
    <w:rsid w:val="45B84574"/>
    <w:rsid w:val="45BD3146"/>
    <w:rsid w:val="45D86D67"/>
    <w:rsid w:val="45DC10F2"/>
    <w:rsid w:val="45E04F6F"/>
    <w:rsid w:val="45E31D64"/>
    <w:rsid w:val="45E32481"/>
    <w:rsid w:val="45E71F71"/>
    <w:rsid w:val="45E86828"/>
    <w:rsid w:val="45EA5612"/>
    <w:rsid w:val="45EE1552"/>
    <w:rsid w:val="45F0106A"/>
    <w:rsid w:val="45FB6D1A"/>
    <w:rsid w:val="46077500"/>
    <w:rsid w:val="460A6E00"/>
    <w:rsid w:val="460C5E7C"/>
    <w:rsid w:val="4615519C"/>
    <w:rsid w:val="46187D0A"/>
    <w:rsid w:val="461B4E33"/>
    <w:rsid w:val="46290847"/>
    <w:rsid w:val="4629500B"/>
    <w:rsid w:val="462A4554"/>
    <w:rsid w:val="462F0BC1"/>
    <w:rsid w:val="46314B81"/>
    <w:rsid w:val="4646138E"/>
    <w:rsid w:val="46470AD7"/>
    <w:rsid w:val="46476DBF"/>
    <w:rsid w:val="46495337"/>
    <w:rsid w:val="464B3950"/>
    <w:rsid w:val="465262AB"/>
    <w:rsid w:val="465503CA"/>
    <w:rsid w:val="465942F7"/>
    <w:rsid w:val="466510E8"/>
    <w:rsid w:val="466E5FD3"/>
    <w:rsid w:val="467C5EDE"/>
    <w:rsid w:val="467E256E"/>
    <w:rsid w:val="467F21AA"/>
    <w:rsid w:val="467F5F8C"/>
    <w:rsid w:val="46972C89"/>
    <w:rsid w:val="46987669"/>
    <w:rsid w:val="46A37B27"/>
    <w:rsid w:val="46B24160"/>
    <w:rsid w:val="46B71C66"/>
    <w:rsid w:val="46C422B2"/>
    <w:rsid w:val="46C53993"/>
    <w:rsid w:val="46C66886"/>
    <w:rsid w:val="46C769A2"/>
    <w:rsid w:val="46CB0AE8"/>
    <w:rsid w:val="46CE0EC8"/>
    <w:rsid w:val="46E00E80"/>
    <w:rsid w:val="46E22739"/>
    <w:rsid w:val="46E47C14"/>
    <w:rsid w:val="46F030A7"/>
    <w:rsid w:val="46F54C2F"/>
    <w:rsid w:val="46F8267F"/>
    <w:rsid w:val="46FB09FC"/>
    <w:rsid w:val="46FF66BA"/>
    <w:rsid w:val="47001583"/>
    <w:rsid w:val="4701118D"/>
    <w:rsid w:val="470A63A9"/>
    <w:rsid w:val="4710374A"/>
    <w:rsid w:val="47105454"/>
    <w:rsid w:val="47136D96"/>
    <w:rsid w:val="471B649D"/>
    <w:rsid w:val="47210BD7"/>
    <w:rsid w:val="47282673"/>
    <w:rsid w:val="4729014B"/>
    <w:rsid w:val="47290367"/>
    <w:rsid w:val="47307948"/>
    <w:rsid w:val="4737577F"/>
    <w:rsid w:val="473C41AC"/>
    <w:rsid w:val="473F636E"/>
    <w:rsid w:val="47414D65"/>
    <w:rsid w:val="474677B9"/>
    <w:rsid w:val="474B6530"/>
    <w:rsid w:val="475228BB"/>
    <w:rsid w:val="47537EF3"/>
    <w:rsid w:val="4757336E"/>
    <w:rsid w:val="4758678D"/>
    <w:rsid w:val="475C7071"/>
    <w:rsid w:val="476465F9"/>
    <w:rsid w:val="476E5E08"/>
    <w:rsid w:val="476F7270"/>
    <w:rsid w:val="477D3257"/>
    <w:rsid w:val="47825A11"/>
    <w:rsid w:val="478630AD"/>
    <w:rsid w:val="478C20D3"/>
    <w:rsid w:val="47924C15"/>
    <w:rsid w:val="47991FB4"/>
    <w:rsid w:val="47A54AEE"/>
    <w:rsid w:val="47AB7C93"/>
    <w:rsid w:val="47AE2F0A"/>
    <w:rsid w:val="47B02D7F"/>
    <w:rsid w:val="47B65B13"/>
    <w:rsid w:val="47C75A35"/>
    <w:rsid w:val="47CF4628"/>
    <w:rsid w:val="47DE73A4"/>
    <w:rsid w:val="47EA7FBC"/>
    <w:rsid w:val="47EB01EC"/>
    <w:rsid w:val="47EB60AF"/>
    <w:rsid w:val="47EC5BCA"/>
    <w:rsid w:val="47F72214"/>
    <w:rsid w:val="47F7708B"/>
    <w:rsid w:val="47F82FAA"/>
    <w:rsid w:val="47FF4C8B"/>
    <w:rsid w:val="48075B01"/>
    <w:rsid w:val="480A0199"/>
    <w:rsid w:val="480C6255"/>
    <w:rsid w:val="480E632D"/>
    <w:rsid w:val="480F77B9"/>
    <w:rsid w:val="48116838"/>
    <w:rsid w:val="48163570"/>
    <w:rsid w:val="481A0A2F"/>
    <w:rsid w:val="481D4830"/>
    <w:rsid w:val="481E59F2"/>
    <w:rsid w:val="481F1A97"/>
    <w:rsid w:val="4820270A"/>
    <w:rsid w:val="48234EB8"/>
    <w:rsid w:val="48337038"/>
    <w:rsid w:val="48386BDB"/>
    <w:rsid w:val="48390A7E"/>
    <w:rsid w:val="483B1810"/>
    <w:rsid w:val="48414721"/>
    <w:rsid w:val="4847621F"/>
    <w:rsid w:val="484A5EF3"/>
    <w:rsid w:val="485E1FE7"/>
    <w:rsid w:val="48623AD0"/>
    <w:rsid w:val="48623B31"/>
    <w:rsid w:val="4867383D"/>
    <w:rsid w:val="48695273"/>
    <w:rsid w:val="488241D3"/>
    <w:rsid w:val="48894C55"/>
    <w:rsid w:val="488E44E7"/>
    <w:rsid w:val="48952158"/>
    <w:rsid w:val="48A21D97"/>
    <w:rsid w:val="48AB1F15"/>
    <w:rsid w:val="48B545A9"/>
    <w:rsid w:val="48BE765C"/>
    <w:rsid w:val="48C8598C"/>
    <w:rsid w:val="48CA1960"/>
    <w:rsid w:val="48D02F92"/>
    <w:rsid w:val="48DD03C1"/>
    <w:rsid w:val="48DD3903"/>
    <w:rsid w:val="48DF1625"/>
    <w:rsid w:val="48DF5182"/>
    <w:rsid w:val="48E41A54"/>
    <w:rsid w:val="48E520BD"/>
    <w:rsid w:val="48F00372"/>
    <w:rsid w:val="490169E5"/>
    <w:rsid w:val="490477E8"/>
    <w:rsid w:val="49060960"/>
    <w:rsid w:val="49080AD0"/>
    <w:rsid w:val="490949F7"/>
    <w:rsid w:val="490C66F9"/>
    <w:rsid w:val="49156B18"/>
    <w:rsid w:val="491B72FA"/>
    <w:rsid w:val="491C63D6"/>
    <w:rsid w:val="49382AE4"/>
    <w:rsid w:val="493A4AAE"/>
    <w:rsid w:val="493C4A64"/>
    <w:rsid w:val="493D0189"/>
    <w:rsid w:val="493F7ADE"/>
    <w:rsid w:val="494A4459"/>
    <w:rsid w:val="495D0823"/>
    <w:rsid w:val="496A1D10"/>
    <w:rsid w:val="49726F4F"/>
    <w:rsid w:val="497F1DAA"/>
    <w:rsid w:val="498050DE"/>
    <w:rsid w:val="49814B0B"/>
    <w:rsid w:val="4987549B"/>
    <w:rsid w:val="49875FC1"/>
    <w:rsid w:val="498A5EE6"/>
    <w:rsid w:val="49904C2F"/>
    <w:rsid w:val="499A379E"/>
    <w:rsid w:val="499A668D"/>
    <w:rsid w:val="499B4FA3"/>
    <w:rsid w:val="499C05DC"/>
    <w:rsid w:val="49A1618B"/>
    <w:rsid w:val="49A435F4"/>
    <w:rsid w:val="49A85EBB"/>
    <w:rsid w:val="49AC63D9"/>
    <w:rsid w:val="49B02FC2"/>
    <w:rsid w:val="49B205F4"/>
    <w:rsid w:val="49B8205A"/>
    <w:rsid w:val="49BA0EAD"/>
    <w:rsid w:val="49BF4FB3"/>
    <w:rsid w:val="49C03512"/>
    <w:rsid w:val="49CC7DFC"/>
    <w:rsid w:val="49CD63FF"/>
    <w:rsid w:val="49DA6A4A"/>
    <w:rsid w:val="49DB7193"/>
    <w:rsid w:val="49DC1633"/>
    <w:rsid w:val="49DE1A7D"/>
    <w:rsid w:val="49E0577F"/>
    <w:rsid w:val="49EF2C11"/>
    <w:rsid w:val="49F20EE5"/>
    <w:rsid w:val="49F479C3"/>
    <w:rsid w:val="4A05330E"/>
    <w:rsid w:val="4A0662D2"/>
    <w:rsid w:val="4A096A71"/>
    <w:rsid w:val="4A0F5F3A"/>
    <w:rsid w:val="4A1A0A3F"/>
    <w:rsid w:val="4A1B33BF"/>
    <w:rsid w:val="4A203CA4"/>
    <w:rsid w:val="4A204396"/>
    <w:rsid w:val="4A24773B"/>
    <w:rsid w:val="4A2A4729"/>
    <w:rsid w:val="4A331C29"/>
    <w:rsid w:val="4A3528FC"/>
    <w:rsid w:val="4A373209"/>
    <w:rsid w:val="4A396B13"/>
    <w:rsid w:val="4A3D2D5E"/>
    <w:rsid w:val="4A43769D"/>
    <w:rsid w:val="4A47683B"/>
    <w:rsid w:val="4A5C6B9C"/>
    <w:rsid w:val="4A633B90"/>
    <w:rsid w:val="4A6E0EB3"/>
    <w:rsid w:val="4A73029D"/>
    <w:rsid w:val="4A7521D2"/>
    <w:rsid w:val="4A75688F"/>
    <w:rsid w:val="4A7D0B7A"/>
    <w:rsid w:val="4A7D10F6"/>
    <w:rsid w:val="4A7E2F26"/>
    <w:rsid w:val="4A7F7C11"/>
    <w:rsid w:val="4A8849E8"/>
    <w:rsid w:val="4A9244BA"/>
    <w:rsid w:val="4A931D15"/>
    <w:rsid w:val="4A962924"/>
    <w:rsid w:val="4A962989"/>
    <w:rsid w:val="4AA827F0"/>
    <w:rsid w:val="4AAA2B83"/>
    <w:rsid w:val="4AC07E41"/>
    <w:rsid w:val="4AC41BDA"/>
    <w:rsid w:val="4AC43B1A"/>
    <w:rsid w:val="4AD03DA4"/>
    <w:rsid w:val="4AE66C9B"/>
    <w:rsid w:val="4AEA0C98"/>
    <w:rsid w:val="4AEF3EB2"/>
    <w:rsid w:val="4AF114EF"/>
    <w:rsid w:val="4AF24721"/>
    <w:rsid w:val="4AFC6386"/>
    <w:rsid w:val="4B196F69"/>
    <w:rsid w:val="4B1F43AE"/>
    <w:rsid w:val="4B232DA2"/>
    <w:rsid w:val="4B2723A0"/>
    <w:rsid w:val="4B2772B4"/>
    <w:rsid w:val="4B2D660B"/>
    <w:rsid w:val="4B300BB4"/>
    <w:rsid w:val="4B35377F"/>
    <w:rsid w:val="4B492A9E"/>
    <w:rsid w:val="4B4A2E01"/>
    <w:rsid w:val="4B502367"/>
    <w:rsid w:val="4B625FDB"/>
    <w:rsid w:val="4B6B16A9"/>
    <w:rsid w:val="4B801B2D"/>
    <w:rsid w:val="4B881414"/>
    <w:rsid w:val="4B920BD1"/>
    <w:rsid w:val="4B94027D"/>
    <w:rsid w:val="4B9E7453"/>
    <w:rsid w:val="4BA076CE"/>
    <w:rsid w:val="4BA601D9"/>
    <w:rsid w:val="4BA67FD5"/>
    <w:rsid w:val="4BAD38F8"/>
    <w:rsid w:val="4BAD77B9"/>
    <w:rsid w:val="4BB24DCF"/>
    <w:rsid w:val="4BC47BF9"/>
    <w:rsid w:val="4BCA7CC1"/>
    <w:rsid w:val="4BCC6895"/>
    <w:rsid w:val="4BCC7B44"/>
    <w:rsid w:val="4BCD3776"/>
    <w:rsid w:val="4BCF67DF"/>
    <w:rsid w:val="4BD26741"/>
    <w:rsid w:val="4BD310CA"/>
    <w:rsid w:val="4BD46BEB"/>
    <w:rsid w:val="4BDB641E"/>
    <w:rsid w:val="4BDD23BF"/>
    <w:rsid w:val="4BE13907"/>
    <w:rsid w:val="4BED1C02"/>
    <w:rsid w:val="4BF74ED8"/>
    <w:rsid w:val="4BFB0CB5"/>
    <w:rsid w:val="4BFE77EF"/>
    <w:rsid w:val="4C01085D"/>
    <w:rsid w:val="4C022B59"/>
    <w:rsid w:val="4C061A6E"/>
    <w:rsid w:val="4C091D04"/>
    <w:rsid w:val="4C1E06B7"/>
    <w:rsid w:val="4C20442F"/>
    <w:rsid w:val="4C211F55"/>
    <w:rsid w:val="4C29677F"/>
    <w:rsid w:val="4C391C8C"/>
    <w:rsid w:val="4C3C0B3D"/>
    <w:rsid w:val="4C4643F7"/>
    <w:rsid w:val="4C4F0870"/>
    <w:rsid w:val="4C513584"/>
    <w:rsid w:val="4C516ACF"/>
    <w:rsid w:val="4C521672"/>
    <w:rsid w:val="4C5F5A9D"/>
    <w:rsid w:val="4C6430C8"/>
    <w:rsid w:val="4C723593"/>
    <w:rsid w:val="4C7402D7"/>
    <w:rsid w:val="4C7508B2"/>
    <w:rsid w:val="4C817223"/>
    <w:rsid w:val="4C854A6F"/>
    <w:rsid w:val="4C8A3603"/>
    <w:rsid w:val="4C962AA9"/>
    <w:rsid w:val="4C9C6313"/>
    <w:rsid w:val="4CA26BF2"/>
    <w:rsid w:val="4CAA1F4A"/>
    <w:rsid w:val="4CB264CD"/>
    <w:rsid w:val="4CB30DFF"/>
    <w:rsid w:val="4CB6001D"/>
    <w:rsid w:val="4CB76CE0"/>
    <w:rsid w:val="4CC7006F"/>
    <w:rsid w:val="4CD17E8A"/>
    <w:rsid w:val="4CDA2830"/>
    <w:rsid w:val="4CE15571"/>
    <w:rsid w:val="4CE201B6"/>
    <w:rsid w:val="4CE20973"/>
    <w:rsid w:val="4CE54BFE"/>
    <w:rsid w:val="4CF61702"/>
    <w:rsid w:val="4CFD2B69"/>
    <w:rsid w:val="4D063450"/>
    <w:rsid w:val="4D1A0BBB"/>
    <w:rsid w:val="4D24106F"/>
    <w:rsid w:val="4D243D41"/>
    <w:rsid w:val="4D2719F1"/>
    <w:rsid w:val="4D2F6BCA"/>
    <w:rsid w:val="4D3A1520"/>
    <w:rsid w:val="4D3A3A08"/>
    <w:rsid w:val="4D3C7046"/>
    <w:rsid w:val="4D4726A5"/>
    <w:rsid w:val="4D497090"/>
    <w:rsid w:val="4D590F32"/>
    <w:rsid w:val="4D671BE9"/>
    <w:rsid w:val="4D684AE5"/>
    <w:rsid w:val="4D694BEC"/>
    <w:rsid w:val="4D6D45C1"/>
    <w:rsid w:val="4D6E6C73"/>
    <w:rsid w:val="4D722A68"/>
    <w:rsid w:val="4D752558"/>
    <w:rsid w:val="4D852832"/>
    <w:rsid w:val="4D8C6DA8"/>
    <w:rsid w:val="4D9622A3"/>
    <w:rsid w:val="4D9E6C90"/>
    <w:rsid w:val="4DA21DC9"/>
    <w:rsid w:val="4DAA0571"/>
    <w:rsid w:val="4DBA7991"/>
    <w:rsid w:val="4DC27F01"/>
    <w:rsid w:val="4DC809E9"/>
    <w:rsid w:val="4DD45A9D"/>
    <w:rsid w:val="4DDC7122"/>
    <w:rsid w:val="4DDE2398"/>
    <w:rsid w:val="4DE22BE8"/>
    <w:rsid w:val="4DE27708"/>
    <w:rsid w:val="4DE34108"/>
    <w:rsid w:val="4DE944CE"/>
    <w:rsid w:val="4DEA410A"/>
    <w:rsid w:val="4DEC4140"/>
    <w:rsid w:val="4DEE4763"/>
    <w:rsid w:val="4DF15C6B"/>
    <w:rsid w:val="4DF700D7"/>
    <w:rsid w:val="4DFB03B1"/>
    <w:rsid w:val="4E081F87"/>
    <w:rsid w:val="4E1212FD"/>
    <w:rsid w:val="4E165CB8"/>
    <w:rsid w:val="4E19448C"/>
    <w:rsid w:val="4E233ECB"/>
    <w:rsid w:val="4E23705F"/>
    <w:rsid w:val="4E2A15F0"/>
    <w:rsid w:val="4E341659"/>
    <w:rsid w:val="4E4040DD"/>
    <w:rsid w:val="4E4A1DF9"/>
    <w:rsid w:val="4E4C125C"/>
    <w:rsid w:val="4E507FAA"/>
    <w:rsid w:val="4E524648"/>
    <w:rsid w:val="4E536444"/>
    <w:rsid w:val="4E586596"/>
    <w:rsid w:val="4E5873FF"/>
    <w:rsid w:val="4E650903"/>
    <w:rsid w:val="4E6510BF"/>
    <w:rsid w:val="4E65467D"/>
    <w:rsid w:val="4E6A373F"/>
    <w:rsid w:val="4E6E07B1"/>
    <w:rsid w:val="4E77514F"/>
    <w:rsid w:val="4E8A5B90"/>
    <w:rsid w:val="4E8D6BED"/>
    <w:rsid w:val="4EA02B70"/>
    <w:rsid w:val="4EA97D97"/>
    <w:rsid w:val="4EB67B92"/>
    <w:rsid w:val="4EB726FD"/>
    <w:rsid w:val="4EB8468B"/>
    <w:rsid w:val="4EC00741"/>
    <w:rsid w:val="4EC15C1A"/>
    <w:rsid w:val="4EC866B8"/>
    <w:rsid w:val="4ED137BE"/>
    <w:rsid w:val="4EE07EA5"/>
    <w:rsid w:val="4EE31744"/>
    <w:rsid w:val="4EE600D7"/>
    <w:rsid w:val="4EEA28CB"/>
    <w:rsid w:val="4EEC5F94"/>
    <w:rsid w:val="4EF647A8"/>
    <w:rsid w:val="4EF676C9"/>
    <w:rsid w:val="4F133DD7"/>
    <w:rsid w:val="4F1B2C8C"/>
    <w:rsid w:val="4F205EC3"/>
    <w:rsid w:val="4F2337ED"/>
    <w:rsid w:val="4F2455A2"/>
    <w:rsid w:val="4F295C4A"/>
    <w:rsid w:val="4F2B3645"/>
    <w:rsid w:val="4F2E6E63"/>
    <w:rsid w:val="4F2F03EC"/>
    <w:rsid w:val="4F344677"/>
    <w:rsid w:val="4F3C1944"/>
    <w:rsid w:val="4F482D65"/>
    <w:rsid w:val="4F5142A3"/>
    <w:rsid w:val="4F525A4A"/>
    <w:rsid w:val="4F527D9E"/>
    <w:rsid w:val="4F576665"/>
    <w:rsid w:val="4F5A30B4"/>
    <w:rsid w:val="4F5E74FB"/>
    <w:rsid w:val="4F627992"/>
    <w:rsid w:val="4F781E4D"/>
    <w:rsid w:val="4F7B1705"/>
    <w:rsid w:val="4F7B710E"/>
    <w:rsid w:val="4F7D66B8"/>
    <w:rsid w:val="4F822D0B"/>
    <w:rsid w:val="4F853D14"/>
    <w:rsid w:val="4F86787A"/>
    <w:rsid w:val="4F90367A"/>
    <w:rsid w:val="4F977519"/>
    <w:rsid w:val="4F984039"/>
    <w:rsid w:val="4FAF16B5"/>
    <w:rsid w:val="4FBC1576"/>
    <w:rsid w:val="4FC86008"/>
    <w:rsid w:val="4FD01282"/>
    <w:rsid w:val="4FD542AB"/>
    <w:rsid w:val="4FDE2637"/>
    <w:rsid w:val="4FEC2D98"/>
    <w:rsid w:val="4FFC0637"/>
    <w:rsid w:val="50010825"/>
    <w:rsid w:val="50036B16"/>
    <w:rsid w:val="500951DA"/>
    <w:rsid w:val="500E0019"/>
    <w:rsid w:val="50145ACD"/>
    <w:rsid w:val="501A52AE"/>
    <w:rsid w:val="502102E5"/>
    <w:rsid w:val="50267B3A"/>
    <w:rsid w:val="50273C4C"/>
    <w:rsid w:val="50302767"/>
    <w:rsid w:val="50303547"/>
    <w:rsid w:val="50322DE6"/>
    <w:rsid w:val="503660AF"/>
    <w:rsid w:val="504601DC"/>
    <w:rsid w:val="50474248"/>
    <w:rsid w:val="505A5A36"/>
    <w:rsid w:val="505D6944"/>
    <w:rsid w:val="5060129E"/>
    <w:rsid w:val="50634679"/>
    <w:rsid w:val="506D4039"/>
    <w:rsid w:val="5076550A"/>
    <w:rsid w:val="507A1C34"/>
    <w:rsid w:val="507E6D3E"/>
    <w:rsid w:val="50854A0B"/>
    <w:rsid w:val="508551C2"/>
    <w:rsid w:val="5090254B"/>
    <w:rsid w:val="50A32344"/>
    <w:rsid w:val="50A75F12"/>
    <w:rsid w:val="50AC6D55"/>
    <w:rsid w:val="50AD049D"/>
    <w:rsid w:val="50AD412C"/>
    <w:rsid w:val="50AF615A"/>
    <w:rsid w:val="50B01261"/>
    <w:rsid w:val="50B55B42"/>
    <w:rsid w:val="50B769E4"/>
    <w:rsid w:val="50BC660B"/>
    <w:rsid w:val="50C17863"/>
    <w:rsid w:val="50C46E7C"/>
    <w:rsid w:val="50D47596"/>
    <w:rsid w:val="50D77086"/>
    <w:rsid w:val="50DF09CD"/>
    <w:rsid w:val="50DF614B"/>
    <w:rsid w:val="50E55249"/>
    <w:rsid w:val="50F742C6"/>
    <w:rsid w:val="50F81FEC"/>
    <w:rsid w:val="50F86721"/>
    <w:rsid w:val="50FB0A68"/>
    <w:rsid w:val="510509DA"/>
    <w:rsid w:val="510D731C"/>
    <w:rsid w:val="5110617A"/>
    <w:rsid w:val="5114785D"/>
    <w:rsid w:val="51152864"/>
    <w:rsid w:val="512A18AC"/>
    <w:rsid w:val="512A7002"/>
    <w:rsid w:val="513207CA"/>
    <w:rsid w:val="51383FC9"/>
    <w:rsid w:val="513B22E7"/>
    <w:rsid w:val="513E159C"/>
    <w:rsid w:val="513E2C8F"/>
    <w:rsid w:val="514773A8"/>
    <w:rsid w:val="514C5E63"/>
    <w:rsid w:val="515C434F"/>
    <w:rsid w:val="515E50B1"/>
    <w:rsid w:val="516D10E0"/>
    <w:rsid w:val="516F1E11"/>
    <w:rsid w:val="51753514"/>
    <w:rsid w:val="51780D08"/>
    <w:rsid w:val="51825244"/>
    <w:rsid w:val="5184667E"/>
    <w:rsid w:val="518906F0"/>
    <w:rsid w:val="518D19CF"/>
    <w:rsid w:val="518E6484"/>
    <w:rsid w:val="51930AD4"/>
    <w:rsid w:val="519A207E"/>
    <w:rsid w:val="51B573C7"/>
    <w:rsid w:val="51B929EF"/>
    <w:rsid w:val="51C77980"/>
    <w:rsid w:val="51CB7D4C"/>
    <w:rsid w:val="51D23371"/>
    <w:rsid w:val="51D830B6"/>
    <w:rsid w:val="51DD22CC"/>
    <w:rsid w:val="51E157E3"/>
    <w:rsid w:val="51F004A2"/>
    <w:rsid w:val="51F07213"/>
    <w:rsid w:val="51F11229"/>
    <w:rsid w:val="520705BF"/>
    <w:rsid w:val="520A2406"/>
    <w:rsid w:val="521B1D6B"/>
    <w:rsid w:val="521C2FA3"/>
    <w:rsid w:val="521E2566"/>
    <w:rsid w:val="522441AF"/>
    <w:rsid w:val="522E7AF0"/>
    <w:rsid w:val="522F0219"/>
    <w:rsid w:val="52326022"/>
    <w:rsid w:val="5234713E"/>
    <w:rsid w:val="5234789E"/>
    <w:rsid w:val="52376B99"/>
    <w:rsid w:val="52391DA6"/>
    <w:rsid w:val="523B0FCB"/>
    <w:rsid w:val="52597087"/>
    <w:rsid w:val="52656804"/>
    <w:rsid w:val="526C626B"/>
    <w:rsid w:val="527032EE"/>
    <w:rsid w:val="527C1C93"/>
    <w:rsid w:val="527D17ED"/>
    <w:rsid w:val="5281514A"/>
    <w:rsid w:val="52832C81"/>
    <w:rsid w:val="52841D57"/>
    <w:rsid w:val="528D2142"/>
    <w:rsid w:val="52A631B4"/>
    <w:rsid w:val="52A80CDA"/>
    <w:rsid w:val="52A80EC4"/>
    <w:rsid w:val="52AE1933"/>
    <w:rsid w:val="52BB6C5F"/>
    <w:rsid w:val="52BD654E"/>
    <w:rsid w:val="52CF44B9"/>
    <w:rsid w:val="52D5283D"/>
    <w:rsid w:val="52D80D17"/>
    <w:rsid w:val="52DD1602"/>
    <w:rsid w:val="52E87329"/>
    <w:rsid w:val="52EA5E06"/>
    <w:rsid w:val="52FB52AE"/>
    <w:rsid w:val="53051DC8"/>
    <w:rsid w:val="53200795"/>
    <w:rsid w:val="5325189E"/>
    <w:rsid w:val="532742F5"/>
    <w:rsid w:val="532D41A8"/>
    <w:rsid w:val="533D68E5"/>
    <w:rsid w:val="53403512"/>
    <w:rsid w:val="534A29DF"/>
    <w:rsid w:val="535011EB"/>
    <w:rsid w:val="53530C46"/>
    <w:rsid w:val="535B06EC"/>
    <w:rsid w:val="53602F0B"/>
    <w:rsid w:val="53664D81"/>
    <w:rsid w:val="5369167E"/>
    <w:rsid w:val="536A0117"/>
    <w:rsid w:val="536D08E9"/>
    <w:rsid w:val="536D1DF7"/>
    <w:rsid w:val="536D60B3"/>
    <w:rsid w:val="537923CD"/>
    <w:rsid w:val="53804C5B"/>
    <w:rsid w:val="53824833"/>
    <w:rsid w:val="53852DC9"/>
    <w:rsid w:val="53876A40"/>
    <w:rsid w:val="53904668"/>
    <w:rsid w:val="53933738"/>
    <w:rsid w:val="539D6365"/>
    <w:rsid w:val="539E76E5"/>
    <w:rsid w:val="53CF39F5"/>
    <w:rsid w:val="53D309D4"/>
    <w:rsid w:val="53D578AD"/>
    <w:rsid w:val="53D94495"/>
    <w:rsid w:val="53DC084D"/>
    <w:rsid w:val="53E45333"/>
    <w:rsid w:val="53E61ABA"/>
    <w:rsid w:val="53E70FBA"/>
    <w:rsid w:val="53EE43AC"/>
    <w:rsid w:val="53F046E7"/>
    <w:rsid w:val="53F10B01"/>
    <w:rsid w:val="53F73CC7"/>
    <w:rsid w:val="53FB6E4E"/>
    <w:rsid w:val="53FD32A8"/>
    <w:rsid w:val="53FF1D7E"/>
    <w:rsid w:val="5402266C"/>
    <w:rsid w:val="54024F99"/>
    <w:rsid w:val="540937B0"/>
    <w:rsid w:val="54176660"/>
    <w:rsid w:val="541A79B6"/>
    <w:rsid w:val="541E19F5"/>
    <w:rsid w:val="542672D3"/>
    <w:rsid w:val="54333BFC"/>
    <w:rsid w:val="54400ADF"/>
    <w:rsid w:val="54462559"/>
    <w:rsid w:val="54495365"/>
    <w:rsid w:val="544A2476"/>
    <w:rsid w:val="544D6086"/>
    <w:rsid w:val="5454111A"/>
    <w:rsid w:val="545A4256"/>
    <w:rsid w:val="5464719E"/>
    <w:rsid w:val="54685B03"/>
    <w:rsid w:val="546E42DD"/>
    <w:rsid w:val="54706DDA"/>
    <w:rsid w:val="547C4FF1"/>
    <w:rsid w:val="548412D3"/>
    <w:rsid w:val="54890857"/>
    <w:rsid w:val="5490468F"/>
    <w:rsid w:val="54931516"/>
    <w:rsid w:val="54977258"/>
    <w:rsid w:val="54A0435F"/>
    <w:rsid w:val="54A2162D"/>
    <w:rsid w:val="54A30405"/>
    <w:rsid w:val="54A65DC1"/>
    <w:rsid w:val="54AD082A"/>
    <w:rsid w:val="54B96610"/>
    <w:rsid w:val="54BD77A2"/>
    <w:rsid w:val="54C16083"/>
    <w:rsid w:val="54C66884"/>
    <w:rsid w:val="54C87412"/>
    <w:rsid w:val="54D47B64"/>
    <w:rsid w:val="54DC0FEF"/>
    <w:rsid w:val="54E748E1"/>
    <w:rsid w:val="54F03F7C"/>
    <w:rsid w:val="550D4E98"/>
    <w:rsid w:val="55164621"/>
    <w:rsid w:val="551D59AF"/>
    <w:rsid w:val="55271327"/>
    <w:rsid w:val="55327F34"/>
    <w:rsid w:val="55373E29"/>
    <w:rsid w:val="554B7A82"/>
    <w:rsid w:val="554C5E04"/>
    <w:rsid w:val="55521578"/>
    <w:rsid w:val="556667FB"/>
    <w:rsid w:val="55826E84"/>
    <w:rsid w:val="558545DC"/>
    <w:rsid w:val="55886BA1"/>
    <w:rsid w:val="559E1AD2"/>
    <w:rsid w:val="559F4616"/>
    <w:rsid w:val="55A56C8F"/>
    <w:rsid w:val="55A83F6F"/>
    <w:rsid w:val="55AF412E"/>
    <w:rsid w:val="55B3730C"/>
    <w:rsid w:val="55BB0D24"/>
    <w:rsid w:val="55BD4A9D"/>
    <w:rsid w:val="55C638B5"/>
    <w:rsid w:val="55C958CD"/>
    <w:rsid w:val="55CD5369"/>
    <w:rsid w:val="55CE7C2D"/>
    <w:rsid w:val="55DB7E5F"/>
    <w:rsid w:val="55E42E21"/>
    <w:rsid w:val="55E7568D"/>
    <w:rsid w:val="55EA450B"/>
    <w:rsid w:val="55FD7306"/>
    <w:rsid w:val="5600598E"/>
    <w:rsid w:val="56041A66"/>
    <w:rsid w:val="560D6542"/>
    <w:rsid w:val="561843C9"/>
    <w:rsid w:val="561D688D"/>
    <w:rsid w:val="5621502B"/>
    <w:rsid w:val="562543F0"/>
    <w:rsid w:val="5635119C"/>
    <w:rsid w:val="56372AA1"/>
    <w:rsid w:val="563F7980"/>
    <w:rsid w:val="56442D26"/>
    <w:rsid w:val="564F10A5"/>
    <w:rsid w:val="565659B6"/>
    <w:rsid w:val="565B2285"/>
    <w:rsid w:val="5663592E"/>
    <w:rsid w:val="56710028"/>
    <w:rsid w:val="56733317"/>
    <w:rsid w:val="56764C4B"/>
    <w:rsid w:val="567809C3"/>
    <w:rsid w:val="56786C15"/>
    <w:rsid w:val="567C0A12"/>
    <w:rsid w:val="567C4958"/>
    <w:rsid w:val="567E3121"/>
    <w:rsid w:val="56815ACA"/>
    <w:rsid w:val="56826897"/>
    <w:rsid w:val="568C66C4"/>
    <w:rsid w:val="5691714A"/>
    <w:rsid w:val="569945BB"/>
    <w:rsid w:val="569A38F7"/>
    <w:rsid w:val="569F0646"/>
    <w:rsid w:val="56AA4418"/>
    <w:rsid w:val="56AD2D63"/>
    <w:rsid w:val="56B23ED5"/>
    <w:rsid w:val="56BA0FDC"/>
    <w:rsid w:val="56BD742D"/>
    <w:rsid w:val="56C10105"/>
    <w:rsid w:val="56C51CE4"/>
    <w:rsid w:val="56C5791E"/>
    <w:rsid w:val="56C63E25"/>
    <w:rsid w:val="56C836F9"/>
    <w:rsid w:val="56CA06E9"/>
    <w:rsid w:val="56CB3376"/>
    <w:rsid w:val="56CD23EF"/>
    <w:rsid w:val="56CF0F2B"/>
    <w:rsid w:val="56D85C73"/>
    <w:rsid w:val="56D86E7D"/>
    <w:rsid w:val="56D971CB"/>
    <w:rsid w:val="56E831AA"/>
    <w:rsid w:val="56E923B5"/>
    <w:rsid w:val="56FD749A"/>
    <w:rsid w:val="57032C1B"/>
    <w:rsid w:val="5705494D"/>
    <w:rsid w:val="570861EB"/>
    <w:rsid w:val="57154464"/>
    <w:rsid w:val="572215FA"/>
    <w:rsid w:val="572528F9"/>
    <w:rsid w:val="57274A7F"/>
    <w:rsid w:val="572A68B5"/>
    <w:rsid w:val="572C501D"/>
    <w:rsid w:val="5730129E"/>
    <w:rsid w:val="573568B4"/>
    <w:rsid w:val="57367F56"/>
    <w:rsid w:val="57390FA0"/>
    <w:rsid w:val="573A3C55"/>
    <w:rsid w:val="57441650"/>
    <w:rsid w:val="574470E8"/>
    <w:rsid w:val="575647F6"/>
    <w:rsid w:val="575D7F16"/>
    <w:rsid w:val="576757A8"/>
    <w:rsid w:val="576A2A02"/>
    <w:rsid w:val="57750EF2"/>
    <w:rsid w:val="57766BA1"/>
    <w:rsid w:val="577A6468"/>
    <w:rsid w:val="577B211B"/>
    <w:rsid w:val="577F65DE"/>
    <w:rsid w:val="57880651"/>
    <w:rsid w:val="57931F59"/>
    <w:rsid w:val="57932BF4"/>
    <w:rsid w:val="579E08FE"/>
    <w:rsid w:val="579F72F0"/>
    <w:rsid w:val="57A0610B"/>
    <w:rsid w:val="57A75A04"/>
    <w:rsid w:val="57A84C66"/>
    <w:rsid w:val="57C8408F"/>
    <w:rsid w:val="57CC52BF"/>
    <w:rsid w:val="57D60097"/>
    <w:rsid w:val="57D8796C"/>
    <w:rsid w:val="57DB745C"/>
    <w:rsid w:val="57DE248E"/>
    <w:rsid w:val="57E0784C"/>
    <w:rsid w:val="57EC21E4"/>
    <w:rsid w:val="57FD5B3B"/>
    <w:rsid w:val="58007355"/>
    <w:rsid w:val="580C51AF"/>
    <w:rsid w:val="580D4522"/>
    <w:rsid w:val="580F5923"/>
    <w:rsid w:val="58132DCB"/>
    <w:rsid w:val="581930BF"/>
    <w:rsid w:val="581D5CC6"/>
    <w:rsid w:val="5824248B"/>
    <w:rsid w:val="58334EEC"/>
    <w:rsid w:val="58386E21"/>
    <w:rsid w:val="583D1EC5"/>
    <w:rsid w:val="583E711B"/>
    <w:rsid w:val="58443253"/>
    <w:rsid w:val="584A6390"/>
    <w:rsid w:val="584E41A1"/>
    <w:rsid w:val="58535244"/>
    <w:rsid w:val="58584F50"/>
    <w:rsid w:val="585B234B"/>
    <w:rsid w:val="58663CC4"/>
    <w:rsid w:val="586957F9"/>
    <w:rsid w:val="586B3BEC"/>
    <w:rsid w:val="58733B38"/>
    <w:rsid w:val="5876283A"/>
    <w:rsid w:val="58783ED9"/>
    <w:rsid w:val="587C3C8A"/>
    <w:rsid w:val="587D78EF"/>
    <w:rsid w:val="58857EF4"/>
    <w:rsid w:val="588845A8"/>
    <w:rsid w:val="58887636"/>
    <w:rsid w:val="588911A1"/>
    <w:rsid w:val="588F3676"/>
    <w:rsid w:val="58937F45"/>
    <w:rsid w:val="58976697"/>
    <w:rsid w:val="58B4653A"/>
    <w:rsid w:val="58B542C3"/>
    <w:rsid w:val="58BA1821"/>
    <w:rsid w:val="58C24BD6"/>
    <w:rsid w:val="58CD149A"/>
    <w:rsid w:val="58CD6B38"/>
    <w:rsid w:val="58D353FD"/>
    <w:rsid w:val="58DE4B26"/>
    <w:rsid w:val="58DF241C"/>
    <w:rsid w:val="58E13419"/>
    <w:rsid w:val="58FE4C40"/>
    <w:rsid w:val="5900361E"/>
    <w:rsid w:val="591946E0"/>
    <w:rsid w:val="59264AD0"/>
    <w:rsid w:val="5926771D"/>
    <w:rsid w:val="59291303"/>
    <w:rsid w:val="592A0E7B"/>
    <w:rsid w:val="592B257A"/>
    <w:rsid w:val="592F3F03"/>
    <w:rsid w:val="59352FC9"/>
    <w:rsid w:val="59385527"/>
    <w:rsid w:val="593B4656"/>
    <w:rsid w:val="593D10F9"/>
    <w:rsid w:val="593D2BEE"/>
    <w:rsid w:val="593F47FB"/>
    <w:rsid w:val="59424160"/>
    <w:rsid w:val="594F3968"/>
    <w:rsid w:val="59540CE2"/>
    <w:rsid w:val="595810E9"/>
    <w:rsid w:val="59594E36"/>
    <w:rsid w:val="595E6596"/>
    <w:rsid w:val="5964540C"/>
    <w:rsid w:val="596A291E"/>
    <w:rsid w:val="596A6CE9"/>
    <w:rsid w:val="596F2BC7"/>
    <w:rsid w:val="59723DF0"/>
    <w:rsid w:val="5976747E"/>
    <w:rsid w:val="597D01C8"/>
    <w:rsid w:val="5980475F"/>
    <w:rsid w:val="59832D80"/>
    <w:rsid w:val="59871CC6"/>
    <w:rsid w:val="5989114D"/>
    <w:rsid w:val="59967ADE"/>
    <w:rsid w:val="59B32CD0"/>
    <w:rsid w:val="59B44408"/>
    <w:rsid w:val="59B71CB2"/>
    <w:rsid w:val="59B77A55"/>
    <w:rsid w:val="59BB5BDE"/>
    <w:rsid w:val="59C7413C"/>
    <w:rsid w:val="59C74B1F"/>
    <w:rsid w:val="59D7243C"/>
    <w:rsid w:val="59DA3161"/>
    <w:rsid w:val="59E03727"/>
    <w:rsid w:val="59E50B7E"/>
    <w:rsid w:val="59EF1B59"/>
    <w:rsid w:val="59F760A3"/>
    <w:rsid w:val="59FE7D8D"/>
    <w:rsid w:val="5A0802B0"/>
    <w:rsid w:val="5A084F4A"/>
    <w:rsid w:val="5A09545B"/>
    <w:rsid w:val="5A0A0D7A"/>
    <w:rsid w:val="5A0D75BD"/>
    <w:rsid w:val="5A133FF3"/>
    <w:rsid w:val="5A1D6888"/>
    <w:rsid w:val="5A2275C4"/>
    <w:rsid w:val="5A2709A7"/>
    <w:rsid w:val="5A37596E"/>
    <w:rsid w:val="5A3D544B"/>
    <w:rsid w:val="5A4028B1"/>
    <w:rsid w:val="5A42572B"/>
    <w:rsid w:val="5A441E84"/>
    <w:rsid w:val="5A4E7F55"/>
    <w:rsid w:val="5A5475FF"/>
    <w:rsid w:val="5A5C2B23"/>
    <w:rsid w:val="5A66567C"/>
    <w:rsid w:val="5A6753E6"/>
    <w:rsid w:val="5A6A1C1E"/>
    <w:rsid w:val="5A6C4E7A"/>
    <w:rsid w:val="5A6E0974"/>
    <w:rsid w:val="5A7C5F6A"/>
    <w:rsid w:val="5A81253D"/>
    <w:rsid w:val="5A8B3CDC"/>
    <w:rsid w:val="5A8F4D88"/>
    <w:rsid w:val="5A963581"/>
    <w:rsid w:val="5A9A53AC"/>
    <w:rsid w:val="5AA004E9"/>
    <w:rsid w:val="5AA419B4"/>
    <w:rsid w:val="5AAB1367"/>
    <w:rsid w:val="5AB4687D"/>
    <w:rsid w:val="5AB60996"/>
    <w:rsid w:val="5AB8708A"/>
    <w:rsid w:val="5ABA2901"/>
    <w:rsid w:val="5ABB4E82"/>
    <w:rsid w:val="5AC415C1"/>
    <w:rsid w:val="5AC43E3E"/>
    <w:rsid w:val="5AC4439B"/>
    <w:rsid w:val="5AC8016B"/>
    <w:rsid w:val="5ACE0FCB"/>
    <w:rsid w:val="5ACE52FA"/>
    <w:rsid w:val="5ADB292A"/>
    <w:rsid w:val="5ADF1011"/>
    <w:rsid w:val="5AFC03BE"/>
    <w:rsid w:val="5AFE6E9D"/>
    <w:rsid w:val="5B0D3847"/>
    <w:rsid w:val="5B101B12"/>
    <w:rsid w:val="5B1431B5"/>
    <w:rsid w:val="5B1D4B40"/>
    <w:rsid w:val="5B1E514A"/>
    <w:rsid w:val="5B23613A"/>
    <w:rsid w:val="5B280B1F"/>
    <w:rsid w:val="5B297510"/>
    <w:rsid w:val="5B2D55FA"/>
    <w:rsid w:val="5B2E58CC"/>
    <w:rsid w:val="5B345A10"/>
    <w:rsid w:val="5B3C46B5"/>
    <w:rsid w:val="5B5160B3"/>
    <w:rsid w:val="5B547C51"/>
    <w:rsid w:val="5B554902"/>
    <w:rsid w:val="5B5D36FD"/>
    <w:rsid w:val="5B5E287E"/>
    <w:rsid w:val="5B5F21EB"/>
    <w:rsid w:val="5B5F3427"/>
    <w:rsid w:val="5B615ECA"/>
    <w:rsid w:val="5B6D2AC1"/>
    <w:rsid w:val="5B6F0312"/>
    <w:rsid w:val="5B7114D5"/>
    <w:rsid w:val="5B7932B0"/>
    <w:rsid w:val="5B7976B8"/>
    <w:rsid w:val="5B7E6D5E"/>
    <w:rsid w:val="5B8075C3"/>
    <w:rsid w:val="5B834092"/>
    <w:rsid w:val="5B834D2E"/>
    <w:rsid w:val="5B85160A"/>
    <w:rsid w:val="5B876C81"/>
    <w:rsid w:val="5B885A4B"/>
    <w:rsid w:val="5B8F2A37"/>
    <w:rsid w:val="5B932153"/>
    <w:rsid w:val="5B997251"/>
    <w:rsid w:val="5B9C7CE1"/>
    <w:rsid w:val="5BA44199"/>
    <w:rsid w:val="5BB027E6"/>
    <w:rsid w:val="5BB95D06"/>
    <w:rsid w:val="5BBA489F"/>
    <w:rsid w:val="5BC546AB"/>
    <w:rsid w:val="5BC83BF2"/>
    <w:rsid w:val="5BCC630D"/>
    <w:rsid w:val="5BDE099F"/>
    <w:rsid w:val="5BDE4BEB"/>
    <w:rsid w:val="5BDF7EA3"/>
    <w:rsid w:val="5BE57B9E"/>
    <w:rsid w:val="5BE84A73"/>
    <w:rsid w:val="5BEB627C"/>
    <w:rsid w:val="5BF25BF4"/>
    <w:rsid w:val="5BF740C8"/>
    <w:rsid w:val="5BFB254F"/>
    <w:rsid w:val="5BFB631F"/>
    <w:rsid w:val="5C042965"/>
    <w:rsid w:val="5C0C77F0"/>
    <w:rsid w:val="5C0D700B"/>
    <w:rsid w:val="5C137809"/>
    <w:rsid w:val="5C15155E"/>
    <w:rsid w:val="5C1A51BB"/>
    <w:rsid w:val="5C261418"/>
    <w:rsid w:val="5C290ED6"/>
    <w:rsid w:val="5C294C3A"/>
    <w:rsid w:val="5C2F6122"/>
    <w:rsid w:val="5C31477A"/>
    <w:rsid w:val="5C3A043F"/>
    <w:rsid w:val="5C427AAA"/>
    <w:rsid w:val="5C427C1E"/>
    <w:rsid w:val="5C4A0413"/>
    <w:rsid w:val="5C4E28F2"/>
    <w:rsid w:val="5C545A2F"/>
    <w:rsid w:val="5C5463CA"/>
    <w:rsid w:val="5C5D48E3"/>
    <w:rsid w:val="5C5D4BF6"/>
    <w:rsid w:val="5C5D5A52"/>
    <w:rsid w:val="5C6A7D0A"/>
    <w:rsid w:val="5C6F1771"/>
    <w:rsid w:val="5C7834CB"/>
    <w:rsid w:val="5C7B745F"/>
    <w:rsid w:val="5C7C5F24"/>
    <w:rsid w:val="5C9B59BE"/>
    <w:rsid w:val="5CA9605F"/>
    <w:rsid w:val="5CBC63CF"/>
    <w:rsid w:val="5CBF6144"/>
    <w:rsid w:val="5CC52C9F"/>
    <w:rsid w:val="5CCF4D7C"/>
    <w:rsid w:val="5CD16442"/>
    <w:rsid w:val="5CD32DF8"/>
    <w:rsid w:val="5CD65890"/>
    <w:rsid w:val="5CDD3C76"/>
    <w:rsid w:val="5CDE7650"/>
    <w:rsid w:val="5CE5739D"/>
    <w:rsid w:val="5CE7096E"/>
    <w:rsid w:val="5CEF3B55"/>
    <w:rsid w:val="5CF1364B"/>
    <w:rsid w:val="5CFC6935"/>
    <w:rsid w:val="5CFD3509"/>
    <w:rsid w:val="5D033E82"/>
    <w:rsid w:val="5D09006F"/>
    <w:rsid w:val="5D17653E"/>
    <w:rsid w:val="5D1C04EE"/>
    <w:rsid w:val="5D385A51"/>
    <w:rsid w:val="5D3D5AA2"/>
    <w:rsid w:val="5D3F223B"/>
    <w:rsid w:val="5D3F7E41"/>
    <w:rsid w:val="5D4A2E8D"/>
    <w:rsid w:val="5D4A30A4"/>
    <w:rsid w:val="5D5071A3"/>
    <w:rsid w:val="5D562094"/>
    <w:rsid w:val="5D5757D7"/>
    <w:rsid w:val="5D606E8E"/>
    <w:rsid w:val="5D665A1A"/>
    <w:rsid w:val="5D755205"/>
    <w:rsid w:val="5D765713"/>
    <w:rsid w:val="5D7B56E9"/>
    <w:rsid w:val="5D8060C1"/>
    <w:rsid w:val="5D8B2442"/>
    <w:rsid w:val="5D8F6E67"/>
    <w:rsid w:val="5D985A98"/>
    <w:rsid w:val="5D9E3405"/>
    <w:rsid w:val="5DA17326"/>
    <w:rsid w:val="5DA76E49"/>
    <w:rsid w:val="5DA87079"/>
    <w:rsid w:val="5DAD423C"/>
    <w:rsid w:val="5DB26EB1"/>
    <w:rsid w:val="5DB66F06"/>
    <w:rsid w:val="5DC50877"/>
    <w:rsid w:val="5DC7089F"/>
    <w:rsid w:val="5DD76147"/>
    <w:rsid w:val="5DD961EC"/>
    <w:rsid w:val="5DD96AE8"/>
    <w:rsid w:val="5DDB65EB"/>
    <w:rsid w:val="5DDD72A4"/>
    <w:rsid w:val="5DDE0692"/>
    <w:rsid w:val="5DE448E2"/>
    <w:rsid w:val="5DEA5C05"/>
    <w:rsid w:val="5DFE20F6"/>
    <w:rsid w:val="5E07081C"/>
    <w:rsid w:val="5E0A45F7"/>
    <w:rsid w:val="5E115AB7"/>
    <w:rsid w:val="5E1A27EC"/>
    <w:rsid w:val="5E232807"/>
    <w:rsid w:val="5E277664"/>
    <w:rsid w:val="5E296E28"/>
    <w:rsid w:val="5E2A1BA6"/>
    <w:rsid w:val="5E2E50AE"/>
    <w:rsid w:val="5E2F67D9"/>
    <w:rsid w:val="5E337517"/>
    <w:rsid w:val="5E373A43"/>
    <w:rsid w:val="5E4D11B2"/>
    <w:rsid w:val="5E7204A9"/>
    <w:rsid w:val="5E7613DA"/>
    <w:rsid w:val="5E7A5C21"/>
    <w:rsid w:val="5E7B3175"/>
    <w:rsid w:val="5E7F1DAA"/>
    <w:rsid w:val="5E8865A8"/>
    <w:rsid w:val="5EA362A4"/>
    <w:rsid w:val="5EA365C6"/>
    <w:rsid w:val="5EA66A16"/>
    <w:rsid w:val="5EA83BEC"/>
    <w:rsid w:val="5EB01642"/>
    <w:rsid w:val="5EB24A6A"/>
    <w:rsid w:val="5EB427B5"/>
    <w:rsid w:val="5EC91D35"/>
    <w:rsid w:val="5EC92704"/>
    <w:rsid w:val="5ECF429A"/>
    <w:rsid w:val="5ED20338"/>
    <w:rsid w:val="5ED3607C"/>
    <w:rsid w:val="5ED96B89"/>
    <w:rsid w:val="5EE256D3"/>
    <w:rsid w:val="5EE664D7"/>
    <w:rsid w:val="5EED1617"/>
    <w:rsid w:val="5EF34714"/>
    <w:rsid w:val="5EF67A48"/>
    <w:rsid w:val="5F02464E"/>
    <w:rsid w:val="5F0D6512"/>
    <w:rsid w:val="5F152B16"/>
    <w:rsid w:val="5F2112A9"/>
    <w:rsid w:val="5F262D62"/>
    <w:rsid w:val="5F294EAB"/>
    <w:rsid w:val="5F2B2A77"/>
    <w:rsid w:val="5F2F3B47"/>
    <w:rsid w:val="5F337B7D"/>
    <w:rsid w:val="5F381638"/>
    <w:rsid w:val="5F385194"/>
    <w:rsid w:val="5F39466A"/>
    <w:rsid w:val="5F3F3B38"/>
    <w:rsid w:val="5F48716A"/>
    <w:rsid w:val="5F4E07AF"/>
    <w:rsid w:val="5F546472"/>
    <w:rsid w:val="5F577D10"/>
    <w:rsid w:val="5F600156"/>
    <w:rsid w:val="5F60052A"/>
    <w:rsid w:val="5F610521"/>
    <w:rsid w:val="5F6A784D"/>
    <w:rsid w:val="5F7909D5"/>
    <w:rsid w:val="5F7A1C50"/>
    <w:rsid w:val="5F844AD9"/>
    <w:rsid w:val="5F8605F5"/>
    <w:rsid w:val="5F8A3860"/>
    <w:rsid w:val="5F8B79B9"/>
    <w:rsid w:val="5F8E399B"/>
    <w:rsid w:val="5F900678"/>
    <w:rsid w:val="5F921CCC"/>
    <w:rsid w:val="5F9413A5"/>
    <w:rsid w:val="5FAA6092"/>
    <w:rsid w:val="5FAB1321"/>
    <w:rsid w:val="5FAD5B82"/>
    <w:rsid w:val="5FB57726"/>
    <w:rsid w:val="5FCA13E5"/>
    <w:rsid w:val="5FE53D24"/>
    <w:rsid w:val="5FE97CE0"/>
    <w:rsid w:val="5FF1718F"/>
    <w:rsid w:val="5FF7624F"/>
    <w:rsid w:val="5FFE018B"/>
    <w:rsid w:val="60011A2A"/>
    <w:rsid w:val="600C3DFE"/>
    <w:rsid w:val="600D2B78"/>
    <w:rsid w:val="602120CC"/>
    <w:rsid w:val="602A0F45"/>
    <w:rsid w:val="60332973"/>
    <w:rsid w:val="6034109C"/>
    <w:rsid w:val="6038011E"/>
    <w:rsid w:val="603C37DA"/>
    <w:rsid w:val="603D07BA"/>
    <w:rsid w:val="60471D55"/>
    <w:rsid w:val="604A2B00"/>
    <w:rsid w:val="60504E6D"/>
    <w:rsid w:val="60583EE0"/>
    <w:rsid w:val="606240AC"/>
    <w:rsid w:val="606326E4"/>
    <w:rsid w:val="60681636"/>
    <w:rsid w:val="60730B79"/>
    <w:rsid w:val="607A553F"/>
    <w:rsid w:val="60856E99"/>
    <w:rsid w:val="608D01EF"/>
    <w:rsid w:val="60950663"/>
    <w:rsid w:val="60951DAA"/>
    <w:rsid w:val="609603C4"/>
    <w:rsid w:val="609A79E1"/>
    <w:rsid w:val="609B47A1"/>
    <w:rsid w:val="609B659B"/>
    <w:rsid w:val="60A04138"/>
    <w:rsid w:val="60A246D9"/>
    <w:rsid w:val="60AB5CAE"/>
    <w:rsid w:val="60AE6129"/>
    <w:rsid w:val="60AE6191"/>
    <w:rsid w:val="60B45728"/>
    <w:rsid w:val="60B474FE"/>
    <w:rsid w:val="60B562CA"/>
    <w:rsid w:val="60C463E8"/>
    <w:rsid w:val="60D36CFD"/>
    <w:rsid w:val="60D84E80"/>
    <w:rsid w:val="60D96503"/>
    <w:rsid w:val="60DC2FDA"/>
    <w:rsid w:val="60DC30C7"/>
    <w:rsid w:val="60DF1D6B"/>
    <w:rsid w:val="60E530F9"/>
    <w:rsid w:val="60F21582"/>
    <w:rsid w:val="60FF0277"/>
    <w:rsid w:val="60FF41BB"/>
    <w:rsid w:val="61031824"/>
    <w:rsid w:val="610931A1"/>
    <w:rsid w:val="6109328C"/>
    <w:rsid w:val="61195BDB"/>
    <w:rsid w:val="611A6E51"/>
    <w:rsid w:val="611E1E93"/>
    <w:rsid w:val="61230DB1"/>
    <w:rsid w:val="61284039"/>
    <w:rsid w:val="61295692"/>
    <w:rsid w:val="612E684E"/>
    <w:rsid w:val="61426A5A"/>
    <w:rsid w:val="614A736F"/>
    <w:rsid w:val="61520206"/>
    <w:rsid w:val="61532759"/>
    <w:rsid w:val="61573FF7"/>
    <w:rsid w:val="615B2179"/>
    <w:rsid w:val="615B2281"/>
    <w:rsid w:val="61724912"/>
    <w:rsid w:val="61726B6E"/>
    <w:rsid w:val="618014ED"/>
    <w:rsid w:val="618136D7"/>
    <w:rsid w:val="61822C96"/>
    <w:rsid w:val="6186668A"/>
    <w:rsid w:val="61897E4E"/>
    <w:rsid w:val="61897F29"/>
    <w:rsid w:val="618C458D"/>
    <w:rsid w:val="61967BF9"/>
    <w:rsid w:val="61A60ADB"/>
    <w:rsid w:val="61A73A5A"/>
    <w:rsid w:val="61B74BEC"/>
    <w:rsid w:val="61C21A81"/>
    <w:rsid w:val="61C52F73"/>
    <w:rsid w:val="61C827FF"/>
    <w:rsid w:val="61CD6E2F"/>
    <w:rsid w:val="61CF60B0"/>
    <w:rsid w:val="61DE18A1"/>
    <w:rsid w:val="61E226F2"/>
    <w:rsid w:val="61E26610"/>
    <w:rsid w:val="61E725CD"/>
    <w:rsid w:val="61EA2C2E"/>
    <w:rsid w:val="61EA7A4E"/>
    <w:rsid w:val="61EE237D"/>
    <w:rsid w:val="620D0B5A"/>
    <w:rsid w:val="62157A0E"/>
    <w:rsid w:val="621C6FEF"/>
    <w:rsid w:val="6223385A"/>
    <w:rsid w:val="62286B98"/>
    <w:rsid w:val="622F3C9A"/>
    <w:rsid w:val="62312A9A"/>
    <w:rsid w:val="62322205"/>
    <w:rsid w:val="62347E94"/>
    <w:rsid w:val="62353C0D"/>
    <w:rsid w:val="623567FC"/>
    <w:rsid w:val="623778EE"/>
    <w:rsid w:val="62465E1F"/>
    <w:rsid w:val="62514464"/>
    <w:rsid w:val="625225CE"/>
    <w:rsid w:val="625B18C5"/>
    <w:rsid w:val="626D45DB"/>
    <w:rsid w:val="62715DDE"/>
    <w:rsid w:val="62860F7D"/>
    <w:rsid w:val="62881227"/>
    <w:rsid w:val="62882FAA"/>
    <w:rsid w:val="628D2D36"/>
    <w:rsid w:val="62905C19"/>
    <w:rsid w:val="6293090B"/>
    <w:rsid w:val="6295765E"/>
    <w:rsid w:val="629807C7"/>
    <w:rsid w:val="62A35459"/>
    <w:rsid w:val="62AF1BB1"/>
    <w:rsid w:val="62BD2B19"/>
    <w:rsid w:val="62BD6442"/>
    <w:rsid w:val="62C47867"/>
    <w:rsid w:val="62C54F90"/>
    <w:rsid w:val="62C8143D"/>
    <w:rsid w:val="62C82150"/>
    <w:rsid w:val="62CC631F"/>
    <w:rsid w:val="62CE5613"/>
    <w:rsid w:val="62D31ED9"/>
    <w:rsid w:val="62DE0232"/>
    <w:rsid w:val="62E201CD"/>
    <w:rsid w:val="62E73159"/>
    <w:rsid w:val="62EC1A45"/>
    <w:rsid w:val="62F545C9"/>
    <w:rsid w:val="62FE7B96"/>
    <w:rsid w:val="630A2537"/>
    <w:rsid w:val="630B615E"/>
    <w:rsid w:val="630E2F20"/>
    <w:rsid w:val="63166B63"/>
    <w:rsid w:val="632B3C4F"/>
    <w:rsid w:val="632D6E84"/>
    <w:rsid w:val="63316161"/>
    <w:rsid w:val="63316CE2"/>
    <w:rsid w:val="63361EA3"/>
    <w:rsid w:val="633B6768"/>
    <w:rsid w:val="633E6084"/>
    <w:rsid w:val="63634A93"/>
    <w:rsid w:val="636A5642"/>
    <w:rsid w:val="636B33B8"/>
    <w:rsid w:val="636C04B6"/>
    <w:rsid w:val="63700685"/>
    <w:rsid w:val="6378572F"/>
    <w:rsid w:val="637858CC"/>
    <w:rsid w:val="638135AD"/>
    <w:rsid w:val="63894D5F"/>
    <w:rsid w:val="638C231C"/>
    <w:rsid w:val="638C2C93"/>
    <w:rsid w:val="63932B55"/>
    <w:rsid w:val="63A61BED"/>
    <w:rsid w:val="63A62250"/>
    <w:rsid w:val="63A6317A"/>
    <w:rsid w:val="63B15515"/>
    <w:rsid w:val="63BE2BF0"/>
    <w:rsid w:val="63CB0937"/>
    <w:rsid w:val="63D83E6C"/>
    <w:rsid w:val="63D92EB2"/>
    <w:rsid w:val="63DA3BD9"/>
    <w:rsid w:val="63E27DBB"/>
    <w:rsid w:val="63E31B72"/>
    <w:rsid w:val="63E87188"/>
    <w:rsid w:val="63EC5275"/>
    <w:rsid w:val="63F41499"/>
    <w:rsid w:val="63F83DE9"/>
    <w:rsid w:val="63FD075A"/>
    <w:rsid w:val="63FF63A4"/>
    <w:rsid w:val="64030C23"/>
    <w:rsid w:val="64050696"/>
    <w:rsid w:val="640B731B"/>
    <w:rsid w:val="641E2BAA"/>
    <w:rsid w:val="642068FE"/>
    <w:rsid w:val="642D04FF"/>
    <w:rsid w:val="642D54E3"/>
    <w:rsid w:val="643C436B"/>
    <w:rsid w:val="64426F90"/>
    <w:rsid w:val="644A5489"/>
    <w:rsid w:val="645C5DB7"/>
    <w:rsid w:val="64624975"/>
    <w:rsid w:val="64740565"/>
    <w:rsid w:val="647D5B67"/>
    <w:rsid w:val="647E30EB"/>
    <w:rsid w:val="647F7CBF"/>
    <w:rsid w:val="64811BC7"/>
    <w:rsid w:val="6483533D"/>
    <w:rsid w:val="64970BAF"/>
    <w:rsid w:val="649B29E6"/>
    <w:rsid w:val="649F3E1F"/>
    <w:rsid w:val="649F523A"/>
    <w:rsid w:val="64A00C5C"/>
    <w:rsid w:val="64AB4D1E"/>
    <w:rsid w:val="64C2074B"/>
    <w:rsid w:val="64C2401F"/>
    <w:rsid w:val="64C9520C"/>
    <w:rsid w:val="64CA0F84"/>
    <w:rsid w:val="64D225C1"/>
    <w:rsid w:val="64E262CE"/>
    <w:rsid w:val="64E3157A"/>
    <w:rsid w:val="64E37F86"/>
    <w:rsid w:val="64E80AE5"/>
    <w:rsid w:val="64E90785"/>
    <w:rsid w:val="651915C4"/>
    <w:rsid w:val="651A10FF"/>
    <w:rsid w:val="651D5558"/>
    <w:rsid w:val="651E42DB"/>
    <w:rsid w:val="6521282A"/>
    <w:rsid w:val="65257E83"/>
    <w:rsid w:val="652A1A23"/>
    <w:rsid w:val="652C3DF0"/>
    <w:rsid w:val="65401BDA"/>
    <w:rsid w:val="65437FED"/>
    <w:rsid w:val="654B362A"/>
    <w:rsid w:val="655743E0"/>
    <w:rsid w:val="655D0C57"/>
    <w:rsid w:val="65646CE3"/>
    <w:rsid w:val="6579025A"/>
    <w:rsid w:val="657C5DF9"/>
    <w:rsid w:val="65836819"/>
    <w:rsid w:val="658409EC"/>
    <w:rsid w:val="658B3472"/>
    <w:rsid w:val="658E193F"/>
    <w:rsid w:val="658E7361"/>
    <w:rsid w:val="6591406F"/>
    <w:rsid w:val="65AE61B0"/>
    <w:rsid w:val="65B16B6A"/>
    <w:rsid w:val="65C965E4"/>
    <w:rsid w:val="65DB6C03"/>
    <w:rsid w:val="65F173BB"/>
    <w:rsid w:val="65F22540"/>
    <w:rsid w:val="65F531F9"/>
    <w:rsid w:val="65F617CA"/>
    <w:rsid w:val="65FE0EE5"/>
    <w:rsid w:val="6603745C"/>
    <w:rsid w:val="660C47D3"/>
    <w:rsid w:val="660E58B6"/>
    <w:rsid w:val="661204ED"/>
    <w:rsid w:val="66193EAD"/>
    <w:rsid w:val="661F6E9C"/>
    <w:rsid w:val="6627461B"/>
    <w:rsid w:val="66291AA0"/>
    <w:rsid w:val="66324B37"/>
    <w:rsid w:val="66417873"/>
    <w:rsid w:val="664660AA"/>
    <w:rsid w:val="66477469"/>
    <w:rsid w:val="664D1238"/>
    <w:rsid w:val="66513C62"/>
    <w:rsid w:val="665516B2"/>
    <w:rsid w:val="66573DDA"/>
    <w:rsid w:val="666D3AFB"/>
    <w:rsid w:val="666F3667"/>
    <w:rsid w:val="6670756A"/>
    <w:rsid w:val="667A2EDF"/>
    <w:rsid w:val="667C0D13"/>
    <w:rsid w:val="667E2026"/>
    <w:rsid w:val="66856E20"/>
    <w:rsid w:val="66886A01"/>
    <w:rsid w:val="668A126C"/>
    <w:rsid w:val="6695111E"/>
    <w:rsid w:val="66A870A3"/>
    <w:rsid w:val="66AB446B"/>
    <w:rsid w:val="66BC48FC"/>
    <w:rsid w:val="66CA352C"/>
    <w:rsid w:val="66CD189A"/>
    <w:rsid w:val="66D63C10"/>
    <w:rsid w:val="66D70DFD"/>
    <w:rsid w:val="66DE185B"/>
    <w:rsid w:val="66E05519"/>
    <w:rsid w:val="66E5049F"/>
    <w:rsid w:val="66E7331C"/>
    <w:rsid w:val="66E76210"/>
    <w:rsid w:val="66E77BCB"/>
    <w:rsid w:val="66E970E9"/>
    <w:rsid w:val="66EA1682"/>
    <w:rsid w:val="66EF396D"/>
    <w:rsid w:val="66F879DC"/>
    <w:rsid w:val="66FC5753"/>
    <w:rsid w:val="670C3246"/>
    <w:rsid w:val="670D2B21"/>
    <w:rsid w:val="670E78A6"/>
    <w:rsid w:val="670F3FCD"/>
    <w:rsid w:val="671B1623"/>
    <w:rsid w:val="671C03AC"/>
    <w:rsid w:val="671F4518"/>
    <w:rsid w:val="672002AE"/>
    <w:rsid w:val="67207DB5"/>
    <w:rsid w:val="67246171"/>
    <w:rsid w:val="672A1C93"/>
    <w:rsid w:val="672D1356"/>
    <w:rsid w:val="673C2F66"/>
    <w:rsid w:val="673D3317"/>
    <w:rsid w:val="67452D1D"/>
    <w:rsid w:val="675212BA"/>
    <w:rsid w:val="675A029F"/>
    <w:rsid w:val="675D5F61"/>
    <w:rsid w:val="675F3F7C"/>
    <w:rsid w:val="67610CEF"/>
    <w:rsid w:val="676236F6"/>
    <w:rsid w:val="67627252"/>
    <w:rsid w:val="676C4E4F"/>
    <w:rsid w:val="6772405B"/>
    <w:rsid w:val="67727CB7"/>
    <w:rsid w:val="677E1682"/>
    <w:rsid w:val="6780590E"/>
    <w:rsid w:val="67847515"/>
    <w:rsid w:val="6788460F"/>
    <w:rsid w:val="67944971"/>
    <w:rsid w:val="67952EA8"/>
    <w:rsid w:val="67B65AD2"/>
    <w:rsid w:val="67BD092C"/>
    <w:rsid w:val="67C12798"/>
    <w:rsid w:val="67C811EE"/>
    <w:rsid w:val="67C95523"/>
    <w:rsid w:val="67CE2B39"/>
    <w:rsid w:val="67D22E92"/>
    <w:rsid w:val="67D265A2"/>
    <w:rsid w:val="67D81A64"/>
    <w:rsid w:val="67DE65A7"/>
    <w:rsid w:val="67E379FA"/>
    <w:rsid w:val="67EE5266"/>
    <w:rsid w:val="67EF4FE5"/>
    <w:rsid w:val="67F43E6D"/>
    <w:rsid w:val="67F51E74"/>
    <w:rsid w:val="680059AD"/>
    <w:rsid w:val="680405A2"/>
    <w:rsid w:val="680D08DE"/>
    <w:rsid w:val="680E1ECB"/>
    <w:rsid w:val="68106CAE"/>
    <w:rsid w:val="68200F09"/>
    <w:rsid w:val="68214F16"/>
    <w:rsid w:val="6828713D"/>
    <w:rsid w:val="683320DB"/>
    <w:rsid w:val="6836496A"/>
    <w:rsid w:val="6838107D"/>
    <w:rsid w:val="683E58F3"/>
    <w:rsid w:val="685A261F"/>
    <w:rsid w:val="685D432D"/>
    <w:rsid w:val="68631EFE"/>
    <w:rsid w:val="68646E89"/>
    <w:rsid w:val="68744CD6"/>
    <w:rsid w:val="687A1D6A"/>
    <w:rsid w:val="687A270B"/>
    <w:rsid w:val="687C4343"/>
    <w:rsid w:val="68823176"/>
    <w:rsid w:val="688431F8"/>
    <w:rsid w:val="68856D07"/>
    <w:rsid w:val="688A4CB2"/>
    <w:rsid w:val="688C4491"/>
    <w:rsid w:val="688D02FE"/>
    <w:rsid w:val="688E0156"/>
    <w:rsid w:val="689374B3"/>
    <w:rsid w:val="68967093"/>
    <w:rsid w:val="68976F3A"/>
    <w:rsid w:val="689A0AC0"/>
    <w:rsid w:val="689B0701"/>
    <w:rsid w:val="68A45F0C"/>
    <w:rsid w:val="68B354E0"/>
    <w:rsid w:val="68B42DD3"/>
    <w:rsid w:val="68B7223A"/>
    <w:rsid w:val="68B807FC"/>
    <w:rsid w:val="68D034A8"/>
    <w:rsid w:val="68E31F36"/>
    <w:rsid w:val="68EB7599"/>
    <w:rsid w:val="68F42840"/>
    <w:rsid w:val="68F62348"/>
    <w:rsid w:val="68F8293F"/>
    <w:rsid w:val="69065ABB"/>
    <w:rsid w:val="690A194F"/>
    <w:rsid w:val="691B7B6D"/>
    <w:rsid w:val="691D772F"/>
    <w:rsid w:val="692235BD"/>
    <w:rsid w:val="69266BA6"/>
    <w:rsid w:val="69343BC4"/>
    <w:rsid w:val="6941000C"/>
    <w:rsid w:val="694110E9"/>
    <w:rsid w:val="69454696"/>
    <w:rsid w:val="69544C84"/>
    <w:rsid w:val="695A5837"/>
    <w:rsid w:val="695B63DE"/>
    <w:rsid w:val="695D2510"/>
    <w:rsid w:val="69654D1D"/>
    <w:rsid w:val="69662542"/>
    <w:rsid w:val="6977720C"/>
    <w:rsid w:val="69780617"/>
    <w:rsid w:val="69801C11"/>
    <w:rsid w:val="69807E63"/>
    <w:rsid w:val="69842249"/>
    <w:rsid w:val="698712EB"/>
    <w:rsid w:val="698A1A75"/>
    <w:rsid w:val="699533D3"/>
    <w:rsid w:val="699A34CC"/>
    <w:rsid w:val="699A5F95"/>
    <w:rsid w:val="69A03A0F"/>
    <w:rsid w:val="69A53A0E"/>
    <w:rsid w:val="69AE3D84"/>
    <w:rsid w:val="69AE49D0"/>
    <w:rsid w:val="69B01F8E"/>
    <w:rsid w:val="69B23F76"/>
    <w:rsid w:val="69B52F6C"/>
    <w:rsid w:val="69B711EF"/>
    <w:rsid w:val="69B95922"/>
    <w:rsid w:val="69CB594C"/>
    <w:rsid w:val="69CE3E1A"/>
    <w:rsid w:val="69D63F27"/>
    <w:rsid w:val="69D84A82"/>
    <w:rsid w:val="69D925FB"/>
    <w:rsid w:val="69E003F4"/>
    <w:rsid w:val="69E0634F"/>
    <w:rsid w:val="69ED1697"/>
    <w:rsid w:val="69F542F6"/>
    <w:rsid w:val="69FA5900"/>
    <w:rsid w:val="69FF46F7"/>
    <w:rsid w:val="69FF522C"/>
    <w:rsid w:val="69FF6FDA"/>
    <w:rsid w:val="6A047DA6"/>
    <w:rsid w:val="6A0F510C"/>
    <w:rsid w:val="6A1B4E53"/>
    <w:rsid w:val="6A1D3904"/>
    <w:rsid w:val="6A205CA5"/>
    <w:rsid w:val="6A222A23"/>
    <w:rsid w:val="6A282BC1"/>
    <w:rsid w:val="6A2B5FBE"/>
    <w:rsid w:val="6A463C3F"/>
    <w:rsid w:val="6A4D7E3C"/>
    <w:rsid w:val="6A505A87"/>
    <w:rsid w:val="6A667059"/>
    <w:rsid w:val="6A68426C"/>
    <w:rsid w:val="6A7A7E0B"/>
    <w:rsid w:val="6A7B2917"/>
    <w:rsid w:val="6A854017"/>
    <w:rsid w:val="6A8B3A03"/>
    <w:rsid w:val="6AA15CF8"/>
    <w:rsid w:val="6AB53970"/>
    <w:rsid w:val="6AB615A5"/>
    <w:rsid w:val="6ABC15DD"/>
    <w:rsid w:val="6AC16435"/>
    <w:rsid w:val="6ACB0BE7"/>
    <w:rsid w:val="6ADD47AC"/>
    <w:rsid w:val="6ADE4CEA"/>
    <w:rsid w:val="6AE52674"/>
    <w:rsid w:val="6AE75C63"/>
    <w:rsid w:val="6B0E4D67"/>
    <w:rsid w:val="6B10651F"/>
    <w:rsid w:val="6B137359"/>
    <w:rsid w:val="6B1758D1"/>
    <w:rsid w:val="6B1F5406"/>
    <w:rsid w:val="6B2547A6"/>
    <w:rsid w:val="6B277E37"/>
    <w:rsid w:val="6B28705B"/>
    <w:rsid w:val="6B2D2481"/>
    <w:rsid w:val="6B341FA8"/>
    <w:rsid w:val="6B3518FC"/>
    <w:rsid w:val="6B357C07"/>
    <w:rsid w:val="6B380279"/>
    <w:rsid w:val="6B3B65A5"/>
    <w:rsid w:val="6B3F5DF0"/>
    <w:rsid w:val="6B484588"/>
    <w:rsid w:val="6B493119"/>
    <w:rsid w:val="6B4A0729"/>
    <w:rsid w:val="6B602D73"/>
    <w:rsid w:val="6B620F91"/>
    <w:rsid w:val="6B6C303D"/>
    <w:rsid w:val="6B7834E8"/>
    <w:rsid w:val="6B7A31E5"/>
    <w:rsid w:val="6B88474D"/>
    <w:rsid w:val="6B8F4B47"/>
    <w:rsid w:val="6B9A3ACA"/>
    <w:rsid w:val="6B9B6320"/>
    <w:rsid w:val="6B9D1C9D"/>
    <w:rsid w:val="6B9E0A74"/>
    <w:rsid w:val="6BA0659B"/>
    <w:rsid w:val="6BA4482C"/>
    <w:rsid w:val="6BAF67DE"/>
    <w:rsid w:val="6BB93A12"/>
    <w:rsid w:val="6BD7165D"/>
    <w:rsid w:val="6BD90426"/>
    <w:rsid w:val="6BDF3567"/>
    <w:rsid w:val="6BE37A69"/>
    <w:rsid w:val="6BE624F7"/>
    <w:rsid w:val="6C022DB1"/>
    <w:rsid w:val="6C024AE2"/>
    <w:rsid w:val="6C0907BC"/>
    <w:rsid w:val="6C0A5BE6"/>
    <w:rsid w:val="6C111665"/>
    <w:rsid w:val="6C156F89"/>
    <w:rsid w:val="6C182331"/>
    <w:rsid w:val="6C186A79"/>
    <w:rsid w:val="6C1949BB"/>
    <w:rsid w:val="6C1B20C5"/>
    <w:rsid w:val="6C1B62D6"/>
    <w:rsid w:val="6C2C7E2E"/>
    <w:rsid w:val="6C3C1522"/>
    <w:rsid w:val="6C465394"/>
    <w:rsid w:val="6C4663B5"/>
    <w:rsid w:val="6C472EBA"/>
    <w:rsid w:val="6C507FA9"/>
    <w:rsid w:val="6C53360D"/>
    <w:rsid w:val="6C535B3D"/>
    <w:rsid w:val="6C553829"/>
    <w:rsid w:val="6C577723"/>
    <w:rsid w:val="6C587138"/>
    <w:rsid w:val="6C5F1AB6"/>
    <w:rsid w:val="6C621AA2"/>
    <w:rsid w:val="6C63233E"/>
    <w:rsid w:val="6C7A1884"/>
    <w:rsid w:val="6C832144"/>
    <w:rsid w:val="6C871509"/>
    <w:rsid w:val="6C913DC1"/>
    <w:rsid w:val="6C9364F1"/>
    <w:rsid w:val="6C947462"/>
    <w:rsid w:val="6C97799E"/>
    <w:rsid w:val="6C984B76"/>
    <w:rsid w:val="6C9A11B7"/>
    <w:rsid w:val="6C9C6D62"/>
    <w:rsid w:val="6C9E6F7E"/>
    <w:rsid w:val="6CAB4E83"/>
    <w:rsid w:val="6CAE6B9F"/>
    <w:rsid w:val="6CB24C3C"/>
    <w:rsid w:val="6CB60ABC"/>
    <w:rsid w:val="6CB71DEE"/>
    <w:rsid w:val="6CBB6437"/>
    <w:rsid w:val="6CBC1067"/>
    <w:rsid w:val="6CBC4500"/>
    <w:rsid w:val="6CC12016"/>
    <w:rsid w:val="6CC2633B"/>
    <w:rsid w:val="6CC462B9"/>
    <w:rsid w:val="6CC938DD"/>
    <w:rsid w:val="6CDB3686"/>
    <w:rsid w:val="6CE63DB7"/>
    <w:rsid w:val="6CE65194"/>
    <w:rsid w:val="6CE765D2"/>
    <w:rsid w:val="6CEF237F"/>
    <w:rsid w:val="6CF26CF0"/>
    <w:rsid w:val="6CFA7F2C"/>
    <w:rsid w:val="6CFC37C6"/>
    <w:rsid w:val="6D045AB3"/>
    <w:rsid w:val="6D050DAB"/>
    <w:rsid w:val="6D087CFA"/>
    <w:rsid w:val="6D0B5EFD"/>
    <w:rsid w:val="6D117EF6"/>
    <w:rsid w:val="6D12171A"/>
    <w:rsid w:val="6D1234C8"/>
    <w:rsid w:val="6D123DBA"/>
    <w:rsid w:val="6D1541B6"/>
    <w:rsid w:val="6D1B7B75"/>
    <w:rsid w:val="6D2466C3"/>
    <w:rsid w:val="6D321C13"/>
    <w:rsid w:val="6D350F65"/>
    <w:rsid w:val="6D3925A3"/>
    <w:rsid w:val="6D43782B"/>
    <w:rsid w:val="6D45389E"/>
    <w:rsid w:val="6D480C98"/>
    <w:rsid w:val="6D554815"/>
    <w:rsid w:val="6D5835D1"/>
    <w:rsid w:val="6D5B6C1D"/>
    <w:rsid w:val="6D605FE2"/>
    <w:rsid w:val="6D625E51"/>
    <w:rsid w:val="6D64302B"/>
    <w:rsid w:val="6D673814"/>
    <w:rsid w:val="6D68133A"/>
    <w:rsid w:val="6D6F3987"/>
    <w:rsid w:val="6D7206C0"/>
    <w:rsid w:val="6D7C20A1"/>
    <w:rsid w:val="6D8F2DDC"/>
    <w:rsid w:val="6D9C2C61"/>
    <w:rsid w:val="6DA700B4"/>
    <w:rsid w:val="6DB46F41"/>
    <w:rsid w:val="6DBE53FE"/>
    <w:rsid w:val="6DBF697D"/>
    <w:rsid w:val="6DC5348A"/>
    <w:rsid w:val="6DC7449B"/>
    <w:rsid w:val="6DCB5E5B"/>
    <w:rsid w:val="6DCC18C9"/>
    <w:rsid w:val="6DDF7AAD"/>
    <w:rsid w:val="6DE0750B"/>
    <w:rsid w:val="6DE172C6"/>
    <w:rsid w:val="6DE936C0"/>
    <w:rsid w:val="6DEB6BE2"/>
    <w:rsid w:val="6DEE5CE3"/>
    <w:rsid w:val="6DFE6057"/>
    <w:rsid w:val="6E0A188B"/>
    <w:rsid w:val="6E200287"/>
    <w:rsid w:val="6E204E22"/>
    <w:rsid w:val="6E296928"/>
    <w:rsid w:val="6E296D1B"/>
    <w:rsid w:val="6E320987"/>
    <w:rsid w:val="6E373775"/>
    <w:rsid w:val="6E3D14AF"/>
    <w:rsid w:val="6E5E6B4E"/>
    <w:rsid w:val="6E6B7334"/>
    <w:rsid w:val="6E6E755F"/>
    <w:rsid w:val="6E714CD0"/>
    <w:rsid w:val="6E7D2BC3"/>
    <w:rsid w:val="6E8321AA"/>
    <w:rsid w:val="6E852AEE"/>
    <w:rsid w:val="6E864FF1"/>
    <w:rsid w:val="6E906F0F"/>
    <w:rsid w:val="6E9578EA"/>
    <w:rsid w:val="6E9879FD"/>
    <w:rsid w:val="6E9B585F"/>
    <w:rsid w:val="6E9C74ED"/>
    <w:rsid w:val="6EA025E8"/>
    <w:rsid w:val="6EA50454"/>
    <w:rsid w:val="6EA74226"/>
    <w:rsid w:val="6EAF2E3C"/>
    <w:rsid w:val="6EAF532E"/>
    <w:rsid w:val="6EB319A6"/>
    <w:rsid w:val="6EBA00D3"/>
    <w:rsid w:val="6EBE3AD7"/>
    <w:rsid w:val="6EC6244D"/>
    <w:rsid w:val="6ED11E1C"/>
    <w:rsid w:val="6ED4262C"/>
    <w:rsid w:val="6EE31485"/>
    <w:rsid w:val="6EE64F22"/>
    <w:rsid w:val="6EFB5B16"/>
    <w:rsid w:val="6F0230CB"/>
    <w:rsid w:val="6F093733"/>
    <w:rsid w:val="6F0C79D3"/>
    <w:rsid w:val="6F142BB3"/>
    <w:rsid w:val="6F1E2182"/>
    <w:rsid w:val="6F2248B8"/>
    <w:rsid w:val="6F2B7E04"/>
    <w:rsid w:val="6F2D052A"/>
    <w:rsid w:val="6F3239AE"/>
    <w:rsid w:val="6F35524C"/>
    <w:rsid w:val="6F3A1A45"/>
    <w:rsid w:val="6F3F2E83"/>
    <w:rsid w:val="6F4B0EBD"/>
    <w:rsid w:val="6F532332"/>
    <w:rsid w:val="6F5A0394"/>
    <w:rsid w:val="6F5C0DC4"/>
    <w:rsid w:val="6F657CF0"/>
    <w:rsid w:val="6F66243D"/>
    <w:rsid w:val="6F6A3147"/>
    <w:rsid w:val="6F6A5C58"/>
    <w:rsid w:val="6F6E2300"/>
    <w:rsid w:val="6F7A0016"/>
    <w:rsid w:val="6F810634"/>
    <w:rsid w:val="6F8A5598"/>
    <w:rsid w:val="6FA25038"/>
    <w:rsid w:val="6FA30F31"/>
    <w:rsid w:val="6FAA3E8C"/>
    <w:rsid w:val="6FB1521A"/>
    <w:rsid w:val="6FB96621"/>
    <w:rsid w:val="6FBB7E47"/>
    <w:rsid w:val="6FCF06E1"/>
    <w:rsid w:val="6FD8136D"/>
    <w:rsid w:val="6FDA2914"/>
    <w:rsid w:val="6FE20013"/>
    <w:rsid w:val="6FE204D3"/>
    <w:rsid w:val="6FE74C12"/>
    <w:rsid w:val="6FEE7FA2"/>
    <w:rsid w:val="6FF037E9"/>
    <w:rsid w:val="6FF869A5"/>
    <w:rsid w:val="6FFE234C"/>
    <w:rsid w:val="6FFF10F3"/>
    <w:rsid w:val="700A3BC3"/>
    <w:rsid w:val="700E02FA"/>
    <w:rsid w:val="70147557"/>
    <w:rsid w:val="701E2184"/>
    <w:rsid w:val="70311EB7"/>
    <w:rsid w:val="703F1B2B"/>
    <w:rsid w:val="70511BA4"/>
    <w:rsid w:val="70530F3A"/>
    <w:rsid w:val="705E19FC"/>
    <w:rsid w:val="7062690C"/>
    <w:rsid w:val="7064391D"/>
    <w:rsid w:val="706F27B4"/>
    <w:rsid w:val="70753528"/>
    <w:rsid w:val="707D50FC"/>
    <w:rsid w:val="70855C7C"/>
    <w:rsid w:val="708B619E"/>
    <w:rsid w:val="70950790"/>
    <w:rsid w:val="70967AF3"/>
    <w:rsid w:val="70B82CB5"/>
    <w:rsid w:val="70CB30DF"/>
    <w:rsid w:val="70CF0107"/>
    <w:rsid w:val="70D67EF2"/>
    <w:rsid w:val="70DB7A60"/>
    <w:rsid w:val="70DF5DB7"/>
    <w:rsid w:val="70E95815"/>
    <w:rsid w:val="70F854E6"/>
    <w:rsid w:val="70F90CCC"/>
    <w:rsid w:val="70FB2244"/>
    <w:rsid w:val="70FE448F"/>
    <w:rsid w:val="71003FCD"/>
    <w:rsid w:val="71094E56"/>
    <w:rsid w:val="71121E52"/>
    <w:rsid w:val="7115449B"/>
    <w:rsid w:val="711C4BBB"/>
    <w:rsid w:val="711E2EDA"/>
    <w:rsid w:val="711E2F76"/>
    <w:rsid w:val="711F4406"/>
    <w:rsid w:val="711F7AFA"/>
    <w:rsid w:val="71203E71"/>
    <w:rsid w:val="712113A3"/>
    <w:rsid w:val="71372894"/>
    <w:rsid w:val="713B6EE8"/>
    <w:rsid w:val="71493231"/>
    <w:rsid w:val="71501C2A"/>
    <w:rsid w:val="71671338"/>
    <w:rsid w:val="716B1FAC"/>
    <w:rsid w:val="716F16CE"/>
    <w:rsid w:val="71775FF0"/>
    <w:rsid w:val="718346BE"/>
    <w:rsid w:val="71863D5C"/>
    <w:rsid w:val="718F3339"/>
    <w:rsid w:val="718F5912"/>
    <w:rsid w:val="718F60EA"/>
    <w:rsid w:val="71950224"/>
    <w:rsid w:val="71997C7D"/>
    <w:rsid w:val="719E0580"/>
    <w:rsid w:val="71A128C0"/>
    <w:rsid w:val="71B0505E"/>
    <w:rsid w:val="71B05423"/>
    <w:rsid w:val="71B454B0"/>
    <w:rsid w:val="71BB7EAA"/>
    <w:rsid w:val="71BE31F4"/>
    <w:rsid w:val="71C40596"/>
    <w:rsid w:val="71C50B09"/>
    <w:rsid w:val="71D167CD"/>
    <w:rsid w:val="71DB032D"/>
    <w:rsid w:val="71E7789A"/>
    <w:rsid w:val="71F0172A"/>
    <w:rsid w:val="71F2415A"/>
    <w:rsid w:val="71F32F65"/>
    <w:rsid w:val="71F9656A"/>
    <w:rsid w:val="72001E9F"/>
    <w:rsid w:val="7201489D"/>
    <w:rsid w:val="72023B0B"/>
    <w:rsid w:val="720569BE"/>
    <w:rsid w:val="72091B27"/>
    <w:rsid w:val="720F64CC"/>
    <w:rsid w:val="72107B2F"/>
    <w:rsid w:val="721E3EE2"/>
    <w:rsid w:val="72235749"/>
    <w:rsid w:val="72241D64"/>
    <w:rsid w:val="72244DDD"/>
    <w:rsid w:val="723773EA"/>
    <w:rsid w:val="72453067"/>
    <w:rsid w:val="724D2874"/>
    <w:rsid w:val="725553FA"/>
    <w:rsid w:val="72587BCF"/>
    <w:rsid w:val="72617AEE"/>
    <w:rsid w:val="72723BEC"/>
    <w:rsid w:val="727732E6"/>
    <w:rsid w:val="727B1B62"/>
    <w:rsid w:val="728800EB"/>
    <w:rsid w:val="72930E9D"/>
    <w:rsid w:val="72A42E14"/>
    <w:rsid w:val="72B279C3"/>
    <w:rsid w:val="72B50B7E"/>
    <w:rsid w:val="72B55CF3"/>
    <w:rsid w:val="72BD3ED6"/>
    <w:rsid w:val="72C23E8B"/>
    <w:rsid w:val="72CC0706"/>
    <w:rsid w:val="72D900BD"/>
    <w:rsid w:val="72DD00D4"/>
    <w:rsid w:val="72E056C9"/>
    <w:rsid w:val="72E36EC9"/>
    <w:rsid w:val="72E64BF6"/>
    <w:rsid w:val="72F71196"/>
    <w:rsid w:val="7306762B"/>
    <w:rsid w:val="73072005"/>
    <w:rsid w:val="7309711B"/>
    <w:rsid w:val="730D09BA"/>
    <w:rsid w:val="73146D56"/>
    <w:rsid w:val="731A1328"/>
    <w:rsid w:val="731C154A"/>
    <w:rsid w:val="731E37B2"/>
    <w:rsid w:val="733777E5"/>
    <w:rsid w:val="7339166E"/>
    <w:rsid w:val="733A00C3"/>
    <w:rsid w:val="73471367"/>
    <w:rsid w:val="73504D4A"/>
    <w:rsid w:val="73506AF8"/>
    <w:rsid w:val="73614BA4"/>
    <w:rsid w:val="73655C96"/>
    <w:rsid w:val="7367182D"/>
    <w:rsid w:val="73692554"/>
    <w:rsid w:val="737166A7"/>
    <w:rsid w:val="73724CC1"/>
    <w:rsid w:val="737722D7"/>
    <w:rsid w:val="7379385A"/>
    <w:rsid w:val="738250C4"/>
    <w:rsid w:val="73876AA8"/>
    <w:rsid w:val="73876FD1"/>
    <w:rsid w:val="73A52EC0"/>
    <w:rsid w:val="73A66B2A"/>
    <w:rsid w:val="73A971AE"/>
    <w:rsid w:val="73AA16DC"/>
    <w:rsid w:val="73B4549C"/>
    <w:rsid w:val="73C97F92"/>
    <w:rsid w:val="73D1259B"/>
    <w:rsid w:val="73D2750D"/>
    <w:rsid w:val="73DF5125"/>
    <w:rsid w:val="73E22046"/>
    <w:rsid w:val="73E47C46"/>
    <w:rsid w:val="73EF3F21"/>
    <w:rsid w:val="73F25CD2"/>
    <w:rsid w:val="73F73342"/>
    <w:rsid w:val="740E3075"/>
    <w:rsid w:val="74126EBB"/>
    <w:rsid w:val="741A1A45"/>
    <w:rsid w:val="741A42C8"/>
    <w:rsid w:val="742B101C"/>
    <w:rsid w:val="742D6E39"/>
    <w:rsid w:val="742E7383"/>
    <w:rsid w:val="7431692A"/>
    <w:rsid w:val="74397658"/>
    <w:rsid w:val="74397D5A"/>
    <w:rsid w:val="743F331C"/>
    <w:rsid w:val="74521BD9"/>
    <w:rsid w:val="745A5E80"/>
    <w:rsid w:val="745F38FB"/>
    <w:rsid w:val="74625764"/>
    <w:rsid w:val="7465500A"/>
    <w:rsid w:val="747D1B6F"/>
    <w:rsid w:val="747D56CB"/>
    <w:rsid w:val="74827185"/>
    <w:rsid w:val="74860801"/>
    <w:rsid w:val="749D5D6D"/>
    <w:rsid w:val="749F0EB9"/>
    <w:rsid w:val="74AD3A7A"/>
    <w:rsid w:val="74AF2C24"/>
    <w:rsid w:val="74BA5BB7"/>
    <w:rsid w:val="74BD640F"/>
    <w:rsid w:val="74BF7340"/>
    <w:rsid w:val="74C85D73"/>
    <w:rsid w:val="74C9647D"/>
    <w:rsid w:val="74D6480E"/>
    <w:rsid w:val="74DB396F"/>
    <w:rsid w:val="74DC61D2"/>
    <w:rsid w:val="74DE4E48"/>
    <w:rsid w:val="74E906F1"/>
    <w:rsid w:val="74EA1087"/>
    <w:rsid w:val="74F02341"/>
    <w:rsid w:val="75064209"/>
    <w:rsid w:val="750F05E5"/>
    <w:rsid w:val="75181ECB"/>
    <w:rsid w:val="75187339"/>
    <w:rsid w:val="75226272"/>
    <w:rsid w:val="752443FA"/>
    <w:rsid w:val="752C184E"/>
    <w:rsid w:val="753124A9"/>
    <w:rsid w:val="753445E0"/>
    <w:rsid w:val="753738D9"/>
    <w:rsid w:val="75393C33"/>
    <w:rsid w:val="753C37D8"/>
    <w:rsid w:val="753D3F48"/>
    <w:rsid w:val="753D4E5A"/>
    <w:rsid w:val="75515216"/>
    <w:rsid w:val="75570C3C"/>
    <w:rsid w:val="755E748B"/>
    <w:rsid w:val="75660129"/>
    <w:rsid w:val="756D1BE3"/>
    <w:rsid w:val="757F1917"/>
    <w:rsid w:val="758229C0"/>
    <w:rsid w:val="75874327"/>
    <w:rsid w:val="75885F8E"/>
    <w:rsid w:val="758D2E53"/>
    <w:rsid w:val="758E3B34"/>
    <w:rsid w:val="759063C7"/>
    <w:rsid w:val="759A22AD"/>
    <w:rsid w:val="759C7132"/>
    <w:rsid w:val="75A14C87"/>
    <w:rsid w:val="75AA11A4"/>
    <w:rsid w:val="75B415C0"/>
    <w:rsid w:val="75B50626"/>
    <w:rsid w:val="75B618B0"/>
    <w:rsid w:val="75C151B4"/>
    <w:rsid w:val="75C87FE2"/>
    <w:rsid w:val="75CF4D5F"/>
    <w:rsid w:val="75D02172"/>
    <w:rsid w:val="75E034CE"/>
    <w:rsid w:val="75E4063B"/>
    <w:rsid w:val="75E44FDA"/>
    <w:rsid w:val="75E90C07"/>
    <w:rsid w:val="75EE2405"/>
    <w:rsid w:val="75F145C2"/>
    <w:rsid w:val="75F76778"/>
    <w:rsid w:val="75FF1F2C"/>
    <w:rsid w:val="76013B1D"/>
    <w:rsid w:val="76195010"/>
    <w:rsid w:val="762057C7"/>
    <w:rsid w:val="76220638"/>
    <w:rsid w:val="76226F78"/>
    <w:rsid w:val="76273923"/>
    <w:rsid w:val="76296DAD"/>
    <w:rsid w:val="762F50EB"/>
    <w:rsid w:val="763541B9"/>
    <w:rsid w:val="763D7808"/>
    <w:rsid w:val="76462578"/>
    <w:rsid w:val="764E46CC"/>
    <w:rsid w:val="765427B0"/>
    <w:rsid w:val="76564426"/>
    <w:rsid w:val="765A31FE"/>
    <w:rsid w:val="765E7ED0"/>
    <w:rsid w:val="76610018"/>
    <w:rsid w:val="76650B0D"/>
    <w:rsid w:val="76684159"/>
    <w:rsid w:val="76761224"/>
    <w:rsid w:val="767D7D83"/>
    <w:rsid w:val="767E1BCE"/>
    <w:rsid w:val="767F7204"/>
    <w:rsid w:val="768216BE"/>
    <w:rsid w:val="76896994"/>
    <w:rsid w:val="76986020"/>
    <w:rsid w:val="76992552"/>
    <w:rsid w:val="76AE24B4"/>
    <w:rsid w:val="76B17003"/>
    <w:rsid w:val="76B31543"/>
    <w:rsid w:val="76B50837"/>
    <w:rsid w:val="76BA494C"/>
    <w:rsid w:val="76BC3CD3"/>
    <w:rsid w:val="76BF7948"/>
    <w:rsid w:val="76C04405"/>
    <w:rsid w:val="76C07AF1"/>
    <w:rsid w:val="76C669CA"/>
    <w:rsid w:val="76CB6582"/>
    <w:rsid w:val="76D05E60"/>
    <w:rsid w:val="76D076F3"/>
    <w:rsid w:val="76D216D2"/>
    <w:rsid w:val="76D736B3"/>
    <w:rsid w:val="76E10FF8"/>
    <w:rsid w:val="76E35133"/>
    <w:rsid w:val="76E93CCC"/>
    <w:rsid w:val="76EA782D"/>
    <w:rsid w:val="76EC79D9"/>
    <w:rsid w:val="76F40AA2"/>
    <w:rsid w:val="76FB55BF"/>
    <w:rsid w:val="771340C5"/>
    <w:rsid w:val="77146DA6"/>
    <w:rsid w:val="772437BE"/>
    <w:rsid w:val="773329B9"/>
    <w:rsid w:val="77345DB9"/>
    <w:rsid w:val="77347DFC"/>
    <w:rsid w:val="77370A8D"/>
    <w:rsid w:val="7739143C"/>
    <w:rsid w:val="773B10C5"/>
    <w:rsid w:val="773D3837"/>
    <w:rsid w:val="773D3BF4"/>
    <w:rsid w:val="773F135E"/>
    <w:rsid w:val="77467AE4"/>
    <w:rsid w:val="77471FAC"/>
    <w:rsid w:val="774932F1"/>
    <w:rsid w:val="774E334F"/>
    <w:rsid w:val="775E3C8E"/>
    <w:rsid w:val="77626DFA"/>
    <w:rsid w:val="77641CBB"/>
    <w:rsid w:val="77674410"/>
    <w:rsid w:val="777059BB"/>
    <w:rsid w:val="77755A81"/>
    <w:rsid w:val="777A6A23"/>
    <w:rsid w:val="777E562B"/>
    <w:rsid w:val="777E65A3"/>
    <w:rsid w:val="7783180A"/>
    <w:rsid w:val="7786686E"/>
    <w:rsid w:val="77885C7A"/>
    <w:rsid w:val="778E1EF3"/>
    <w:rsid w:val="7794539A"/>
    <w:rsid w:val="779E42D6"/>
    <w:rsid w:val="77A411C1"/>
    <w:rsid w:val="77A91AAF"/>
    <w:rsid w:val="77B1028F"/>
    <w:rsid w:val="77B304DD"/>
    <w:rsid w:val="77B32CD2"/>
    <w:rsid w:val="77B533CE"/>
    <w:rsid w:val="77BB2868"/>
    <w:rsid w:val="77BD2282"/>
    <w:rsid w:val="77C00080"/>
    <w:rsid w:val="77C41252"/>
    <w:rsid w:val="77C852F7"/>
    <w:rsid w:val="77D02257"/>
    <w:rsid w:val="77D77394"/>
    <w:rsid w:val="77DF078F"/>
    <w:rsid w:val="77E07472"/>
    <w:rsid w:val="77E67C51"/>
    <w:rsid w:val="77E718A2"/>
    <w:rsid w:val="77F36F91"/>
    <w:rsid w:val="77F4039A"/>
    <w:rsid w:val="77FA1ADB"/>
    <w:rsid w:val="77FC5D0C"/>
    <w:rsid w:val="780861BD"/>
    <w:rsid w:val="780A47CE"/>
    <w:rsid w:val="78131D89"/>
    <w:rsid w:val="78153E6C"/>
    <w:rsid w:val="781C65C7"/>
    <w:rsid w:val="78205723"/>
    <w:rsid w:val="78280044"/>
    <w:rsid w:val="78355F73"/>
    <w:rsid w:val="783A0199"/>
    <w:rsid w:val="784034D5"/>
    <w:rsid w:val="78427835"/>
    <w:rsid w:val="78470E19"/>
    <w:rsid w:val="784870D5"/>
    <w:rsid w:val="784B788E"/>
    <w:rsid w:val="784E10C8"/>
    <w:rsid w:val="785011F7"/>
    <w:rsid w:val="785726D7"/>
    <w:rsid w:val="7858760A"/>
    <w:rsid w:val="78607876"/>
    <w:rsid w:val="78642601"/>
    <w:rsid w:val="78680440"/>
    <w:rsid w:val="786D2BE5"/>
    <w:rsid w:val="787359EF"/>
    <w:rsid w:val="78763BB7"/>
    <w:rsid w:val="78817654"/>
    <w:rsid w:val="788A4A9A"/>
    <w:rsid w:val="788D669A"/>
    <w:rsid w:val="78904B64"/>
    <w:rsid w:val="78904D3B"/>
    <w:rsid w:val="78A05738"/>
    <w:rsid w:val="78A45742"/>
    <w:rsid w:val="78A77014"/>
    <w:rsid w:val="78A97FDE"/>
    <w:rsid w:val="78AA2807"/>
    <w:rsid w:val="78AF606F"/>
    <w:rsid w:val="78B276EF"/>
    <w:rsid w:val="78B31025"/>
    <w:rsid w:val="78B34D53"/>
    <w:rsid w:val="78B51FA8"/>
    <w:rsid w:val="78B55704"/>
    <w:rsid w:val="78B84A95"/>
    <w:rsid w:val="78B96EEE"/>
    <w:rsid w:val="78BC53CF"/>
    <w:rsid w:val="78C37D6C"/>
    <w:rsid w:val="78C95383"/>
    <w:rsid w:val="78CF226D"/>
    <w:rsid w:val="78CF5C53"/>
    <w:rsid w:val="78D21E06"/>
    <w:rsid w:val="78D61326"/>
    <w:rsid w:val="78DF4DE1"/>
    <w:rsid w:val="78E033F6"/>
    <w:rsid w:val="78E56503"/>
    <w:rsid w:val="79027815"/>
    <w:rsid w:val="79030B7F"/>
    <w:rsid w:val="790400DF"/>
    <w:rsid w:val="790571CA"/>
    <w:rsid w:val="7906554C"/>
    <w:rsid w:val="79091C23"/>
    <w:rsid w:val="790939D1"/>
    <w:rsid w:val="791178F1"/>
    <w:rsid w:val="79123ACF"/>
    <w:rsid w:val="791A12B4"/>
    <w:rsid w:val="791B75FD"/>
    <w:rsid w:val="79242641"/>
    <w:rsid w:val="79273C23"/>
    <w:rsid w:val="79290774"/>
    <w:rsid w:val="7939399D"/>
    <w:rsid w:val="79415D1A"/>
    <w:rsid w:val="794A021A"/>
    <w:rsid w:val="794C1C71"/>
    <w:rsid w:val="79534C4C"/>
    <w:rsid w:val="795F0AFB"/>
    <w:rsid w:val="795F54C7"/>
    <w:rsid w:val="79607369"/>
    <w:rsid w:val="79621964"/>
    <w:rsid w:val="796438BC"/>
    <w:rsid w:val="79746541"/>
    <w:rsid w:val="798026FC"/>
    <w:rsid w:val="79823784"/>
    <w:rsid w:val="798A6416"/>
    <w:rsid w:val="79906309"/>
    <w:rsid w:val="79925FEF"/>
    <w:rsid w:val="79960FF9"/>
    <w:rsid w:val="799B66D9"/>
    <w:rsid w:val="799C020E"/>
    <w:rsid w:val="79A3012E"/>
    <w:rsid w:val="79AE0B68"/>
    <w:rsid w:val="79B416DB"/>
    <w:rsid w:val="79B754D2"/>
    <w:rsid w:val="79C04ACE"/>
    <w:rsid w:val="79C348D1"/>
    <w:rsid w:val="79CA6573"/>
    <w:rsid w:val="79CC09EB"/>
    <w:rsid w:val="79D54B0D"/>
    <w:rsid w:val="79D8240E"/>
    <w:rsid w:val="79DB12C6"/>
    <w:rsid w:val="79DE1604"/>
    <w:rsid w:val="79E37815"/>
    <w:rsid w:val="79F006ED"/>
    <w:rsid w:val="79F31778"/>
    <w:rsid w:val="79F76DF3"/>
    <w:rsid w:val="79F7729B"/>
    <w:rsid w:val="79FB2A02"/>
    <w:rsid w:val="79FE72AE"/>
    <w:rsid w:val="7A0A683E"/>
    <w:rsid w:val="7A0C7799"/>
    <w:rsid w:val="7A146CA9"/>
    <w:rsid w:val="7A170590"/>
    <w:rsid w:val="7A17211E"/>
    <w:rsid w:val="7A1940E8"/>
    <w:rsid w:val="7A21033A"/>
    <w:rsid w:val="7A301431"/>
    <w:rsid w:val="7A4039CA"/>
    <w:rsid w:val="7A4D636A"/>
    <w:rsid w:val="7A4E13D7"/>
    <w:rsid w:val="7A552C46"/>
    <w:rsid w:val="7A5A127A"/>
    <w:rsid w:val="7A6F3D08"/>
    <w:rsid w:val="7A7162F1"/>
    <w:rsid w:val="7A7632E8"/>
    <w:rsid w:val="7A7705F8"/>
    <w:rsid w:val="7A7951CA"/>
    <w:rsid w:val="7A7A588B"/>
    <w:rsid w:val="7A7F2178"/>
    <w:rsid w:val="7A805266"/>
    <w:rsid w:val="7A92056A"/>
    <w:rsid w:val="7AA51085"/>
    <w:rsid w:val="7AB251B5"/>
    <w:rsid w:val="7ABC7A82"/>
    <w:rsid w:val="7AC72F22"/>
    <w:rsid w:val="7ACA0B2B"/>
    <w:rsid w:val="7ACD6C80"/>
    <w:rsid w:val="7ADB3836"/>
    <w:rsid w:val="7AE141C2"/>
    <w:rsid w:val="7AF02430"/>
    <w:rsid w:val="7B0079DC"/>
    <w:rsid w:val="7B12037F"/>
    <w:rsid w:val="7B1661C4"/>
    <w:rsid w:val="7B1F4723"/>
    <w:rsid w:val="7B2A4242"/>
    <w:rsid w:val="7B302174"/>
    <w:rsid w:val="7B381688"/>
    <w:rsid w:val="7B3A748C"/>
    <w:rsid w:val="7B3F3C9D"/>
    <w:rsid w:val="7B4764F3"/>
    <w:rsid w:val="7B482F45"/>
    <w:rsid w:val="7B4950CB"/>
    <w:rsid w:val="7B4C719C"/>
    <w:rsid w:val="7B5207E4"/>
    <w:rsid w:val="7B5A6035"/>
    <w:rsid w:val="7B6140A5"/>
    <w:rsid w:val="7B705F89"/>
    <w:rsid w:val="7B782A23"/>
    <w:rsid w:val="7B803CF3"/>
    <w:rsid w:val="7B827FFA"/>
    <w:rsid w:val="7B874D6D"/>
    <w:rsid w:val="7B89704B"/>
    <w:rsid w:val="7B9565B6"/>
    <w:rsid w:val="7B9F39FF"/>
    <w:rsid w:val="7BA2049D"/>
    <w:rsid w:val="7BA55CE9"/>
    <w:rsid w:val="7BA60F6C"/>
    <w:rsid w:val="7BAE1A3E"/>
    <w:rsid w:val="7BAE78E8"/>
    <w:rsid w:val="7BB44394"/>
    <w:rsid w:val="7BBC11CF"/>
    <w:rsid w:val="7BC30EA8"/>
    <w:rsid w:val="7BC871B5"/>
    <w:rsid w:val="7BD80206"/>
    <w:rsid w:val="7BDB0530"/>
    <w:rsid w:val="7BE039D3"/>
    <w:rsid w:val="7BEA1FF6"/>
    <w:rsid w:val="7BFA4195"/>
    <w:rsid w:val="7BFE60C7"/>
    <w:rsid w:val="7C004820"/>
    <w:rsid w:val="7C0C4B7D"/>
    <w:rsid w:val="7C0E12FE"/>
    <w:rsid w:val="7C10151B"/>
    <w:rsid w:val="7C1D2DEF"/>
    <w:rsid w:val="7C262AEC"/>
    <w:rsid w:val="7C266648"/>
    <w:rsid w:val="7C2D5C29"/>
    <w:rsid w:val="7C3074C7"/>
    <w:rsid w:val="7C336E2F"/>
    <w:rsid w:val="7C36676C"/>
    <w:rsid w:val="7C37573E"/>
    <w:rsid w:val="7C4116D4"/>
    <w:rsid w:val="7C465A1A"/>
    <w:rsid w:val="7C48119F"/>
    <w:rsid w:val="7C48225A"/>
    <w:rsid w:val="7C4A229B"/>
    <w:rsid w:val="7C4D62CB"/>
    <w:rsid w:val="7C531508"/>
    <w:rsid w:val="7C5837B0"/>
    <w:rsid w:val="7C59067E"/>
    <w:rsid w:val="7C6E743A"/>
    <w:rsid w:val="7C6F0FDE"/>
    <w:rsid w:val="7C7A3565"/>
    <w:rsid w:val="7C7A6994"/>
    <w:rsid w:val="7C7B75E9"/>
    <w:rsid w:val="7C7E6484"/>
    <w:rsid w:val="7C8B35F1"/>
    <w:rsid w:val="7C9753CB"/>
    <w:rsid w:val="7C9A6839"/>
    <w:rsid w:val="7C9B6244"/>
    <w:rsid w:val="7C9C0A03"/>
    <w:rsid w:val="7C9C63D4"/>
    <w:rsid w:val="7CA24344"/>
    <w:rsid w:val="7CA55A57"/>
    <w:rsid w:val="7CA8485E"/>
    <w:rsid w:val="7CAF6E97"/>
    <w:rsid w:val="7CB47E9A"/>
    <w:rsid w:val="7CB7092B"/>
    <w:rsid w:val="7CBA7632"/>
    <w:rsid w:val="7CBB3234"/>
    <w:rsid w:val="7CBF3828"/>
    <w:rsid w:val="7CC826DF"/>
    <w:rsid w:val="7CD04806"/>
    <w:rsid w:val="7CD364EE"/>
    <w:rsid w:val="7CDB0D24"/>
    <w:rsid w:val="7CE7011B"/>
    <w:rsid w:val="7CF82F06"/>
    <w:rsid w:val="7CF9504E"/>
    <w:rsid w:val="7D080444"/>
    <w:rsid w:val="7D0B56BE"/>
    <w:rsid w:val="7D0C35D2"/>
    <w:rsid w:val="7D0D6363"/>
    <w:rsid w:val="7D0F532E"/>
    <w:rsid w:val="7D2530F7"/>
    <w:rsid w:val="7D256900"/>
    <w:rsid w:val="7D2F777E"/>
    <w:rsid w:val="7D303746"/>
    <w:rsid w:val="7D344D95"/>
    <w:rsid w:val="7D4C0330"/>
    <w:rsid w:val="7D535D30"/>
    <w:rsid w:val="7D577F75"/>
    <w:rsid w:val="7D5915F9"/>
    <w:rsid w:val="7D5B626C"/>
    <w:rsid w:val="7D5F63F8"/>
    <w:rsid w:val="7D5F7511"/>
    <w:rsid w:val="7D657644"/>
    <w:rsid w:val="7D697134"/>
    <w:rsid w:val="7D6E6C61"/>
    <w:rsid w:val="7D70698D"/>
    <w:rsid w:val="7D741635"/>
    <w:rsid w:val="7D78031E"/>
    <w:rsid w:val="7D7B025A"/>
    <w:rsid w:val="7D84453E"/>
    <w:rsid w:val="7D87398F"/>
    <w:rsid w:val="7D977417"/>
    <w:rsid w:val="7D9A5540"/>
    <w:rsid w:val="7DA0764D"/>
    <w:rsid w:val="7DA74661"/>
    <w:rsid w:val="7DB03978"/>
    <w:rsid w:val="7DB84D0E"/>
    <w:rsid w:val="7DC11730"/>
    <w:rsid w:val="7DC425BD"/>
    <w:rsid w:val="7DC435A4"/>
    <w:rsid w:val="7DC64AD7"/>
    <w:rsid w:val="7DC720AD"/>
    <w:rsid w:val="7DD722F0"/>
    <w:rsid w:val="7DE062CC"/>
    <w:rsid w:val="7DE36933"/>
    <w:rsid w:val="7DE67788"/>
    <w:rsid w:val="7DF03000"/>
    <w:rsid w:val="7DFC3B04"/>
    <w:rsid w:val="7E04763D"/>
    <w:rsid w:val="7E0742BC"/>
    <w:rsid w:val="7E1445AA"/>
    <w:rsid w:val="7E180396"/>
    <w:rsid w:val="7E1B5367"/>
    <w:rsid w:val="7E1F3E35"/>
    <w:rsid w:val="7E1F68FE"/>
    <w:rsid w:val="7E3A7074"/>
    <w:rsid w:val="7E427B73"/>
    <w:rsid w:val="7E474D08"/>
    <w:rsid w:val="7E570DF7"/>
    <w:rsid w:val="7E606473"/>
    <w:rsid w:val="7E651B80"/>
    <w:rsid w:val="7E665422"/>
    <w:rsid w:val="7E6B6FCD"/>
    <w:rsid w:val="7E6E56B0"/>
    <w:rsid w:val="7E706B85"/>
    <w:rsid w:val="7E774FC4"/>
    <w:rsid w:val="7E8207D4"/>
    <w:rsid w:val="7E834226"/>
    <w:rsid w:val="7E837EE2"/>
    <w:rsid w:val="7E940B30"/>
    <w:rsid w:val="7E9E51CC"/>
    <w:rsid w:val="7EA57908"/>
    <w:rsid w:val="7EA85A3A"/>
    <w:rsid w:val="7EB33D2C"/>
    <w:rsid w:val="7EB43F6C"/>
    <w:rsid w:val="7EC64112"/>
    <w:rsid w:val="7ECB4904"/>
    <w:rsid w:val="7ECD0136"/>
    <w:rsid w:val="7ED76320"/>
    <w:rsid w:val="7EDD4BA5"/>
    <w:rsid w:val="7EE31B2D"/>
    <w:rsid w:val="7EF32DD2"/>
    <w:rsid w:val="7EFA0721"/>
    <w:rsid w:val="7EFA0F7E"/>
    <w:rsid w:val="7EFB7E9E"/>
    <w:rsid w:val="7F01514B"/>
    <w:rsid w:val="7F106960"/>
    <w:rsid w:val="7F1F74D7"/>
    <w:rsid w:val="7F251F22"/>
    <w:rsid w:val="7F261026"/>
    <w:rsid w:val="7F2B728A"/>
    <w:rsid w:val="7F390D88"/>
    <w:rsid w:val="7F4411F6"/>
    <w:rsid w:val="7F4D213E"/>
    <w:rsid w:val="7F5219C0"/>
    <w:rsid w:val="7F5724B2"/>
    <w:rsid w:val="7F58612C"/>
    <w:rsid w:val="7F5C21B0"/>
    <w:rsid w:val="7F7005B6"/>
    <w:rsid w:val="7F78365F"/>
    <w:rsid w:val="7F85547A"/>
    <w:rsid w:val="7F89586C"/>
    <w:rsid w:val="7F912972"/>
    <w:rsid w:val="7F9373AE"/>
    <w:rsid w:val="7F973EE0"/>
    <w:rsid w:val="7FAB1180"/>
    <w:rsid w:val="7FC00B62"/>
    <w:rsid w:val="7FC22B2C"/>
    <w:rsid w:val="7FC5261C"/>
    <w:rsid w:val="7FCE50A4"/>
    <w:rsid w:val="7FD13F55"/>
    <w:rsid w:val="7FD651D0"/>
    <w:rsid w:val="7FD840FD"/>
    <w:rsid w:val="7FE12D3B"/>
    <w:rsid w:val="7FEB5616"/>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qFormat="1" w:uiPriority="99" w:semiHidden="0" w:name="macro"/>
    <w:lsdException w:qFormat="1" w:unhideWhenUsed="0" w:uiPriority="99"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iPriority="99" w:name="List Bullet 2"/>
    <w:lsdException w:uiPriority="99" w:name="List Bullet 3"/>
    <w:lsdException w:uiPriority="99" w:name="List Bullet 4"/>
    <w:lsdException w:qFormat="1" w:uiPriority="99" w:semiHidden="0"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styleId="3">
    <w:name w:val="heading 1"/>
    <w:basedOn w:val="1"/>
    <w:next w:val="1"/>
    <w:link w:val="63"/>
    <w:autoRedefine/>
    <w:qFormat/>
    <w:uiPriority w:val="0"/>
    <w:pPr>
      <w:keepNext/>
      <w:keepLines/>
      <w:ind w:firstLine="0" w:firstLineChars="0"/>
      <w:jc w:val="center"/>
      <w:outlineLvl w:val="0"/>
    </w:pPr>
    <w:rPr>
      <w:rFonts w:eastAsia="黑体"/>
      <w:b/>
      <w:bCs/>
      <w:kern w:val="44"/>
      <w:sz w:val="32"/>
      <w:szCs w:val="32"/>
    </w:rPr>
  </w:style>
  <w:style w:type="paragraph" w:styleId="4">
    <w:name w:val="heading 2"/>
    <w:basedOn w:val="1"/>
    <w:next w:val="1"/>
    <w:link w:val="64"/>
    <w:autoRedefine/>
    <w:qFormat/>
    <w:uiPriority w:val="0"/>
    <w:pPr>
      <w:keepNext/>
      <w:keepLines/>
      <w:ind w:firstLine="0" w:firstLineChars="0"/>
      <w:jc w:val="center"/>
      <w:outlineLvl w:val="1"/>
    </w:pPr>
    <w:rPr>
      <w:rFonts w:eastAsia="楷体"/>
      <w:b/>
      <w:bCs/>
      <w:sz w:val="32"/>
      <w:szCs w:val="32"/>
    </w:rPr>
  </w:style>
  <w:style w:type="paragraph" w:styleId="5">
    <w:name w:val="heading 3"/>
    <w:basedOn w:val="1"/>
    <w:next w:val="1"/>
    <w:link w:val="65"/>
    <w:autoRedefine/>
    <w:qFormat/>
    <w:uiPriority w:val="0"/>
    <w:pPr>
      <w:keepNext/>
      <w:keepLines/>
      <w:jc w:val="left"/>
      <w:outlineLvl w:val="2"/>
    </w:pPr>
    <w:rPr>
      <w:rFonts w:eastAsia="黑体"/>
      <w:b/>
      <w:bCs/>
      <w:szCs w:val="32"/>
    </w:rPr>
  </w:style>
  <w:style w:type="paragraph" w:styleId="6">
    <w:name w:val="heading 4"/>
    <w:basedOn w:val="1"/>
    <w:next w:val="1"/>
    <w:autoRedefine/>
    <w:qFormat/>
    <w:uiPriority w:val="0"/>
    <w:pPr>
      <w:keepNext/>
      <w:ind w:firstLine="482"/>
      <w:outlineLvl w:val="3"/>
    </w:pPr>
    <w:rPr>
      <w:b/>
      <w:bCs/>
      <w:kern w:val="0"/>
      <w:szCs w:val="28"/>
    </w:rPr>
  </w:style>
  <w:style w:type="paragraph" w:styleId="7">
    <w:name w:val="heading 5"/>
    <w:basedOn w:val="1"/>
    <w:next w:val="1"/>
    <w:autoRedefine/>
    <w:qFormat/>
    <w:uiPriority w:val="0"/>
    <w:pPr>
      <w:numPr>
        <w:ilvl w:val="4"/>
        <w:numId w:val="1"/>
      </w:numPr>
      <w:spacing w:before="240" w:after="60"/>
      <w:jc w:val="left"/>
      <w:outlineLvl w:val="4"/>
    </w:pPr>
    <w:rPr>
      <w:b/>
      <w:bCs/>
      <w:i/>
      <w:iCs/>
      <w:kern w:val="0"/>
      <w:sz w:val="26"/>
      <w:szCs w:val="26"/>
    </w:rPr>
  </w:style>
  <w:style w:type="paragraph" w:styleId="8">
    <w:name w:val="heading 6"/>
    <w:basedOn w:val="1"/>
    <w:next w:val="1"/>
    <w:autoRedefine/>
    <w:qFormat/>
    <w:uiPriority w:val="0"/>
    <w:pPr>
      <w:numPr>
        <w:ilvl w:val="5"/>
        <w:numId w:val="1"/>
      </w:numPr>
      <w:spacing w:before="240" w:after="60"/>
      <w:jc w:val="left"/>
      <w:outlineLvl w:val="5"/>
    </w:pPr>
    <w:rPr>
      <w:b/>
      <w:bCs/>
      <w:kern w:val="0"/>
      <w:sz w:val="22"/>
      <w:szCs w:val="22"/>
    </w:rPr>
  </w:style>
  <w:style w:type="paragraph" w:styleId="9">
    <w:name w:val="heading 7"/>
    <w:basedOn w:val="1"/>
    <w:next w:val="1"/>
    <w:autoRedefine/>
    <w:qFormat/>
    <w:uiPriority w:val="0"/>
    <w:pPr>
      <w:numPr>
        <w:ilvl w:val="6"/>
        <w:numId w:val="1"/>
      </w:numPr>
      <w:spacing w:before="240" w:after="60"/>
      <w:jc w:val="left"/>
      <w:outlineLvl w:val="6"/>
    </w:pPr>
    <w:rPr>
      <w:kern w:val="0"/>
      <w:sz w:val="24"/>
    </w:rPr>
  </w:style>
  <w:style w:type="paragraph" w:styleId="10">
    <w:name w:val="heading 8"/>
    <w:basedOn w:val="1"/>
    <w:next w:val="1"/>
    <w:autoRedefine/>
    <w:qFormat/>
    <w:uiPriority w:val="0"/>
    <w:pPr>
      <w:numPr>
        <w:ilvl w:val="7"/>
        <w:numId w:val="1"/>
      </w:numPr>
      <w:spacing w:before="240" w:after="60"/>
      <w:jc w:val="left"/>
      <w:outlineLvl w:val="7"/>
    </w:pPr>
    <w:rPr>
      <w:i/>
      <w:iCs/>
      <w:kern w:val="0"/>
      <w:sz w:val="24"/>
    </w:rPr>
  </w:style>
  <w:style w:type="paragraph" w:styleId="11">
    <w:name w:val="heading 9"/>
    <w:basedOn w:val="1"/>
    <w:next w:val="1"/>
    <w:autoRedefine/>
    <w:qFormat/>
    <w:uiPriority w:val="0"/>
    <w:pPr>
      <w:numPr>
        <w:ilvl w:val="8"/>
        <w:numId w:val="1"/>
      </w:numPr>
      <w:spacing w:before="240" w:after="60"/>
      <w:jc w:val="left"/>
      <w:outlineLvl w:val="8"/>
    </w:pPr>
    <w:rPr>
      <w:rFonts w:ascii="Arial" w:hAnsi="Arial" w:cs="Arial"/>
      <w:kern w:val="0"/>
      <w:sz w:val="22"/>
      <w:szCs w:val="22"/>
    </w:rPr>
  </w:style>
  <w:style w:type="character" w:default="1" w:styleId="50">
    <w:name w:val="Default Paragraph Font"/>
    <w:autoRedefine/>
    <w:semiHidden/>
    <w:unhideWhenUsed/>
    <w:qFormat/>
    <w:uiPriority w:val="1"/>
  </w:style>
  <w:style w:type="table" w:default="1" w:styleId="4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macro"/>
    <w:autoRedefine/>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500" w:lineRule="exact"/>
      <w:ind w:firstLine="200" w:firstLineChars="200"/>
      <w:jc w:val="center"/>
    </w:pPr>
    <w:rPr>
      <w:rFonts w:ascii="Times New Roman" w:hAnsi="Times New Roman" w:eastAsia="黑体" w:cs="Courier New"/>
      <w:b/>
      <w:kern w:val="2"/>
      <w:sz w:val="21"/>
      <w:szCs w:val="24"/>
      <w:lang w:val="en-US" w:eastAsia="zh-CN" w:bidi="ar-SA"/>
    </w:rPr>
  </w:style>
  <w:style w:type="paragraph" w:styleId="12">
    <w:name w:val="toc 7"/>
    <w:basedOn w:val="1"/>
    <w:next w:val="1"/>
    <w:autoRedefine/>
    <w:qFormat/>
    <w:uiPriority w:val="0"/>
    <w:pPr>
      <w:jc w:val="center"/>
    </w:pPr>
    <w:rPr>
      <w:rFonts w:eastAsia="黑体"/>
      <w:sz w:val="24"/>
      <w:szCs w:val="18"/>
    </w:rPr>
  </w:style>
  <w:style w:type="paragraph" w:styleId="13">
    <w:name w:val="E-mail Signature"/>
    <w:basedOn w:val="1"/>
    <w:next w:val="14"/>
    <w:autoRedefine/>
    <w:qFormat/>
    <w:uiPriority w:val="0"/>
    <w:pPr>
      <w:spacing w:line="460" w:lineRule="exact"/>
    </w:pPr>
    <w:rPr>
      <w:sz w:val="24"/>
    </w:rPr>
  </w:style>
  <w:style w:type="paragraph" w:customStyle="1" w:styleId="14">
    <w:name w:val="文章"/>
    <w:basedOn w:val="15"/>
    <w:next w:val="16"/>
    <w:autoRedefine/>
    <w:qFormat/>
    <w:uiPriority w:val="0"/>
    <w:pPr>
      <w:autoSpaceDE/>
      <w:autoSpaceDN/>
      <w:spacing w:line="240" w:lineRule="auto"/>
      <w:ind w:firstLine="480"/>
      <w:jc w:val="center"/>
    </w:pPr>
    <w:rPr>
      <w:rFonts w:ascii="Times New Roman" w:eastAsia="宋体"/>
      <w:sz w:val="26"/>
    </w:rPr>
  </w:style>
  <w:style w:type="paragraph" w:styleId="15">
    <w:name w:val="Body Text Indent"/>
    <w:basedOn w:val="1"/>
    <w:autoRedefine/>
    <w:qFormat/>
    <w:uiPriority w:val="0"/>
    <w:pPr>
      <w:autoSpaceDE w:val="0"/>
      <w:autoSpaceDN w:val="0"/>
      <w:adjustRightInd w:val="0"/>
      <w:spacing w:line="500" w:lineRule="atLeast"/>
      <w:ind w:firstLine="600"/>
    </w:pPr>
    <w:rPr>
      <w:rFonts w:hint="eastAsia" w:ascii="仿宋_GB2312" w:hAnsi="宋体" w:eastAsia="仿宋_GB2312"/>
      <w:sz w:val="30"/>
      <w:szCs w:val="28"/>
    </w:rPr>
  </w:style>
  <w:style w:type="paragraph" w:styleId="16">
    <w:name w:val="List"/>
    <w:basedOn w:val="1"/>
    <w:next w:val="17"/>
    <w:autoRedefine/>
    <w:qFormat/>
    <w:uiPriority w:val="0"/>
    <w:pPr>
      <w:adjustRightInd w:val="0"/>
      <w:spacing w:line="440" w:lineRule="atLeast"/>
      <w:ind w:left="420" w:hanging="420"/>
      <w:textAlignment w:val="baseline"/>
    </w:pPr>
    <w:rPr>
      <w:rFonts w:ascii="宋体"/>
      <w:kern w:val="18"/>
      <w:sz w:val="24"/>
      <w:szCs w:val="20"/>
    </w:rPr>
  </w:style>
  <w:style w:type="paragraph" w:styleId="17">
    <w:name w:val="List Bullet 2"/>
    <w:basedOn w:val="1"/>
    <w:next w:val="18"/>
    <w:autoRedefine/>
    <w:semiHidden/>
    <w:unhideWhenUsed/>
    <w:qFormat/>
    <w:uiPriority w:val="99"/>
    <w:pPr>
      <w:numPr>
        <w:ilvl w:val="0"/>
        <w:numId w:val="2"/>
      </w:numPr>
    </w:pPr>
  </w:style>
  <w:style w:type="paragraph" w:customStyle="1" w:styleId="18">
    <w:name w:val="xl70"/>
    <w:basedOn w:val="1"/>
    <w:next w:val="19"/>
    <w:autoRedefine/>
    <w:qFormat/>
    <w:uiPriority w:val="0"/>
    <w:pPr>
      <w:spacing w:before="280" w:after="280" w:line="240" w:lineRule="auto"/>
      <w:ind w:firstLine="0"/>
    </w:pPr>
    <w:rPr>
      <w:rFonts w:ascii="宋体"/>
      <w:sz w:val="24"/>
    </w:rPr>
  </w:style>
  <w:style w:type="paragraph" w:customStyle="1" w:styleId="19">
    <w:name w:val="正文缩进1"/>
    <w:basedOn w:val="1"/>
    <w:next w:val="20"/>
    <w:autoRedefine/>
    <w:qFormat/>
    <w:uiPriority w:val="0"/>
    <w:pPr>
      <w:ind w:firstLine="420"/>
    </w:pPr>
    <w:rPr>
      <w:rFonts w:ascii="宋体"/>
    </w:rPr>
  </w:style>
  <w:style w:type="paragraph" w:customStyle="1" w:styleId="20">
    <w:name w:val="td1"/>
    <w:basedOn w:val="1"/>
    <w:next w:val="1"/>
    <w:autoRedefine/>
    <w:qFormat/>
    <w:uiPriority w:val="0"/>
    <w:pPr>
      <w:spacing w:before="280" w:after="280" w:line="300" w:lineRule="atLeast"/>
    </w:pPr>
    <w:rPr>
      <w:color w:val="000000"/>
      <w:sz w:val="18"/>
    </w:rPr>
  </w:style>
  <w:style w:type="paragraph" w:styleId="21">
    <w:name w:val="Normal Indent"/>
    <w:basedOn w:val="1"/>
    <w:next w:val="1"/>
    <w:autoRedefine/>
    <w:qFormat/>
    <w:uiPriority w:val="0"/>
    <w:pPr>
      <w:spacing w:line="240" w:lineRule="auto"/>
      <w:ind w:firstLine="0" w:firstLineChars="0"/>
      <w:jc w:val="center"/>
    </w:pPr>
    <w:rPr>
      <w:rFonts w:eastAsia="黑体"/>
      <w:b/>
      <w:sz w:val="21"/>
    </w:rPr>
  </w:style>
  <w:style w:type="paragraph" w:styleId="22">
    <w:name w:val="List Bullet"/>
    <w:basedOn w:val="1"/>
    <w:link w:val="66"/>
    <w:autoRedefine/>
    <w:qFormat/>
    <w:uiPriority w:val="0"/>
    <w:pPr>
      <w:spacing w:line="360" w:lineRule="exact"/>
      <w:ind w:firstLine="0" w:firstLineChars="0"/>
      <w:jc w:val="center"/>
    </w:pPr>
    <w:rPr>
      <w:sz w:val="21"/>
    </w:rPr>
  </w:style>
  <w:style w:type="paragraph" w:styleId="23">
    <w:name w:val="Document Map"/>
    <w:basedOn w:val="1"/>
    <w:autoRedefine/>
    <w:qFormat/>
    <w:uiPriority w:val="0"/>
    <w:pPr>
      <w:shd w:val="clear" w:color="auto" w:fill="000080"/>
      <w:spacing w:line="240" w:lineRule="auto"/>
      <w:ind w:firstLine="0" w:firstLineChars="0"/>
    </w:pPr>
    <w:rPr>
      <w:sz w:val="21"/>
    </w:rPr>
  </w:style>
  <w:style w:type="paragraph" w:styleId="24">
    <w:name w:val="toa heading"/>
    <w:basedOn w:val="1"/>
    <w:next w:val="1"/>
    <w:autoRedefine/>
    <w:qFormat/>
    <w:uiPriority w:val="99"/>
    <w:pPr>
      <w:spacing w:before="120"/>
    </w:pPr>
    <w:rPr>
      <w:rFonts w:ascii="Arial" w:hAnsi="Arial"/>
      <w:kern w:val="0"/>
      <w:sz w:val="24"/>
      <w:szCs w:val="20"/>
    </w:rPr>
  </w:style>
  <w:style w:type="paragraph" w:styleId="25">
    <w:name w:val="annotation text"/>
    <w:basedOn w:val="1"/>
    <w:autoRedefine/>
    <w:qFormat/>
    <w:uiPriority w:val="0"/>
    <w:pPr>
      <w:spacing w:line="240" w:lineRule="auto"/>
      <w:ind w:firstLine="0" w:firstLineChars="0"/>
    </w:pPr>
    <w:rPr>
      <w:sz w:val="18"/>
    </w:rPr>
  </w:style>
  <w:style w:type="paragraph" w:styleId="26">
    <w:name w:val="Body Text 3"/>
    <w:basedOn w:val="1"/>
    <w:autoRedefine/>
    <w:qFormat/>
    <w:uiPriority w:val="0"/>
    <w:pPr>
      <w:spacing w:line="200" w:lineRule="exact"/>
      <w:ind w:firstLine="0" w:firstLineChars="0"/>
    </w:pPr>
    <w:rPr>
      <w:sz w:val="18"/>
    </w:rPr>
  </w:style>
  <w:style w:type="paragraph" w:styleId="27">
    <w:name w:val="Body Text"/>
    <w:basedOn w:val="1"/>
    <w:next w:val="1"/>
    <w:autoRedefine/>
    <w:qFormat/>
    <w:uiPriority w:val="0"/>
    <w:pPr>
      <w:spacing w:line="440" w:lineRule="exact"/>
    </w:pPr>
    <w:rPr>
      <w:rFonts w:eastAsia="仿宋_GB2312"/>
      <w:color w:val="0000FF"/>
    </w:rPr>
  </w:style>
  <w:style w:type="paragraph" w:styleId="28">
    <w:name w:val="Block Text"/>
    <w:basedOn w:val="1"/>
    <w:next w:val="1"/>
    <w:autoRedefine/>
    <w:qFormat/>
    <w:uiPriority w:val="0"/>
    <w:pPr>
      <w:tabs>
        <w:tab w:val="left" w:pos="8280"/>
      </w:tabs>
      <w:ind w:left="-180" w:right="384"/>
    </w:pPr>
    <w:rPr>
      <w:szCs w:val="20"/>
    </w:rPr>
  </w:style>
  <w:style w:type="paragraph" w:styleId="29">
    <w:name w:val="toc 5"/>
    <w:basedOn w:val="1"/>
    <w:next w:val="1"/>
    <w:autoRedefine/>
    <w:qFormat/>
    <w:uiPriority w:val="0"/>
    <w:pPr>
      <w:ind w:left="840"/>
      <w:jc w:val="left"/>
    </w:pPr>
    <w:rPr>
      <w:sz w:val="18"/>
      <w:szCs w:val="18"/>
    </w:rPr>
  </w:style>
  <w:style w:type="paragraph" w:styleId="30">
    <w:name w:val="toc 3"/>
    <w:basedOn w:val="1"/>
    <w:next w:val="1"/>
    <w:autoRedefine/>
    <w:qFormat/>
    <w:uiPriority w:val="0"/>
    <w:pPr>
      <w:ind w:left="420"/>
      <w:jc w:val="left"/>
    </w:pPr>
    <w:rPr>
      <w:i/>
      <w:iCs/>
      <w:sz w:val="20"/>
      <w:szCs w:val="20"/>
    </w:rPr>
  </w:style>
  <w:style w:type="paragraph" w:styleId="31">
    <w:name w:val="Plain Text"/>
    <w:basedOn w:val="1"/>
    <w:autoRedefine/>
    <w:qFormat/>
    <w:uiPriority w:val="0"/>
    <w:rPr>
      <w:rFonts w:hint="eastAsia" w:ascii="宋体" w:hAnsi="Courier New"/>
      <w:szCs w:val="21"/>
    </w:rPr>
  </w:style>
  <w:style w:type="paragraph" w:styleId="32">
    <w:name w:val="List Bullet 5"/>
    <w:basedOn w:val="1"/>
    <w:autoRedefine/>
    <w:unhideWhenUsed/>
    <w:qFormat/>
    <w:uiPriority w:val="99"/>
    <w:pPr>
      <w:numPr>
        <w:ilvl w:val="0"/>
        <w:numId w:val="3"/>
      </w:numPr>
    </w:pPr>
  </w:style>
  <w:style w:type="paragraph" w:styleId="33">
    <w:name w:val="toc 8"/>
    <w:basedOn w:val="1"/>
    <w:next w:val="1"/>
    <w:autoRedefine/>
    <w:qFormat/>
    <w:uiPriority w:val="0"/>
    <w:pPr>
      <w:ind w:left="1470"/>
      <w:jc w:val="left"/>
    </w:pPr>
    <w:rPr>
      <w:sz w:val="18"/>
      <w:szCs w:val="18"/>
    </w:rPr>
  </w:style>
  <w:style w:type="paragraph" w:styleId="34">
    <w:name w:val="Date"/>
    <w:basedOn w:val="1"/>
    <w:next w:val="1"/>
    <w:autoRedefine/>
    <w:qFormat/>
    <w:uiPriority w:val="0"/>
    <w:pPr>
      <w:ind w:left="100" w:leftChars="2500"/>
    </w:pPr>
    <w:rPr>
      <w:sz w:val="36"/>
    </w:rPr>
  </w:style>
  <w:style w:type="paragraph" w:styleId="35">
    <w:name w:val="Body Text Indent 2"/>
    <w:basedOn w:val="1"/>
    <w:autoRedefine/>
    <w:qFormat/>
    <w:uiPriority w:val="0"/>
    <w:pPr>
      <w:spacing w:line="360" w:lineRule="atLeast"/>
      <w:ind w:firstLine="560"/>
    </w:pPr>
  </w:style>
  <w:style w:type="paragraph" w:styleId="36">
    <w:name w:val="Balloon Text"/>
    <w:basedOn w:val="1"/>
    <w:autoRedefine/>
    <w:qFormat/>
    <w:uiPriority w:val="0"/>
    <w:rPr>
      <w:sz w:val="18"/>
      <w:szCs w:val="18"/>
    </w:rPr>
  </w:style>
  <w:style w:type="paragraph" w:styleId="37">
    <w:name w:val="footer"/>
    <w:basedOn w:val="1"/>
    <w:next w:val="38"/>
    <w:link w:val="145"/>
    <w:autoRedefine/>
    <w:qFormat/>
    <w:uiPriority w:val="0"/>
    <w:pPr>
      <w:tabs>
        <w:tab w:val="center" w:pos="4153"/>
        <w:tab w:val="right" w:pos="8306"/>
      </w:tabs>
      <w:snapToGrid w:val="0"/>
      <w:jc w:val="left"/>
    </w:pPr>
    <w:rPr>
      <w:sz w:val="18"/>
      <w:szCs w:val="18"/>
    </w:rPr>
  </w:style>
  <w:style w:type="paragraph" w:styleId="38">
    <w:name w:val="Normal (Web)"/>
    <w:basedOn w:val="1"/>
    <w:next w:val="1"/>
    <w:autoRedefine/>
    <w:qFormat/>
    <w:uiPriority w:val="0"/>
    <w:pPr>
      <w:spacing w:before="100" w:beforeAutospacing="1" w:after="100" w:afterAutospacing="1"/>
      <w:jc w:val="left"/>
    </w:pPr>
    <w:rPr>
      <w:rFonts w:ascii="宋体" w:hAnsi="宋体" w:cs="宋体"/>
      <w:kern w:val="0"/>
      <w:sz w:val="24"/>
    </w:rPr>
  </w:style>
  <w:style w:type="paragraph" w:styleId="3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toc 1"/>
    <w:basedOn w:val="1"/>
    <w:next w:val="1"/>
    <w:autoRedefine/>
    <w:qFormat/>
    <w:uiPriority w:val="39"/>
    <w:pPr>
      <w:adjustRightInd w:val="0"/>
      <w:spacing w:line="360" w:lineRule="auto"/>
      <w:ind w:firstLine="0" w:firstLineChars="0"/>
    </w:pPr>
    <w:rPr>
      <w:b/>
      <w:bCs/>
      <w:caps/>
      <w:sz w:val="24"/>
      <w:szCs w:val="20"/>
    </w:rPr>
  </w:style>
  <w:style w:type="paragraph" w:styleId="41">
    <w:name w:val="toc 4"/>
    <w:basedOn w:val="1"/>
    <w:next w:val="1"/>
    <w:autoRedefine/>
    <w:qFormat/>
    <w:uiPriority w:val="0"/>
    <w:pPr>
      <w:ind w:left="630"/>
      <w:jc w:val="left"/>
    </w:pPr>
    <w:rPr>
      <w:sz w:val="18"/>
      <w:szCs w:val="18"/>
    </w:rPr>
  </w:style>
  <w:style w:type="paragraph" w:styleId="42">
    <w:name w:val="toc 6"/>
    <w:basedOn w:val="1"/>
    <w:next w:val="1"/>
    <w:autoRedefine/>
    <w:qFormat/>
    <w:uiPriority w:val="0"/>
    <w:pPr>
      <w:ind w:left="1050"/>
      <w:jc w:val="left"/>
    </w:pPr>
    <w:rPr>
      <w:sz w:val="18"/>
      <w:szCs w:val="18"/>
    </w:rPr>
  </w:style>
  <w:style w:type="paragraph" w:styleId="43">
    <w:name w:val="Body Text Indent 3"/>
    <w:basedOn w:val="1"/>
    <w:autoRedefine/>
    <w:qFormat/>
    <w:uiPriority w:val="0"/>
    <w:pPr>
      <w:ind w:firstLine="720" w:firstLineChars="257"/>
    </w:pPr>
  </w:style>
  <w:style w:type="paragraph" w:styleId="44">
    <w:name w:val="toc 2"/>
    <w:basedOn w:val="1"/>
    <w:next w:val="13"/>
    <w:autoRedefine/>
    <w:qFormat/>
    <w:uiPriority w:val="39"/>
    <w:pPr>
      <w:spacing w:line="360" w:lineRule="auto"/>
      <w:ind w:firstLine="100" w:firstLineChars="100"/>
    </w:pPr>
    <w:rPr>
      <w:smallCaps/>
      <w:sz w:val="24"/>
      <w:szCs w:val="20"/>
    </w:rPr>
  </w:style>
  <w:style w:type="paragraph" w:styleId="45">
    <w:name w:val="toc 9"/>
    <w:basedOn w:val="1"/>
    <w:next w:val="1"/>
    <w:autoRedefine/>
    <w:qFormat/>
    <w:uiPriority w:val="0"/>
    <w:pPr>
      <w:ind w:left="1680"/>
      <w:jc w:val="left"/>
    </w:pPr>
    <w:rPr>
      <w:sz w:val="18"/>
      <w:szCs w:val="18"/>
    </w:rPr>
  </w:style>
  <w:style w:type="paragraph" w:styleId="46">
    <w:name w:val="Body Text 2"/>
    <w:basedOn w:val="1"/>
    <w:autoRedefine/>
    <w:qFormat/>
    <w:uiPriority w:val="0"/>
    <w:rPr>
      <w:rFonts w:ascii="宋体" w:hAnsi="宋体"/>
      <w:b/>
      <w:color w:val="FF0000"/>
      <w:szCs w:val="28"/>
    </w:rPr>
  </w:style>
  <w:style w:type="paragraph" w:styleId="47">
    <w:name w:val="Body Text First Indent 2"/>
    <w:basedOn w:val="27"/>
    <w:next w:val="1"/>
    <w:autoRedefine/>
    <w:unhideWhenUsed/>
    <w:qFormat/>
    <w:uiPriority w:val="99"/>
    <w:pPr>
      <w:ind w:firstLine="420"/>
    </w:pPr>
  </w:style>
  <w:style w:type="table" w:styleId="49">
    <w:name w:val="Table Grid"/>
    <w:basedOn w:val="48"/>
    <w:autoRedefine/>
    <w:unhideWhenUsed/>
    <w:qFormat/>
    <w:uiPriority w:val="9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autoRedefine/>
    <w:qFormat/>
    <w:uiPriority w:val="0"/>
    <w:rPr>
      <w:b/>
      <w:bCs/>
    </w:rPr>
  </w:style>
  <w:style w:type="character" w:styleId="52">
    <w:name w:val="page number"/>
    <w:basedOn w:val="50"/>
    <w:autoRedefine/>
    <w:qFormat/>
    <w:uiPriority w:val="0"/>
    <w:rPr>
      <w:rFonts w:ascii="Times New Roman" w:hAnsi="Times New Roman" w:eastAsia="宋体"/>
      <w:sz w:val="18"/>
    </w:rPr>
  </w:style>
  <w:style w:type="character" w:styleId="53">
    <w:name w:val="FollowedHyperlink"/>
    <w:autoRedefine/>
    <w:qFormat/>
    <w:uiPriority w:val="0"/>
    <w:rPr>
      <w:color w:val="0000CC"/>
      <w:sz w:val="22"/>
      <w:szCs w:val="22"/>
      <w:u w:val="single"/>
    </w:rPr>
  </w:style>
  <w:style w:type="character" w:styleId="54">
    <w:name w:val="Hyperlink"/>
    <w:autoRedefine/>
    <w:qFormat/>
    <w:uiPriority w:val="99"/>
    <w:rPr>
      <w:b/>
      <w:color w:val="0000CC"/>
      <w:sz w:val="22"/>
      <w:szCs w:val="22"/>
      <w:u w:val="single"/>
    </w:rPr>
  </w:style>
  <w:style w:type="character" w:styleId="55">
    <w:name w:val="annotation reference"/>
    <w:qFormat/>
    <w:uiPriority w:val="0"/>
    <w:rPr>
      <w:sz w:val="21"/>
      <w:szCs w:val="21"/>
    </w:rPr>
  </w:style>
  <w:style w:type="paragraph" w:customStyle="1" w:styleId="56">
    <w:name w:val="toc 84"/>
    <w:next w:val="1"/>
    <w:autoRedefine/>
    <w:qFormat/>
    <w:uiPriority w:val="0"/>
    <w:pPr>
      <w:wordWrap w:val="0"/>
      <w:spacing w:line="500" w:lineRule="exact"/>
      <w:ind w:left="2975" w:firstLine="200" w:firstLineChars="200"/>
      <w:jc w:val="both"/>
    </w:pPr>
    <w:rPr>
      <w:rFonts w:ascii="Times New Roman" w:hAnsi="Times New Roman" w:eastAsia="宋体" w:cs="Times New Roman"/>
      <w:sz w:val="21"/>
      <w:szCs w:val="22"/>
      <w:lang w:val="en-US" w:eastAsia="zh-CN" w:bidi="ar-SA"/>
    </w:rPr>
  </w:style>
  <w:style w:type="paragraph" w:customStyle="1" w:styleId="57">
    <w:name w:val="样式1"/>
    <w:basedOn w:val="1"/>
    <w:autoRedefine/>
    <w:qFormat/>
    <w:uiPriority w:val="0"/>
    <w:pPr>
      <w:jc w:val="center"/>
    </w:pPr>
    <w:rPr>
      <w:rFonts w:ascii="仿宋_GB2312" w:hAnsi="宋体" w:eastAsia="仿宋_GB2312"/>
      <w:b/>
      <w:sz w:val="44"/>
      <w:szCs w:val="44"/>
    </w:rPr>
  </w:style>
  <w:style w:type="paragraph" w:customStyle="1" w:styleId="58">
    <w:name w:val="Default"/>
    <w:basedOn w:val="59"/>
    <w:next w:val="1"/>
    <w:autoRedefine/>
    <w:unhideWhenUsed/>
    <w:qFormat/>
    <w:uiPriority w:val="99"/>
    <w:pPr>
      <w:widowControl w:val="0"/>
      <w:autoSpaceDE w:val="0"/>
      <w:autoSpaceDN w:val="0"/>
      <w:adjustRightInd w:val="0"/>
      <w:spacing w:line="500" w:lineRule="exact"/>
      <w:ind w:firstLine="200" w:firstLineChars="200"/>
      <w:jc w:val="both"/>
    </w:pPr>
    <w:rPr>
      <w:rFonts w:ascii="宋体" w:hAnsi="宋体" w:eastAsia="宋体" w:cs="Times New Roman"/>
      <w:color w:val="000000"/>
      <w:sz w:val="24"/>
      <w:lang w:val="en-US" w:eastAsia="zh-CN" w:bidi="ar-SA"/>
    </w:rPr>
  </w:style>
  <w:style w:type="paragraph" w:customStyle="1" w:styleId="59">
    <w:name w:val="纯文本1"/>
    <w:qFormat/>
    <w:uiPriority w:val="0"/>
    <w:pPr>
      <w:widowControl w:val="0"/>
      <w:adjustRightInd w:val="0"/>
      <w:snapToGrid w:val="0"/>
      <w:textAlignment w:val="baseline"/>
    </w:pPr>
    <w:rPr>
      <w:rFonts w:ascii="宋体" w:hAnsi="Courier New" w:eastAsia="宋体" w:cs="Times New Roman"/>
      <w:kern w:val="2"/>
      <w:sz w:val="21"/>
      <w:lang w:val="en-US" w:eastAsia="zh-CN" w:bidi="ar-SA"/>
    </w:rPr>
  </w:style>
  <w:style w:type="paragraph" w:customStyle="1" w:styleId="60">
    <w:name w:val="样式 首行缩进:  2 字符"/>
    <w:basedOn w:val="1"/>
    <w:autoRedefine/>
    <w:qFormat/>
    <w:uiPriority w:val="0"/>
    <w:pPr>
      <w:tabs>
        <w:tab w:val="left" w:pos="0"/>
      </w:tabs>
      <w:spacing w:line="520" w:lineRule="exact"/>
      <w:ind w:firstLine="0" w:firstLineChars="0"/>
      <w:jc w:val="left"/>
    </w:pPr>
    <w:rPr>
      <w:rFonts w:cs="宋体"/>
      <w:spacing w:val="11"/>
      <w:szCs w:val="20"/>
    </w:rPr>
  </w:style>
  <w:style w:type="paragraph" w:customStyle="1" w:styleId="61">
    <w:name w:val="Char1"/>
    <w:basedOn w:val="1"/>
    <w:autoRedefine/>
    <w:qFormat/>
    <w:uiPriority w:val="0"/>
    <w:pPr>
      <w:jc w:val="left"/>
    </w:pPr>
  </w:style>
  <w:style w:type="paragraph" w:customStyle="1" w:styleId="62">
    <w:name w:val="样式 标题 2"/>
    <w:basedOn w:val="4"/>
    <w:autoRedefine/>
    <w:qFormat/>
    <w:uiPriority w:val="0"/>
    <w:pPr>
      <w:spacing w:before="50" w:after="50"/>
    </w:pPr>
    <w:rPr>
      <w:szCs w:val="28"/>
    </w:rPr>
  </w:style>
  <w:style w:type="character" w:customStyle="1" w:styleId="63">
    <w:name w:val="标题 1 Char"/>
    <w:link w:val="3"/>
    <w:autoRedefine/>
    <w:qFormat/>
    <w:uiPriority w:val="0"/>
    <w:rPr>
      <w:rFonts w:eastAsia="黑体"/>
      <w:b/>
      <w:bCs/>
      <w:kern w:val="44"/>
      <w:sz w:val="32"/>
      <w:szCs w:val="32"/>
    </w:rPr>
  </w:style>
  <w:style w:type="character" w:customStyle="1" w:styleId="64">
    <w:name w:val="标题 2 Char"/>
    <w:link w:val="4"/>
    <w:autoRedefine/>
    <w:qFormat/>
    <w:uiPriority w:val="0"/>
    <w:rPr>
      <w:rFonts w:eastAsia="楷体"/>
      <w:b/>
      <w:bCs/>
      <w:sz w:val="32"/>
      <w:szCs w:val="32"/>
    </w:rPr>
  </w:style>
  <w:style w:type="character" w:customStyle="1" w:styleId="65">
    <w:name w:val="标题 3 Char"/>
    <w:link w:val="5"/>
    <w:autoRedefine/>
    <w:qFormat/>
    <w:uiPriority w:val="0"/>
    <w:rPr>
      <w:rFonts w:ascii="Times New Roman" w:hAnsi="Times New Roman" w:eastAsia="黑体"/>
      <w:b/>
      <w:bCs/>
      <w:kern w:val="2"/>
      <w:sz w:val="28"/>
      <w:szCs w:val="32"/>
      <w:lang w:val="en-US" w:eastAsia="zh-CN" w:bidi="ar-SA"/>
    </w:rPr>
  </w:style>
  <w:style w:type="character" w:customStyle="1" w:styleId="66">
    <w:name w:val="列表项目符号 Char"/>
    <w:link w:val="22"/>
    <w:autoRedefine/>
    <w:qFormat/>
    <w:uiPriority w:val="0"/>
    <w:rPr>
      <w:sz w:val="21"/>
    </w:rPr>
  </w:style>
  <w:style w:type="character" w:customStyle="1" w:styleId="67">
    <w:name w:val="zw1"/>
    <w:autoRedefine/>
    <w:qFormat/>
    <w:uiPriority w:val="0"/>
    <w:rPr>
      <w:rFonts w:hint="eastAsia" w:ascii="宋体" w:hAnsi="宋体" w:eastAsia="宋体"/>
      <w:sz w:val="22"/>
      <w:szCs w:val="22"/>
    </w:rPr>
  </w:style>
  <w:style w:type="character" w:customStyle="1" w:styleId="68">
    <w:name w:val="fontstyle21"/>
    <w:autoRedefine/>
    <w:qFormat/>
    <w:uiPriority w:val="0"/>
    <w:rPr>
      <w:rFonts w:hint="default" w:ascii="Times New Roman" w:hAnsi="Times New Roman" w:cs="Times New Roman"/>
      <w:color w:val="000000"/>
      <w:sz w:val="22"/>
      <w:szCs w:val="22"/>
    </w:rPr>
  </w:style>
  <w:style w:type="character" w:customStyle="1" w:styleId="69">
    <w:name w:val="fontstyle31"/>
    <w:autoRedefine/>
    <w:qFormat/>
    <w:uiPriority w:val="0"/>
    <w:rPr>
      <w:rFonts w:hint="eastAsia" w:ascii="宋体" w:hAnsi="宋体" w:eastAsia="宋体" w:cs="宋体"/>
      <w:color w:val="000000"/>
      <w:sz w:val="28"/>
      <w:szCs w:val="28"/>
    </w:rPr>
  </w:style>
  <w:style w:type="character" w:customStyle="1" w:styleId="70">
    <w:name w:val="style21"/>
    <w:autoRedefine/>
    <w:qFormat/>
    <w:uiPriority w:val="0"/>
    <w:rPr>
      <w:color w:val="0000FF"/>
    </w:rPr>
  </w:style>
  <w:style w:type="character" w:customStyle="1" w:styleId="71">
    <w:name w:val="fontstyle01"/>
    <w:autoRedefine/>
    <w:qFormat/>
    <w:uiPriority w:val="0"/>
    <w:rPr>
      <w:rFonts w:hint="eastAsia" w:ascii="宋体" w:hAnsi="宋体" w:eastAsia="宋体" w:cs="宋体"/>
      <w:color w:val="000000"/>
      <w:sz w:val="28"/>
      <w:szCs w:val="28"/>
    </w:rPr>
  </w:style>
  <w:style w:type="character" w:customStyle="1" w:styleId="72">
    <w:name w:val="样式 四号 右侧:  -0.26 厘米 Char Char"/>
    <w:link w:val="73"/>
    <w:autoRedefine/>
    <w:qFormat/>
    <w:uiPriority w:val="0"/>
    <w:rPr>
      <w:rFonts w:eastAsia="宋体" w:cs="宋体"/>
      <w:kern w:val="2"/>
      <w:sz w:val="28"/>
      <w:lang w:val="en-US" w:eastAsia="zh-CN" w:bidi="ar-SA"/>
    </w:rPr>
  </w:style>
  <w:style w:type="paragraph" w:customStyle="1" w:styleId="73">
    <w:name w:val="样式 四号 右侧:  -0.26 厘米"/>
    <w:basedOn w:val="1"/>
    <w:link w:val="72"/>
    <w:autoRedefine/>
    <w:qFormat/>
    <w:uiPriority w:val="0"/>
    <w:rPr>
      <w:rFonts w:cs="宋体"/>
    </w:rPr>
  </w:style>
  <w:style w:type="character" w:customStyle="1" w:styleId="74">
    <w:name w:val="fontstyle41"/>
    <w:autoRedefine/>
    <w:qFormat/>
    <w:uiPriority w:val="0"/>
    <w:rPr>
      <w:rFonts w:hint="default" w:ascii="Times New Roman" w:hAnsi="Times New Roman" w:cs="Times New Roman"/>
      <w:color w:val="000000"/>
      <w:sz w:val="28"/>
      <w:szCs w:val="28"/>
    </w:rPr>
  </w:style>
  <w:style w:type="character" w:customStyle="1" w:styleId="75">
    <w:name w:val="fontstyle51"/>
    <w:autoRedefine/>
    <w:qFormat/>
    <w:uiPriority w:val="0"/>
    <w:rPr>
      <w:rFonts w:hint="default" w:ascii="Times New Roman" w:hAnsi="Times New Roman" w:cs="Times New Roman"/>
      <w:color w:val="000000"/>
      <w:sz w:val="28"/>
      <w:szCs w:val="28"/>
    </w:rPr>
  </w:style>
  <w:style w:type="character" w:customStyle="1" w:styleId="76">
    <w:name w:val="fontstyle11"/>
    <w:autoRedefine/>
    <w:qFormat/>
    <w:uiPriority w:val="0"/>
    <w:rPr>
      <w:rFonts w:hint="default" w:ascii="Times New Roman" w:hAnsi="Times New Roman" w:cs="Times New Roman"/>
      <w:color w:val="000000"/>
      <w:sz w:val="28"/>
      <w:szCs w:val="28"/>
    </w:rPr>
  </w:style>
  <w:style w:type="character" w:customStyle="1" w:styleId="77">
    <w:name w:val="Char Char6"/>
    <w:autoRedefine/>
    <w:qFormat/>
    <w:uiPriority w:val="0"/>
    <w:rPr>
      <w:rFonts w:ascii="宋体" w:hAnsi="宋体" w:eastAsia="宋体"/>
      <w:b/>
      <w:bCs/>
      <w:kern w:val="2"/>
      <w:sz w:val="28"/>
      <w:szCs w:val="32"/>
      <w:lang w:val="en-US" w:eastAsia="zh-CN" w:bidi="ar-SA"/>
    </w:rPr>
  </w:style>
  <w:style w:type="character" w:customStyle="1" w:styleId="78">
    <w:name w:val="style161"/>
    <w:autoRedefine/>
    <w:qFormat/>
    <w:uiPriority w:val="0"/>
    <w:rPr>
      <w:color w:val="000000"/>
      <w:sz w:val="21"/>
      <w:szCs w:val="21"/>
    </w:rPr>
  </w:style>
  <w:style w:type="paragraph" w:customStyle="1" w:styleId="79">
    <w:name w:val="无间隔1"/>
    <w:autoRedefine/>
    <w:qFormat/>
    <w:uiPriority w:val="1"/>
    <w:pPr>
      <w:widowControl w:val="0"/>
      <w:spacing w:line="500" w:lineRule="exact"/>
      <w:ind w:firstLine="200" w:firstLineChars="200"/>
      <w:jc w:val="both"/>
    </w:pPr>
    <w:rPr>
      <w:rFonts w:ascii="Calibri" w:hAnsi="Calibri" w:eastAsia="宋体" w:cs="Times New Roman"/>
      <w:kern w:val="2"/>
      <w:sz w:val="28"/>
      <w:szCs w:val="22"/>
      <w:lang w:val="en-US" w:eastAsia="zh-CN" w:bidi="ar-SA"/>
    </w:rPr>
  </w:style>
  <w:style w:type="paragraph" w:customStyle="1" w:styleId="80">
    <w:name w:val="默认段落字体 Para Char Char Char Char Char Char Char Char Char Char"/>
    <w:basedOn w:val="1"/>
    <w:autoRedefine/>
    <w:qFormat/>
    <w:uiPriority w:val="0"/>
    <w:pPr>
      <w:adjustRightInd w:val="0"/>
    </w:pPr>
    <w:rPr>
      <w:kern w:val="0"/>
      <w:sz w:val="24"/>
      <w:szCs w:val="20"/>
    </w:rPr>
  </w:style>
  <w:style w:type="paragraph" w:customStyle="1" w:styleId="81">
    <w:name w:val="正文段落"/>
    <w:basedOn w:val="1"/>
    <w:autoRedefine/>
    <w:qFormat/>
    <w:uiPriority w:val="0"/>
    <w:pPr>
      <w:jc w:val="left"/>
    </w:pPr>
    <w:rPr>
      <w:kern w:val="0"/>
      <w:sz w:val="24"/>
    </w:rPr>
  </w:style>
  <w:style w:type="paragraph" w:customStyle="1" w:styleId="82">
    <w:name w:val="表格"/>
    <w:basedOn w:val="21"/>
    <w:next w:val="1"/>
    <w:autoRedefine/>
    <w:qFormat/>
    <w:uiPriority w:val="0"/>
    <w:pPr>
      <w:textAlignment w:val="center"/>
    </w:pPr>
    <w:rPr>
      <w:rFonts w:eastAsia="楷体_GB2312"/>
      <w:kern w:val="11"/>
      <w:sz w:val="24"/>
      <w:szCs w:val="20"/>
    </w:rPr>
  </w:style>
  <w:style w:type="paragraph" w:customStyle="1" w:styleId="83">
    <w:name w:val="首行缩进"/>
    <w:basedOn w:val="1"/>
    <w:autoRedefine/>
    <w:qFormat/>
    <w:uiPriority w:val="0"/>
    <w:rPr>
      <w:rFonts w:eastAsia="仿宋_GB2312"/>
      <w:szCs w:val="28"/>
    </w:rPr>
  </w:style>
  <w:style w:type="paragraph" w:customStyle="1" w:styleId="84">
    <w:name w:val="2级标题"/>
    <w:basedOn w:val="1"/>
    <w:autoRedefine/>
    <w:qFormat/>
    <w:uiPriority w:val="0"/>
    <w:pPr>
      <w:numPr>
        <w:ilvl w:val="1"/>
        <w:numId w:val="4"/>
      </w:numPr>
      <w:ind w:left="0" w:firstLine="510"/>
      <w:jc w:val="left"/>
      <w:outlineLvl w:val="1"/>
    </w:pPr>
    <w:rPr>
      <w:rFonts w:ascii="黑体" w:hAnsi="黑体" w:eastAsia="黑体"/>
      <w:sz w:val="30"/>
      <w:szCs w:val="28"/>
    </w:rPr>
  </w:style>
  <w:style w:type="paragraph" w:customStyle="1" w:styleId="85">
    <w:name w:val="xl33"/>
    <w:basedOn w:val="1"/>
    <w:autoRedefine/>
    <w:qFormat/>
    <w:uiPriority w:val="0"/>
    <w:pPr>
      <w:pBdr>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86">
    <w:name w:val="标题　4"/>
    <w:basedOn w:val="1"/>
    <w:next w:val="1"/>
    <w:autoRedefine/>
    <w:qFormat/>
    <w:uiPriority w:val="0"/>
    <w:pPr>
      <w:outlineLvl w:val="3"/>
    </w:pPr>
    <w:rPr>
      <w:rFonts w:ascii="宋体" w:hAnsi="宋体" w:eastAsia="黑体"/>
    </w:rPr>
  </w:style>
  <w:style w:type="paragraph" w:customStyle="1" w:styleId="87">
    <w:name w:val="xl29"/>
    <w:basedOn w:val="1"/>
    <w:autoRedefine/>
    <w:qFormat/>
    <w:uiPriority w:val="0"/>
    <w:pPr>
      <w:pBdr>
        <w:left w:val="single" w:color="auto" w:sz="4" w:space="0"/>
        <w:right w:val="single" w:color="auto" w:sz="4" w:space="0"/>
      </w:pBdr>
      <w:spacing w:before="100" w:beforeAutospacing="1" w:after="100" w:afterAutospacing="1"/>
      <w:jc w:val="center"/>
    </w:pPr>
    <w:rPr>
      <w:rFonts w:hint="eastAsia" w:ascii="宋体" w:hAnsi="宋体"/>
      <w:kern w:val="0"/>
      <w:szCs w:val="28"/>
    </w:rPr>
  </w:style>
  <w:style w:type="paragraph" w:customStyle="1" w:styleId="88">
    <w:name w:val="表内文字"/>
    <w:basedOn w:val="1"/>
    <w:next w:val="1"/>
    <w:autoRedefine/>
    <w:qFormat/>
    <w:uiPriority w:val="0"/>
    <w:pPr>
      <w:adjustRightInd w:val="0"/>
      <w:spacing w:line="360" w:lineRule="atLeast"/>
      <w:jc w:val="center"/>
    </w:pPr>
    <w:rPr>
      <w:kern w:val="0"/>
      <w:szCs w:val="20"/>
    </w:rPr>
  </w:style>
  <w:style w:type="paragraph" w:customStyle="1" w:styleId="89">
    <w:name w:val="样式 样式 四号 右侧:  -0.26 厘米 + 首行缩进:  2 字符"/>
    <w:basedOn w:val="1"/>
    <w:autoRedefine/>
    <w:qFormat/>
    <w:uiPriority w:val="0"/>
    <w:pPr>
      <w:ind w:firstLine="560"/>
    </w:pPr>
    <w:rPr>
      <w:rFonts w:cs="宋体"/>
      <w:szCs w:val="20"/>
    </w:rPr>
  </w:style>
  <w:style w:type="paragraph" w:customStyle="1" w:styleId="90">
    <w:name w:val="表格2"/>
    <w:autoRedefine/>
    <w:qFormat/>
    <w:uiPriority w:val="0"/>
    <w:pPr>
      <w:spacing w:before="60" w:line="280" w:lineRule="exact"/>
      <w:ind w:left="-57" w:right="-57" w:firstLine="482" w:firstLineChars="200"/>
      <w:jc w:val="center"/>
    </w:pPr>
    <w:rPr>
      <w:rFonts w:ascii="Times New Roman" w:hAnsi="Times New Roman" w:eastAsia="仿宋_GB2312" w:cs="Times New Roman"/>
      <w:sz w:val="28"/>
      <w:lang w:val="en-US" w:eastAsia="zh-CN" w:bidi="ar-SA"/>
    </w:rPr>
  </w:style>
  <w:style w:type="paragraph" w:customStyle="1" w:styleId="91">
    <w:name w:val="p15"/>
    <w:basedOn w:val="1"/>
    <w:autoRedefine/>
    <w:qFormat/>
    <w:uiPriority w:val="99"/>
    <w:rPr>
      <w:kern w:val="0"/>
      <w:szCs w:val="20"/>
    </w:rPr>
  </w:style>
  <w:style w:type="paragraph" w:customStyle="1" w:styleId="92">
    <w:name w:val="样式 标题 1 + 首行缩进:  2 字符"/>
    <w:basedOn w:val="3"/>
    <w:autoRedefine/>
    <w:qFormat/>
    <w:uiPriority w:val="0"/>
    <w:pPr>
      <w:spacing w:line="300" w:lineRule="auto"/>
      <w:ind w:firstLine="200" w:firstLineChars="200"/>
    </w:pPr>
    <w:rPr>
      <w:b w:val="0"/>
      <w:szCs w:val="20"/>
    </w:rPr>
  </w:style>
  <w:style w:type="paragraph" w:customStyle="1" w:styleId="93">
    <w:name w:val="表名"/>
    <w:autoRedefine/>
    <w:unhideWhenUsed/>
    <w:qFormat/>
    <w:uiPriority w:val="99"/>
    <w:pPr>
      <w:widowControl w:val="0"/>
      <w:pBdr>
        <w:top w:val="none" w:color="auto" w:sz="0" w:space="1"/>
        <w:left w:val="none" w:color="auto" w:sz="0" w:space="4"/>
        <w:bottom w:val="none" w:color="auto" w:sz="0" w:space="1"/>
        <w:right w:val="none" w:color="auto" w:sz="0" w:space="4"/>
      </w:pBdr>
      <w:autoSpaceDE w:val="0"/>
      <w:autoSpaceDN w:val="0"/>
      <w:adjustRightInd w:val="0"/>
      <w:spacing w:line="480" w:lineRule="exact"/>
      <w:ind w:firstLine="200" w:firstLineChars="200"/>
      <w:jc w:val="center"/>
    </w:pPr>
    <w:rPr>
      <w:rFonts w:hint="eastAsia" w:ascii="Times New Roman" w:hAnsi="Times New Roman" w:eastAsia="宋体" w:cs="Times New Roman"/>
      <w:color w:val="000000"/>
      <w:sz w:val="24"/>
      <w:szCs w:val="22"/>
      <w:lang w:val="en-US" w:eastAsia="zh-CN" w:bidi="ar-SA"/>
    </w:rPr>
  </w:style>
  <w:style w:type="paragraph" w:customStyle="1" w:styleId="94">
    <w:name w:val="样式 宋体 四号 黑色 行距: 1.5 倍行距"/>
    <w:basedOn w:val="1"/>
    <w:autoRedefine/>
    <w:qFormat/>
    <w:uiPriority w:val="0"/>
    <w:pPr>
      <w:ind w:firstLine="560"/>
    </w:pPr>
    <w:rPr>
      <w:rFonts w:ascii="宋体" w:cs="宋体"/>
      <w:color w:val="000000"/>
    </w:rPr>
  </w:style>
  <w:style w:type="paragraph" w:customStyle="1" w:styleId="95">
    <w:name w:val="xl3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kern w:val="0"/>
      <w:sz w:val="24"/>
    </w:rPr>
  </w:style>
  <w:style w:type="paragraph" w:customStyle="1" w:styleId="96">
    <w:name w:val="样式 标题 1章标题 1 Char章标题 1-*+h11st levelSection Headl1 + 宋体..."/>
    <w:basedOn w:val="3"/>
    <w:autoRedefine/>
    <w:qFormat/>
    <w:uiPriority w:val="0"/>
    <w:pPr>
      <w:pageBreakBefore/>
      <w:spacing w:before="312" w:beforeLines="100" w:after="312" w:afterLines="100"/>
    </w:pPr>
    <w:rPr>
      <w:rFonts w:ascii="宋体" w:hAnsi="宋体" w:cs="宋体"/>
      <w:szCs w:val="20"/>
    </w:rPr>
  </w:style>
  <w:style w:type="paragraph" w:customStyle="1" w:styleId="97">
    <w:name w:val="样式18"/>
    <w:basedOn w:val="1"/>
    <w:autoRedefine/>
    <w:qFormat/>
    <w:uiPriority w:val="0"/>
    <w:pPr>
      <w:spacing w:line="600" w:lineRule="exact"/>
      <w:ind w:firstLine="560"/>
    </w:pPr>
    <w:rPr>
      <w:rFonts w:ascii="宋体" w:hAnsi="宋体"/>
      <w:kern w:val="0"/>
      <w:szCs w:val="28"/>
    </w:rPr>
  </w:style>
  <w:style w:type="paragraph" w:customStyle="1" w:styleId="98">
    <w:name w:val="列出段落3"/>
    <w:basedOn w:val="1"/>
    <w:autoRedefine/>
    <w:unhideWhenUsed/>
    <w:qFormat/>
    <w:uiPriority w:val="99"/>
    <w:pPr>
      <w:ind w:firstLine="420"/>
    </w:pPr>
  </w:style>
  <w:style w:type="paragraph" w:customStyle="1" w:styleId="99">
    <w:name w:val="标题 21"/>
    <w:basedOn w:val="1"/>
    <w:next w:val="1"/>
    <w:autoRedefine/>
    <w:qFormat/>
    <w:uiPriority w:val="0"/>
    <w:pPr>
      <w:keepNext/>
      <w:keepLines/>
      <w:spacing w:before="260" w:after="260" w:line="416" w:lineRule="auto"/>
      <w:outlineLvl w:val="1"/>
    </w:pPr>
    <w:rPr>
      <w:rFonts w:hint="eastAsia" w:ascii="Arial" w:hAnsi="Arial" w:eastAsia="黑体"/>
      <w:b/>
      <w:sz w:val="32"/>
    </w:rPr>
  </w:style>
  <w:style w:type="paragraph" w:customStyle="1" w:styleId="100">
    <w:name w:val="正文 + 宋体"/>
    <w:basedOn w:val="1"/>
    <w:autoRedefine/>
    <w:qFormat/>
    <w:uiPriority w:val="0"/>
    <w:pPr>
      <w:snapToGrid w:val="0"/>
      <w:spacing w:line="400" w:lineRule="exact"/>
      <w:ind w:firstLine="480"/>
    </w:pPr>
    <w:rPr>
      <w:rFonts w:ascii="宋体" w:hAnsi="宋体"/>
      <w:color w:val="000000"/>
      <w:sz w:val="24"/>
    </w:rPr>
  </w:style>
  <w:style w:type="paragraph" w:customStyle="1" w:styleId="101">
    <w:name w:val="标题3"/>
    <w:basedOn w:val="1"/>
    <w:next w:val="1"/>
    <w:autoRedefine/>
    <w:qFormat/>
    <w:uiPriority w:val="0"/>
    <w:pPr>
      <w:tabs>
        <w:tab w:val="left" w:pos="566"/>
      </w:tabs>
      <w:outlineLvl w:val="2"/>
    </w:pPr>
    <w:rPr>
      <w:b/>
      <w:bCs/>
    </w:rPr>
  </w:style>
  <w:style w:type="paragraph" w:customStyle="1" w:styleId="102">
    <w:name w:val="Char"/>
    <w:basedOn w:val="1"/>
    <w:autoRedefine/>
    <w:qFormat/>
    <w:uiPriority w:val="0"/>
    <w:pPr>
      <w:adjustRightInd w:val="0"/>
    </w:pPr>
    <w:rPr>
      <w:kern w:val="0"/>
      <w:sz w:val="24"/>
      <w:szCs w:val="20"/>
    </w:rPr>
  </w:style>
  <w:style w:type="paragraph" w:customStyle="1" w:styleId="103">
    <w:name w:val="WPSOffice手动目录 1"/>
    <w:autoRedefine/>
    <w:qFormat/>
    <w:uiPriority w:val="0"/>
    <w:pPr>
      <w:spacing w:line="500" w:lineRule="exact"/>
      <w:ind w:firstLine="200" w:firstLineChars="200"/>
      <w:jc w:val="both"/>
    </w:pPr>
    <w:rPr>
      <w:rFonts w:ascii="Times New Roman" w:hAnsi="Times New Roman" w:eastAsia="宋体" w:cs="Times New Roman"/>
      <w:lang w:val="en-US" w:eastAsia="zh-CN" w:bidi="ar-SA"/>
    </w:rPr>
  </w:style>
  <w:style w:type="paragraph" w:customStyle="1" w:styleId="104">
    <w:name w:val="列出段落1"/>
    <w:basedOn w:val="1"/>
    <w:autoRedefine/>
    <w:qFormat/>
    <w:uiPriority w:val="34"/>
    <w:pPr>
      <w:ind w:firstLine="420"/>
    </w:pPr>
  </w:style>
  <w:style w:type="paragraph" w:customStyle="1" w:styleId="105">
    <w:name w:val="xl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cs="宋体"/>
      <w:kern w:val="0"/>
      <w:sz w:val="18"/>
      <w:szCs w:val="18"/>
    </w:rPr>
  </w:style>
  <w:style w:type="paragraph" w:customStyle="1" w:styleId="106">
    <w:name w:val="正文文字 Char Char"/>
    <w:basedOn w:val="1"/>
    <w:next w:val="26"/>
    <w:autoRedefine/>
    <w:qFormat/>
    <w:uiPriority w:val="0"/>
    <w:rPr>
      <w:sz w:val="24"/>
    </w:rPr>
  </w:style>
  <w:style w:type="paragraph" w:customStyle="1" w:styleId="107">
    <w:name w:val="表格 32"/>
    <w:basedOn w:val="1"/>
    <w:autoRedefine/>
    <w:qFormat/>
    <w:uiPriority w:val="0"/>
    <w:pPr>
      <w:autoSpaceDE w:val="0"/>
      <w:autoSpaceDN w:val="0"/>
      <w:adjustRightInd w:val="0"/>
      <w:jc w:val="center"/>
      <w:textAlignment w:val="baseline"/>
    </w:pPr>
    <w:rPr>
      <w:rFonts w:eastAsia="楷体_GB2312"/>
      <w:kern w:val="0"/>
      <w:sz w:val="24"/>
      <w:szCs w:val="20"/>
    </w:rPr>
  </w:style>
  <w:style w:type="paragraph" w:customStyle="1" w:styleId="108">
    <w:name w:val="表"/>
    <w:basedOn w:val="16"/>
    <w:autoRedefine/>
    <w:qFormat/>
    <w:uiPriority w:val="0"/>
    <w:pPr>
      <w:spacing w:line="360" w:lineRule="auto"/>
    </w:pPr>
    <w:rPr>
      <w:rFonts w:ascii="Times New Roman"/>
    </w:rPr>
  </w:style>
  <w:style w:type="paragraph" w:customStyle="1" w:styleId="109">
    <w:name w:val="正文w"/>
    <w:basedOn w:val="1"/>
    <w:autoRedefine/>
    <w:qFormat/>
    <w:uiPriority w:val="0"/>
    <w:pPr>
      <w:adjustRightInd w:val="0"/>
      <w:snapToGrid w:val="0"/>
    </w:pPr>
    <w:rPr>
      <w:bCs/>
      <w:snapToGrid w:val="0"/>
      <w:kern w:val="0"/>
      <w:szCs w:val="28"/>
    </w:rPr>
  </w:style>
  <w:style w:type="paragraph" w:customStyle="1" w:styleId="110">
    <w:name w:val="xl71"/>
    <w:basedOn w:val="1"/>
    <w:autoRedefine/>
    <w:qFormat/>
    <w:uiPriority w:val="0"/>
    <w:pPr>
      <w:pBdr>
        <w:left w:val="single" w:color="auto" w:sz="4" w:space="0"/>
        <w:right w:val="single" w:color="auto" w:sz="4" w:space="0"/>
      </w:pBdr>
      <w:spacing w:before="100" w:beforeAutospacing="1" w:after="100" w:afterAutospacing="1"/>
      <w:jc w:val="center"/>
    </w:pPr>
    <w:rPr>
      <w:rFonts w:hint="eastAsia" w:ascii="宋体" w:hAnsi="宋体"/>
      <w:color w:val="000000"/>
      <w:kern w:val="0"/>
      <w:sz w:val="24"/>
    </w:rPr>
  </w:style>
  <w:style w:type="paragraph" w:customStyle="1" w:styleId="111">
    <w:name w:val="样式 样式1 + 加粗"/>
    <w:basedOn w:val="57"/>
    <w:autoRedefine/>
    <w:qFormat/>
    <w:uiPriority w:val="0"/>
    <w:pPr>
      <w:ind w:firstLine="544"/>
    </w:pPr>
    <w:rPr>
      <w:rFonts w:cs="宋体"/>
      <w:bCs/>
      <w:spacing w:val="-4"/>
      <w:szCs w:val="28"/>
    </w:rPr>
  </w:style>
  <w:style w:type="paragraph" w:customStyle="1" w:styleId="112">
    <w:name w:val="缩进"/>
    <w:basedOn w:val="1"/>
    <w:autoRedefine/>
    <w:qFormat/>
    <w:uiPriority w:val="0"/>
    <w:pPr>
      <w:autoSpaceDE w:val="0"/>
      <w:autoSpaceDN w:val="0"/>
      <w:adjustRightInd w:val="0"/>
      <w:spacing w:line="400" w:lineRule="atLeast"/>
      <w:ind w:firstLine="425"/>
    </w:pPr>
    <w:rPr>
      <w:kern w:val="0"/>
      <w:sz w:val="24"/>
      <w:szCs w:val="20"/>
    </w:rPr>
  </w:style>
  <w:style w:type="paragraph" w:customStyle="1" w:styleId="113">
    <w:name w:val="xl36"/>
    <w:basedOn w:val="1"/>
    <w:autoRedefine/>
    <w:qFormat/>
    <w:uiPriority w:val="0"/>
    <w:pPr>
      <w:pBdr>
        <w:left w:val="single" w:color="auto" w:sz="4" w:space="0"/>
        <w:right w:val="single" w:color="auto" w:sz="4" w:space="0"/>
      </w:pBdr>
      <w:spacing w:before="100" w:beforeAutospacing="1" w:after="100" w:afterAutospacing="1"/>
      <w:jc w:val="center"/>
      <w:textAlignment w:val="top"/>
    </w:pPr>
    <w:rPr>
      <w:kern w:val="0"/>
      <w:sz w:val="24"/>
    </w:rPr>
  </w:style>
  <w:style w:type="paragraph" w:customStyle="1" w:styleId="114">
    <w:name w:val="样式 样式 标题 1章标题 1 Char章标题 1-*+h11st levelSection Headl1 + 宋体... + ..."/>
    <w:basedOn w:val="96"/>
    <w:autoRedefine/>
    <w:qFormat/>
    <w:uiPriority w:val="0"/>
    <w:pPr>
      <w:spacing w:before="240" w:beforeLines="0" w:after="240" w:afterLines="0"/>
    </w:pPr>
    <w:rPr>
      <w:b w:val="0"/>
    </w:rPr>
  </w:style>
  <w:style w:type="paragraph" w:customStyle="1" w:styleId="115">
    <w:name w:val="Char Char Char Char"/>
    <w:basedOn w:val="1"/>
    <w:autoRedefine/>
    <w:qFormat/>
    <w:uiPriority w:val="0"/>
  </w:style>
  <w:style w:type="paragraph" w:customStyle="1" w:styleId="116">
    <w:name w:val="小五"/>
    <w:basedOn w:val="1"/>
    <w:autoRedefine/>
    <w:qFormat/>
    <w:uiPriority w:val="0"/>
    <w:pPr>
      <w:jc w:val="center"/>
    </w:pPr>
    <w:rPr>
      <w:sz w:val="18"/>
    </w:rPr>
  </w:style>
  <w:style w:type="paragraph" w:customStyle="1" w:styleId="117">
    <w:name w:val="表格文本"/>
    <w:basedOn w:val="1"/>
    <w:next w:val="1"/>
    <w:autoRedefine/>
    <w:qFormat/>
    <w:uiPriority w:val="0"/>
    <w:pPr>
      <w:spacing w:line="240" w:lineRule="auto"/>
      <w:jc w:val="center"/>
    </w:pPr>
    <w:rPr>
      <w:snapToGrid w:val="0"/>
      <w:kern w:val="0"/>
      <w:sz w:val="21"/>
      <w:szCs w:val="21"/>
    </w:rPr>
  </w:style>
  <w:style w:type="paragraph" w:customStyle="1" w:styleId="118">
    <w:name w:val="Table Paragraph"/>
    <w:basedOn w:val="1"/>
    <w:autoRedefine/>
    <w:qFormat/>
    <w:uiPriority w:val="0"/>
  </w:style>
  <w:style w:type="paragraph" w:customStyle="1" w:styleId="119">
    <w:name w:val="样式 样式 样式 正文文本 + 首行缩进:  2 字符 + 宋体 首行缩进:  2 字符 + 首行缩进:  2 字符"/>
    <w:basedOn w:val="1"/>
    <w:autoRedefine/>
    <w:qFormat/>
    <w:uiPriority w:val="0"/>
    <w:rPr>
      <w:rFonts w:ascii="宋体" w:hAnsi="宋体" w:cs="宋体"/>
      <w:color w:val="000000"/>
      <w:szCs w:val="20"/>
    </w:rPr>
  </w:style>
  <w:style w:type="paragraph" w:customStyle="1" w:styleId="120">
    <w:name w:val="WPSOffice手动目录 2"/>
    <w:autoRedefine/>
    <w:qFormat/>
    <w:uiPriority w:val="0"/>
    <w:pPr>
      <w:spacing w:line="500" w:lineRule="exact"/>
      <w:ind w:left="200" w:leftChars="200" w:firstLine="200" w:firstLineChars="200"/>
      <w:jc w:val="both"/>
    </w:pPr>
    <w:rPr>
      <w:rFonts w:ascii="Times New Roman" w:hAnsi="Times New Roman" w:eastAsia="宋体" w:cs="Times New Roman"/>
      <w:lang w:val="en-US" w:eastAsia="zh-CN" w:bidi="ar-SA"/>
    </w:rPr>
  </w:style>
  <w:style w:type="paragraph" w:customStyle="1" w:styleId="121">
    <w:name w:val="_Style 4"/>
    <w:basedOn w:val="1"/>
    <w:autoRedefine/>
    <w:qFormat/>
    <w:uiPriority w:val="0"/>
    <w:pPr>
      <w:ind w:firstLine="420"/>
    </w:pPr>
  </w:style>
  <w:style w:type="paragraph" w:customStyle="1" w:styleId="122">
    <w:name w:val="font6"/>
    <w:basedOn w:val="1"/>
    <w:next w:val="44"/>
    <w:autoRedefine/>
    <w:qFormat/>
    <w:uiPriority w:val="0"/>
    <w:pPr>
      <w:spacing w:before="100" w:beforeAutospacing="1" w:after="100" w:afterAutospacing="1"/>
      <w:jc w:val="left"/>
    </w:pPr>
    <w:rPr>
      <w:rFonts w:hint="eastAsia" w:ascii="宋体" w:hAnsi="宋体"/>
      <w:kern w:val="0"/>
      <w:szCs w:val="28"/>
    </w:rPr>
  </w:style>
  <w:style w:type="paragraph" w:customStyle="1" w:styleId="123">
    <w:name w:val="xl26"/>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124">
    <w:name w:val="zw"/>
    <w:basedOn w:val="1"/>
    <w:autoRedefine/>
    <w:qFormat/>
    <w:uiPriority w:val="0"/>
    <w:pPr>
      <w:spacing w:before="100" w:beforeAutospacing="1" w:after="100" w:afterAutospacing="1" w:line="440" w:lineRule="atLeast"/>
      <w:jc w:val="left"/>
    </w:pPr>
    <w:rPr>
      <w:rFonts w:ascii="宋体" w:hAnsi="宋体" w:cs="宋体"/>
      <w:kern w:val="0"/>
      <w:sz w:val="22"/>
      <w:szCs w:val="22"/>
    </w:rPr>
  </w:style>
  <w:style w:type="paragraph" w:customStyle="1" w:styleId="125">
    <w:name w:val="正文1"/>
    <w:basedOn w:val="1"/>
    <w:autoRedefine/>
    <w:qFormat/>
    <w:uiPriority w:val="0"/>
  </w:style>
  <w:style w:type="paragraph" w:customStyle="1" w:styleId="126">
    <w:name w:val="样式 样式1 + 首行缩进:  2 字符"/>
    <w:basedOn w:val="57"/>
    <w:autoRedefine/>
    <w:qFormat/>
    <w:uiPriority w:val="0"/>
    <w:pPr>
      <w:jc w:val="both"/>
    </w:pPr>
    <w:rPr>
      <w:rFonts w:ascii="Times New Roman" w:hAnsi="Times New Roman" w:eastAsia="宋体"/>
      <w:b w:val="0"/>
      <w:sz w:val="28"/>
      <w:szCs w:val="28"/>
    </w:rPr>
  </w:style>
  <w:style w:type="paragraph" w:customStyle="1" w:styleId="127">
    <w:name w:val="样式 标题 2节2h2l22nd levelTitre2Header 2节标题 1.1标题 2 Char1标..."/>
    <w:basedOn w:val="4"/>
    <w:autoRedefine/>
    <w:qFormat/>
    <w:uiPriority w:val="0"/>
    <w:pPr>
      <w:spacing w:before="240" w:after="240"/>
    </w:pPr>
    <w:rPr>
      <w:rFonts w:ascii="黑体" w:hAnsi="宋体"/>
      <w:color w:val="0000FF"/>
      <w:sz w:val="30"/>
      <w:szCs w:val="30"/>
    </w:rPr>
  </w:style>
  <w:style w:type="paragraph" w:styleId="128">
    <w:name w:val="List Paragraph"/>
    <w:basedOn w:val="1"/>
    <w:autoRedefine/>
    <w:qFormat/>
    <w:uiPriority w:val="0"/>
    <w:pPr>
      <w:ind w:firstLine="420"/>
    </w:pPr>
  </w:style>
  <w:style w:type="paragraph" w:customStyle="1" w:styleId="129">
    <w:name w:val="正文2"/>
    <w:basedOn w:val="1"/>
    <w:next w:val="1"/>
    <w:autoRedefine/>
    <w:qFormat/>
    <w:uiPriority w:val="0"/>
    <w:pPr>
      <w:tabs>
        <w:tab w:val="left" w:pos="5366"/>
      </w:tabs>
      <w:adjustRightInd w:val="0"/>
      <w:snapToGrid w:val="0"/>
      <w:jc w:val="left"/>
    </w:pPr>
    <w:rPr>
      <w:rFonts w:hint="eastAsia"/>
      <w:bCs/>
      <w:snapToGrid w:val="0"/>
      <w:kern w:val="0"/>
      <w:szCs w:val="32"/>
    </w:rPr>
  </w:style>
  <w:style w:type="paragraph" w:customStyle="1" w:styleId="130">
    <w:name w:val="样式 样式1 + 首行缩进:  2 字符1"/>
    <w:basedOn w:val="1"/>
    <w:autoRedefine/>
    <w:qFormat/>
    <w:uiPriority w:val="0"/>
    <w:rPr>
      <w:rFonts w:cs="宋体"/>
    </w:rPr>
  </w:style>
  <w:style w:type="table" w:customStyle="1" w:styleId="131">
    <w:name w:val="Table Normal"/>
    <w:basedOn w:val="48"/>
    <w:autoRedefine/>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132">
    <w:name w:val="正文 首行缩进:  2 字符"/>
    <w:basedOn w:val="1"/>
    <w:autoRedefine/>
    <w:qFormat/>
    <w:uiPriority w:val="99"/>
    <w:pPr>
      <w:ind w:firstLine="579"/>
    </w:pPr>
    <w:rPr>
      <w:rFonts w:cs="宋体"/>
    </w:rPr>
  </w:style>
  <w:style w:type="paragraph" w:customStyle="1" w:styleId="133">
    <w:name w:val="样式 宋体 居中 行距: 1.5 倍行距3"/>
    <w:basedOn w:val="1"/>
    <w:autoRedefine/>
    <w:qFormat/>
    <w:uiPriority w:val="99"/>
    <w:pPr>
      <w:jc w:val="center"/>
    </w:pPr>
    <w:rPr>
      <w:rFonts w:cs="宋体"/>
      <w:szCs w:val="20"/>
    </w:rPr>
  </w:style>
  <w:style w:type="paragraph" w:customStyle="1" w:styleId="134">
    <w:name w:val="样式 样式 (西文) 宋体 四号 行距: 固定值 30 磅 首行缩进:  2 字符 + 首行缩进:  2 字符"/>
    <w:basedOn w:val="135"/>
    <w:autoRedefine/>
    <w:qFormat/>
    <w:uiPriority w:val="0"/>
    <w:pPr>
      <w:spacing w:line="240" w:lineRule="auto"/>
    </w:pPr>
  </w:style>
  <w:style w:type="paragraph" w:customStyle="1" w:styleId="135">
    <w:name w:val="样式 (西文) 宋体 四号 行距: 固定值 30 磅 首行缩进:  2 字符"/>
    <w:basedOn w:val="1"/>
    <w:autoRedefine/>
    <w:qFormat/>
    <w:uiPriority w:val="0"/>
    <w:pPr>
      <w:spacing w:line="600" w:lineRule="exact"/>
    </w:pPr>
    <w:rPr>
      <w:rFonts w:ascii="宋体" w:hAnsi="宋体" w:cs="宋体"/>
      <w:szCs w:val="20"/>
    </w:rPr>
  </w:style>
  <w:style w:type="paragraph" w:customStyle="1" w:styleId="136">
    <w:name w:val="样式10"/>
    <w:basedOn w:val="1"/>
    <w:autoRedefine/>
    <w:qFormat/>
    <w:uiPriority w:val="0"/>
    <w:pPr>
      <w:ind w:firstLine="560"/>
    </w:pPr>
    <w:rPr>
      <w:rFonts w:ascii="宋体" w:hAnsi="宋体"/>
    </w:rPr>
  </w:style>
  <w:style w:type="paragraph" w:customStyle="1" w:styleId="137">
    <w:name w:val="样式 四号 行距: 1.5 倍行距"/>
    <w:basedOn w:val="1"/>
    <w:autoRedefine/>
    <w:qFormat/>
    <w:uiPriority w:val="0"/>
    <w:pPr>
      <w:ind w:firstLine="560"/>
    </w:pPr>
    <w:rPr>
      <w:rFonts w:cs="宋体"/>
      <w:szCs w:val="20"/>
    </w:rPr>
  </w:style>
  <w:style w:type="paragraph" w:customStyle="1" w:styleId="138">
    <w:name w:val="我的表格"/>
    <w:basedOn w:val="139"/>
    <w:autoRedefine/>
    <w:qFormat/>
    <w:uiPriority w:val="0"/>
    <w:pPr>
      <w:keepNext w:val="0"/>
      <w:keepLines w:val="0"/>
      <w:tabs>
        <w:tab w:val="left" w:pos="0"/>
        <w:tab w:val="left" w:pos="360"/>
        <w:tab w:val="left" w:pos="540"/>
        <w:tab w:val="left" w:pos="567"/>
        <w:tab w:val="left" w:pos="720"/>
        <w:tab w:val="left" w:pos="992"/>
        <w:tab w:val="left" w:pos="1340"/>
        <w:tab w:val="left" w:pos="2660"/>
      </w:tabs>
      <w:adjustRightInd w:val="0"/>
      <w:snapToGrid w:val="0"/>
      <w:spacing w:line="240" w:lineRule="auto"/>
      <w:ind w:firstLine="0"/>
      <w:jc w:val="center"/>
      <w:outlineLvl w:val="9"/>
    </w:pPr>
    <w:rPr>
      <w:rFonts w:hAnsi="宋体" w:cs="宋体"/>
      <w:kern w:val="2"/>
      <w:sz w:val="21"/>
      <w:szCs w:val="21"/>
    </w:rPr>
  </w:style>
  <w:style w:type="paragraph" w:customStyle="1" w:styleId="139">
    <w:name w:val="样式35"/>
    <w:basedOn w:val="140"/>
    <w:next w:val="122"/>
    <w:autoRedefine/>
    <w:qFormat/>
    <w:uiPriority w:val="0"/>
    <w:pPr>
      <w:tabs>
        <w:tab w:val="left" w:pos="0"/>
        <w:tab w:val="left" w:pos="360"/>
        <w:tab w:val="left" w:pos="540"/>
        <w:tab w:val="left" w:pos="567"/>
      </w:tabs>
      <w:spacing w:before="0" w:after="0" w:line="312" w:lineRule="auto"/>
      <w:ind w:left="0" w:firstLine="567"/>
      <w:jc w:val="both"/>
    </w:pPr>
    <w:rPr>
      <w:rFonts w:ascii="宋体" w:eastAsia="宋体"/>
      <w:sz w:val="28"/>
    </w:rPr>
  </w:style>
  <w:style w:type="paragraph" w:customStyle="1" w:styleId="140">
    <w:name w:val="样式26"/>
    <w:basedOn w:val="141"/>
    <w:autoRedefine/>
    <w:qFormat/>
    <w:uiPriority w:val="0"/>
    <w:pPr>
      <w:tabs>
        <w:tab w:val="left" w:pos="0"/>
        <w:tab w:val="left" w:pos="360"/>
        <w:tab w:val="left" w:pos="540"/>
        <w:tab w:val="left" w:pos="567"/>
      </w:tabs>
    </w:pPr>
  </w:style>
  <w:style w:type="paragraph" w:customStyle="1" w:styleId="141">
    <w:name w:val="样式21"/>
    <w:basedOn w:val="142"/>
    <w:autoRedefine/>
    <w:qFormat/>
    <w:uiPriority w:val="0"/>
    <w:pPr>
      <w:tabs>
        <w:tab w:val="left" w:pos="360"/>
        <w:tab w:val="left" w:pos="567"/>
      </w:tabs>
      <w:spacing w:before="120" w:beforeLines="0" w:after="120" w:afterLines="0"/>
      <w:ind w:hanging="992"/>
    </w:pPr>
  </w:style>
  <w:style w:type="paragraph" w:customStyle="1" w:styleId="142">
    <w:name w:val="样式5"/>
    <w:basedOn w:val="143"/>
    <w:autoRedefine/>
    <w:qFormat/>
    <w:uiPriority w:val="0"/>
    <w:pPr>
      <w:tabs>
        <w:tab w:val="left" w:pos="360"/>
      </w:tabs>
      <w:jc w:val="left"/>
    </w:pPr>
    <w:rPr>
      <w:sz w:val="24"/>
    </w:rPr>
  </w:style>
  <w:style w:type="paragraph" w:customStyle="1" w:styleId="143">
    <w:name w:val="样式12"/>
    <w:basedOn w:val="1"/>
    <w:autoRedefine/>
    <w:qFormat/>
    <w:uiPriority w:val="0"/>
    <w:pPr>
      <w:keepNext/>
      <w:keepLines/>
      <w:tabs>
        <w:tab w:val="left" w:pos="360"/>
      </w:tabs>
      <w:spacing w:before="156" w:beforeLines="50" w:after="156" w:afterLines="50"/>
      <w:ind w:left="567" w:hanging="567"/>
      <w:outlineLvl w:val="1"/>
    </w:pPr>
    <w:rPr>
      <w:rFonts w:eastAsia="MS Mincho"/>
      <w:kern w:val="0"/>
      <w:szCs w:val="28"/>
    </w:rPr>
  </w:style>
  <w:style w:type="character" w:customStyle="1" w:styleId="144">
    <w:name w:val="页脚 字符"/>
    <w:basedOn w:val="50"/>
    <w:autoRedefine/>
    <w:qFormat/>
    <w:uiPriority w:val="0"/>
    <w:rPr>
      <w:kern w:val="2"/>
      <w:sz w:val="18"/>
      <w:szCs w:val="18"/>
    </w:rPr>
  </w:style>
  <w:style w:type="character" w:customStyle="1" w:styleId="145">
    <w:name w:val="页脚 Char"/>
    <w:basedOn w:val="50"/>
    <w:link w:val="37"/>
    <w:autoRedefine/>
    <w:qFormat/>
    <w:uiPriority w:val="0"/>
    <w:rPr>
      <w:kern w:val="2"/>
      <w:sz w:val="18"/>
      <w:szCs w:val="18"/>
    </w:rPr>
  </w:style>
  <w:style w:type="table" w:customStyle="1" w:styleId="146">
    <w:name w:val="网格型1"/>
    <w:basedOn w:val="48"/>
    <w:autoRedefine/>
    <w:unhideWhenUsed/>
    <w:qFormat/>
    <w:uiPriority w:val="9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7">
    <w:name w:val="正文 New New New New New New New New"/>
    <w:autoRedefine/>
    <w:qFormat/>
    <w:uiPriority w:val="0"/>
    <w:pPr>
      <w:widowControl w:val="0"/>
      <w:topLinePunct/>
      <w:spacing w:line="480" w:lineRule="exact"/>
      <w:ind w:firstLine="560" w:firstLineChars="200"/>
      <w:jc w:val="both"/>
    </w:pPr>
    <w:rPr>
      <w:rFonts w:ascii="Times New Roman" w:hAnsi="Times New Roman" w:eastAsia="宋体" w:cs="Times New Roman"/>
      <w:color w:val="000000"/>
      <w:sz w:val="28"/>
      <w:lang w:val="en-US" w:eastAsia="zh-CN" w:bidi="ar-SA"/>
    </w:rPr>
  </w:style>
  <w:style w:type="character" w:customStyle="1" w:styleId="148">
    <w:name w:val="15"/>
    <w:basedOn w:val="50"/>
    <w:autoRedefine/>
    <w:qFormat/>
    <w:uiPriority w:val="0"/>
    <w:rPr>
      <w:rFonts w:hint="default" w:ascii="Times New Roman" w:hAnsi="Times New Roman" w:cs="Times New Roman"/>
    </w:rPr>
  </w:style>
  <w:style w:type="paragraph" w:customStyle="1" w:styleId="149">
    <w:name w:val="样式 宋体 红色 居中 行距: 1.5 倍行距"/>
    <w:qFormat/>
    <w:uiPriority w:val="0"/>
    <w:pPr>
      <w:widowControl w:val="0"/>
      <w:spacing w:line="360" w:lineRule="auto"/>
      <w:jc w:val="center"/>
    </w:pPr>
    <w:rPr>
      <w:rFonts w:ascii="Times New Roman" w:hAnsi="Times New Roman" w:eastAsia="宋体" w:cs="宋体"/>
      <w:color w:val="FF0000"/>
      <w:kern w:val="2"/>
      <w:sz w:val="21"/>
      <w:szCs w:val="20"/>
      <w:lang w:val="en-US" w:eastAsia="zh-CN" w:bidi="ar-SA"/>
    </w:rPr>
  </w:style>
  <w:style w:type="paragraph" w:customStyle="1" w:styleId="150">
    <w:name w:val="表格标题1"/>
    <w:qFormat/>
    <w:uiPriority w:val="0"/>
    <w:pPr>
      <w:widowControl w:val="0"/>
      <w:jc w:val="center"/>
    </w:pPr>
    <w:rPr>
      <w:rFonts w:ascii="Times New Roman" w:hAnsi="宋体" w:eastAsia="宋体" w:cs="Times New Roman"/>
      <w:b/>
      <w:kern w:val="2"/>
      <w:sz w:val="21"/>
      <w:szCs w:val="24"/>
      <w:lang w:val="en-US" w:eastAsia="zh-CN" w:bidi="ar-SA"/>
    </w:rPr>
  </w:style>
  <w:style w:type="paragraph" w:customStyle="1" w:styleId="151">
    <w:name w:val="样式 (中文) 宋体 首行缩进:  2 字符"/>
    <w:qFormat/>
    <w:uiPriority w:val="0"/>
    <w:pPr>
      <w:widowControl w:val="0"/>
      <w:ind w:firstLine="560" w:firstLineChars="200"/>
      <w:jc w:val="both"/>
    </w:pPr>
    <w:rPr>
      <w:rFonts w:ascii="Times New Roman" w:hAnsi="Times New Roman" w:eastAsia="宋体" w:cs="宋体"/>
      <w:kern w:val="2"/>
      <w:sz w:val="28"/>
      <w:szCs w:val="20"/>
      <w:lang w:val="en-US" w:eastAsia="zh-CN" w:bidi="ar-SA"/>
    </w:rPr>
  </w:style>
  <w:style w:type="paragraph" w:customStyle="1" w:styleId="152">
    <w:name w:val="Table Text"/>
    <w:basedOn w:val="1"/>
    <w:semiHidden/>
    <w:qFormat/>
    <w:uiPriority w:val="0"/>
    <w:rPr>
      <w:rFonts w:ascii="宋体" w:hAnsi="宋体" w:eastAsia="宋体" w:cs="宋体"/>
      <w:sz w:val="24"/>
      <w:szCs w:val="24"/>
      <w:lang w:val="en-US" w:eastAsia="en-US" w:bidi="ar-SA"/>
    </w:rPr>
  </w:style>
  <w:style w:type="paragraph" w:customStyle="1" w:styleId="153">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
    <w:name w:val="20230828-1"/>
    <w:next w:val="1"/>
    <w:qFormat/>
    <w:uiPriority w:val="0"/>
    <w:pPr>
      <w:adjustRightInd w:val="0"/>
      <w:snapToGrid w:val="0"/>
      <w:jc w:val="center"/>
    </w:pPr>
    <w:rPr>
      <w:rFonts w:hint="eastAsia" w:ascii="宋体" w:hAnsi="宋体" w:eastAsia="宋体" w:cs="Times New Roman"/>
      <w:sz w:val="21"/>
      <w:szCs w:val="21"/>
      <w:lang w:val="en-US" w:eastAsia="zh-CN" w:bidi="ar-SA"/>
    </w:rPr>
  </w:style>
  <w:style w:type="paragraph" w:customStyle="1" w:styleId="155">
    <w:name w:val="Default1"/>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6">
    <w:name w:val="表格内容"/>
    <w:basedOn w:val="157"/>
    <w:qFormat/>
    <w:uiPriority w:val="0"/>
    <w:pPr>
      <w:suppressLineNumbers/>
      <w:suppressAutoHyphens/>
    </w:pPr>
    <w:rPr>
      <w:kern w:val="20481"/>
    </w:rPr>
  </w:style>
  <w:style w:type="paragraph" w:customStyle="1" w:styleId="157">
    <w:name w:val="表格表头"/>
    <w:basedOn w:val="31"/>
    <w:next w:val="1"/>
    <w:qFormat/>
    <w:uiPriority w:val="0"/>
    <w:pPr>
      <w:adjustRightInd w:val="0"/>
      <w:spacing w:before="100" w:beforeLines="100" w:line="312" w:lineRule="atLeast"/>
      <w:jc w:val="center"/>
      <w:textAlignment w:val="baseline"/>
    </w:pPr>
    <w:rPr>
      <w:rFonts w:hAnsi="宋体" w:eastAsia="宋体"/>
      <w:b/>
      <w:sz w:val="28"/>
      <w:szCs w:val="20"/>
    </w:rPr>
  </w:style>
  <w:style w:type="paragraph" w:customStyle="1" w:styleId="158">
    <w:name w:val="表格中文字"/>
    <w:basedOn w:val="1"/>
    <w:qFormat/>
    <w:uiPriority w:val="0"/>
    <w:pPr>
      <w:adjustRightInd w:val="0"/>
      <w:snapToGrid w:val="0"/>
      <w:spacing w:line="240" w:lineRule="auto"/>
      <w:ind w:firstLine="0" w:firstLineChars="0"/>
      <w:jc w:val="center"/>
    </w:pPr>
    <w:rPr>
      <w:kern w:val="18"/>
      <w:sz w:val="21"/>
      <w:szCs w:val="21"/>
    </w:rPr>
  </w:style>
  <w:style w:type="paragraph" w:customStyle="1" w:styleId="159">
    <w:name w:val=" Char"/>
    <w:basedOn w:val="1"/>
    <w:qFormat/>
    <w:uiPriority w:val="0"/>
    <w:pPr>
      <w:spacing w:line="360" w:lineRule="auto"/>
      <w:ind w:firstLine="200" w:firstLineChars="200"/>
    </w:pPr>
    <w:rPr>
      <w:rFonts w:ascii="宋体" w:hAnsi="宋体" w:cs="宋体"/>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5.jpeg"/><Relationship Id="rId18" Type="http://schemas.openxmlformats.org/officeDocument/2006/relationships/image" Target="media/image4.emf"/><Relationship Id="rId17" Type="http://schemas.openxmlformats.org/officeDocument/2006/relationships/oleObject" Target="embeddings/oleObject1.bin"/><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laoan</Company>
  <Pages>134</Pages>
  <Words>8656</Words>
  <Characters>9812</Characters>
  <Lines>1</Lines>
  <Paragraphs>1</Paragraphs>
  <TotalTime>9</TotalTime>
  <ScaleCrop>false</ScaleCrop>
  <LinksUpToDate>false</LinksUpToDate>
  <CharactersWithSpaces>9939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2009-02-21T22:02:00Z</dcterms:created>
  <dc:creator>min</dc:creator>
  <cp:lastModifiedBy>长青藤</cp:lastModifiedBy>
  <cp:lastPrinted>2019-10-08T08:13:00Z</cp:lastPrinted>
  <dcterms:modified xsi:type="dcterms:W3CDTF">2025-06-24T00:43:49Z</dcterms:modified>
  <dc:title>国楹涂料有限公司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2052-12.1.0.21541</vt:lpwstr>
  </property>
  <property fmtid="{D5CDD505-2E9C-101B-9397-08002B2CF9AE}" pid="4" name="ICV">
    <vt:lpwstr>96754EA039F64CFABEE22023F66D2173_13</vt:lpwstr>
  </property>
  <property fmtid="{D5CDD505-2E9C-101B-9397-08002B2CF9AE}" pid="5" name="KSOTemplateDocerSaveRecord">
    <vt:lpwstr>eyJoZGlkIjoiZTUyYWUxNGNmMmUyZTIxY2FmM2YyMWFiMjM3Y2U3MzAiLCJ1c2VySWQiOiI2OTk0MDQxMDkifQ==</vt:lpwstr>
  </property>
</Properties>
</file>